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5B"/>
          <w:sz w:val="56"/>
        </w:rPr>
        <w:t>Legal Collection Framework</w:t>
      </w:r>
    </w:p>
    <w:p>
      <w:pPr>
        <w:jc w:val="center"/>
      </w:pPr>
      <w:r>
        <w:rPr>
          <w:color w:val="1B6C8F"/>
          <w:sz w:val="28"/>
        </w:rPr>
        <w:t>Software Architecture Specification</w:t>
      </w:r>
    </w:p>
    <w:p/>
    <w:p>
      <w:pPr>
        <w:jc w:val="center"/>
      </w:pPr>
      <w:r>
        <w:rPr>
          <w:b/>
          <w:sz w:val="36"/>
        </w:rPr>
        <w:t>VOLUME IX — Governance, Roadmap &amp; Decision Records</w:t>
      </w:r>
    </w:p>
    <w:p/>
    <w:p/>
    <w:p/>
    <w:p/>
    <w:p/>
    <w:p/>
    <w:tbl>
      <w:tblPr>
        <w:tblW w:type="auto" w:w="0"/>
        <w:jc w:val="center"/>
        <w:tblLook w:firstColumn="1" w:firstRow="1" w:lastColumn="0" w:lastRow="0" w:noHBand="0" w:noVBand="1" w:val="04A0"/>
      </w:tblPr>
      <w:tblGrid>
        <w:gridCol w:w="4872"/>
        <w:gridCol w:w="4872"/>
      </w:tblGrid>
      <w:tr>
        <w:tc>
          <w:tcPr>
            <w:tcW w:type="dxa" w:w="4872"/>
          </w:tcPr>
          <w:p>
            <w:r>
              <w:rPr>
                <w:b/>
                <w:sz w:val="20"/>
              </w:rPr>
              <w:t>Document</w:t>
            </w:r>
          </w:p>
        </w:tc>
        <w:tc>
          <w:tcPr>
            <w:tcW w:type="dxa" w:w="4872"/>
          </w:tcPr>
          <w:p>
            <w:r>
              <w:rPr>
                <w:sz w:val="20"/>
              </w:rPr>
              <w:t>Software Architecture Specification (SAS)</w:t>
            </w:r>
          </w:p>
        </w:tc>
      </w:tr>
      <w:tr>
        <w:tc>
          <w:tcPr>
            <w:tcW w:type="dxa" w:w="4872"/>
          </w:tcPr>
          <w:p>
            <w:r>
              <w:rPr>
                <w:b/>
                <w:sz w:val="20"/>
              </w:rPr>
              <w:t>Projet</w:t>
            </w:r>
          </w:p>
        </w:tc>
        <w:tc>
          <w:tcPr>
            <w:tcW w:type="dxa" w:w="4872"/>
          </w:tcPr>
          <w:p>
            <w:r>
              <w:rPr>
                <w:sz w:val="20"/>
              </w:rPr>
              <w:t>Legal Collection Framework - LCF</w:t>
            </w:r>
          </w:p>
        </w:tc>
      </w:tr>
      <w:tr>
        <w:tc>
          <w:tcPr>
            <w:tcW w:type="dxa" w:w="4872"/>
          </w:tcPr>
          <w:p>
            <w:r>
              <w:rPr>
                <w:b/>
                <w:sz w:val="20"/>
              </w:rPr>
              <w:t>Version</w:t>
            </w:r>
          </w:p>
        </w:tc>
        <w:tc>
          <w:tcPr>
            <w:tcW w:type="dxa" w:w="4872"/>
          </w:tcPr>
          <w:p>
            <w:r>
              <w:rPr>
                <w:sz w:val="20"/>
              </w:rPr>
              <w:t>0.9 (Draft)</w:t>
            </w:r>
          </w:p>
        </w:tc>
      </w:tr>
      <w:tr>
        <w:tc>
          <w:tcPr>
            <w:tcW w:type="dxa" w:w="4872"/>
          </w:tcPr>
          <w:p>
            <w:r>
              <w:rPr>
                <w:b/>
                <w:sz w:val="20"/>
              </w:rPr>
              <w:t>Statut</w:t>
            </w:r>
          </w:p>
        </w:tc>
        <w:tc>
          <w:tcPr>
            <w:tcW w:type="dxa" w:w="4872"/>
          </w:tcPr>
          <w:p>
            <w:r>
              <w:rPr>
                <w:sz w:val="20"/>
              </w:rPr>
              <w:t>Architecture de reference</w:t>
            </w:r>
          </w:p>
        </w:tc>
      </w:tr>
      <w:tr>
        <w:tc>
          <w:tcPr>
            <w:tcW w:type="dxa" w:w="4872"/>
          </w:tcPr>
          <w:p>
            <w:r>
              <w:rPr>
                <w:b/>
                <w:sz w:val="20"/>
              </w:rPr>
              <w:t>Auteur</w:t>
            </w:r>
          </w:p>
        </w:tc>
        <w:tc>
          <w:tcPr>
            <w:tcW w:type="dxa" w:w="4872"/>
          </w:tcPr>
          <w:p>
            <w:r>
              <w:rPr>
                <w:sz w:val="20"/>
              </w:rPr>
              <w:t>Chief Software Architect</w:t>
            </w:r>
          </w:p>
        </w:tc>
      </w:tr>
      <w:tr>
        <w:tc>
          <w:tcPr>
            <w:tcW w:type="dxa" w:w="4872"/>
          </w:tcPr>
          <w:p>
            <w:r>
              <w:rPr>
                <w:b/>
                <w:sz w:val="20"/>
              </w:rPr>
              <w:t>Referentiel</w:t>
            </w:r>
          </w:p>
        </w:tc>
        <w:tc>
          <w:tcPr>
            <w:tcW w:type="dxa" w:w="4872"/>
          </w:tcPr>
          <w:p>
            <w:r>
              <w:rPr>
                <w:sz w:val="20"/>
              </w:rPr>
              <w:t>arc42 / C4 Model / ISO-IEC-IEEE 42010</w:t>
            </w:r>
          </w:p>
        </w:tc>
      </w:tr>
      <w:tr>
        <w:tc>
          <w:tcPr>
            <w:tcW w:type="dxa" w:w="4872"/>
          </w:tcPr>
          <w:p>
            <w:r>
              <w:rPr>
                <w:b/>
                <w:sz w:val="20"/>
              </w:rPr>
              <w:t>Audience</w:t>
            </w:r>
          </w:p>
        </w:tc>
        <w:tc>
          <w:tcPr>
            <w:tcW w:type="dxa" w:w="4872"/>
          </w:tcPr>
          <w:p>
            <w:r>
              <w:rPr>
                <w:sz w:val="20"/>
              </w:rPr>
              <w:t>Architectes, developpeurs, equipes IA, mainteneurs</w:t>
            </w:r>
          </w:p>
        </w:tc>
      </w:tr>
    </w:tbl>
    <w:p>
      <w:r>
        <w:br w:type="page"/>
      </w:r>
    </w:p>
    <w:p>
      <w:pPr>
        <w:pStyle w:val="Heading1"/>
      </w:pPr>
      <w:r>
        <w:t>Préambule du Volume IX</w:t>
      </w:r>
    </w:p>
    <w:p>
      <w:pPr>
        <w:jc w:val="both"/>
      </w:pPr>
      <w:r>
        <w:t xml:space="preserve">Les huit volumes précédents décrivent un système. Le Volume IX décrit </w:t>
      </w:r>
      <w:r>
        <w:rPr>
          <w:b/>
        </w:rPr>
        <w:t>les conditions dans lesquelles ce système peut vivre quinze ans</w:t>
      </w:r>
      <w:r>
        <w:t>.</w:t>
      </w:r>
    </w:p>
    <w:p>
      <w:pPr>
        <w:jc w:val="both"/>
      </w:pPr>
      <w:r>
        <w:t>C'est une question distincte. Un logiciel de longue durée ne meurt presque jamais d'un défaut technique : il meurt d'une érosion de gouvernance. Le mainteneur principal part. Les décisions ne sont plus documentées. Les exceptions s'accumulent jusqu'à ce que les règles n'aient plus de sens. Une rupture de compatibilité mal conduite fait fuir les contributeurs. La spécification et le code divergent lentement, puis brutalement.</w:t>
      </w:r>
    </w:p>
    <w:p>
      <w:pPr>
        <w:jc w:val="both"/>
      </w:pPr>
      <w:r>
        <w:t>Le Volume IX traite ces risques comme ce qu'ils sont : des risques d'architecture, au même titre qu'une contention de verrou ou une fuite mémoire.</w:t>
      </w:r>
    </w:p>
    <w:p>
      <w:pPr>
        <w:spacing w:before="120" w:after="200"/>
        <w:ind w:left="170"/>
        <w:shd w:val="clear" w:color="auto" w:fill="EAF2F6"/>
        <w:pBdr>
          <w:left w:val="single" w:sz="18" w:space="8" w:color="1B6C8F"/>
        </w:pBdr>
      </w:pPr>
      <w:r>
        <w:rPr>
          <w:i/>
          <w:sz w:val="20"/>
        </w:rPr>
        <w:t>Principe du Volume IX : ce qui n'est pas écrit disparaît avec la personne qui le savait. La gouvernance est le mécanisme par lequel un projet cesse de dépendre de la mémoire de quelqu'un.</w:t>
      </w:r>
    </w:p>
    <w:p>
      <w:pPr>
        <w:pStyle w:val="Heading2"/>
      </w:pPr>
      <w:r>
        <w:t>Portée</w:t>
      </w:r>
    </w:p>
    <w:p>
      <w:pPr>
        <w:pStyle w:val="ListBullet"/>
        <w:spacing w:after="40"/>
      </w:pPr>
      <w:r>
        <w:t>Les principes de gouvernance et la répartition des décisions.</w:t>
      </w:r>
    </w:p>
    <w:p>
      <w:pPr>
        <w:pStyle w:val="ListBullet"/>
        <w:spacing w:after="40"/>
      </w:pPr>
      <w:r>
        <w:t>Le processus de contribution et de revue.</w:t>
      </w:r>
    </w:p>
    <w:p>
      <w:pPr>
        <w:pStyle w:val="ListBullet"/>
        <w:spacing w:after="40"/>
      </w:pPr>
      <w:r>
        <w:t>La politique de version, de dépréciation et de retrait.</w:t>
      </w:r>
    </w:p>
    <w:p>
      <w:pPr>
        <w:pStyle w:val="ListBullet"/>
        <w:spacing w:after="40"/>
      </w:pPr>
      <w:r>
        <w:t>La feuille de route par paliers, avec critères de sortie.</w:t>
      </w:r>
    </w:p>
    <w:p>
      <w:pPr>
        <w:pStyle w:val="ListBullet"/>
        <w:spacing w:after="40"/>
      </w:pPr>
      <w:r>
        <w:t>Le registre consolidé des décisions d'architecture des neuf volumes.</w:t>
      </w:r>
    </w:p>
    <w:p>
      <w:pPr>
        <w:pStyle w:val="ListBullet"/>
        <w:spacing w:after="40"/>
      </w:pPr>
      <w:r>
        <w:t>Les conditions de révision de la présente spécification.</w:t>
      </w:r>
    </w:p>
    <w:p>
      <w:pPr>
        <w:pStyle w:val="ListBullet"/>
        <w:spacing w:after="40"/>
      </w:pPr>
      <w:r>
        <w:t>La stratégie de continuité, y compris en cas de fin de projet.</w:t>
      </w:r>
    </w:p>
    <w:p>
      <w:r>
        <w:br w:type="page"/>
      </w:r>
    </w:p>
    <w:p>
      <w:pPr>
        <w:pStyle w:val="Heading1"/>
      </w:pPr>
      <w:r>
        <w:t>Chapitre 1 — Gouvernance</w:t>
      </w:r>
    </w:p>
    <w:p>
      <w:pPr>
        <w:pStyle w:val="Heading2"/>
      </w:pPr>
      <w:r>
        <w:t>1.1 Trois cercles de décision</w:t>
      </w:r>
    </w:p>
    <w:p>
      <w:pPr>
        <w:spacing w:before="120" w:after="200"/>
        <w:ind w:left="170"/>
        <w:shd w:val="clear" w:color="auto" w:fill="F2F5F7"/>
        <w:pBdr>
          <w:left w:val="single" w:sz="12" w:space="8" w:color="9FB3C0"/>
        </w:pBdr>
      </w:pPr>
      <w:r>
        <w:rPr>
          <w:rFonts w:ascii="Consolas" w:hAnsi="Consolas" w:eastAsia="Consolas"/>
          <w:sz w:val="17"/>
        </w:rPr>
        <w:t xml:space="preserve">   +-----------------------------------------------------+</w:t>
        <w:br/>
      </w:r>
      <w:r>
        <w:rPr>
          <w:rFonts w:ascii="Consolas" w:hAnsi="Consolas" w:eastAsia="Consolas"/>
          <w:sz w:val="17"/>
        </w:rPr>
        <w:t xml:space="preserve">   |  NOYAU — modification exceptionnelle                 |</w:t>
        <w:br/>
      </w:r>
      <w:r>
        <w:rPr>
          <w:rFonts w:ascii="Consolas" w:hAnsi="Consolas" w:eastAsia="Consolas"/>
          <w:sz w:val="17"/>
        </w:rPr>
        <w:t xml:space="preserve">   |  Contrats, invariants, modele de stockage            |</w:t>
        <w:br/>
      </w:r>
      <w:r>
        <w:rPr>
          <w:rFonts w:ascii="Consolas" w:hAnsi="Consolas" w:eastAsia="Consolas"/>
          <w:sz w:val="17"/>
        </w:rPr>
        <w:t xml:space="preserve">   |  Decision : consensus des mainteneurs + ADR          |</w:t>
        <w:br/>
      </w:r>
      <w:r>
        <w:rPr>
          <w:rFonts w:ascii="Consolas" w:hAnsi="Consolas" w:eastAsia="Consolas"/>
          <w:sz w:val="17"/>
        </w:rPr>
        <w:t xml:space="preserve">   +-----------------------------------------------------+</w:t>
        <w:br/>
      </w:r>
      <w:r>
        <w:rPr>
          <w:rFonts w:ascii="Consolas" w:hAnsi="Consolas" w:eastAsia="Consolas"/>
          <w:sz w:val="17"/>
        </w:rPr>
        <w:t xml:space="preserve">   |  PERIPHERIE — evolution reguliere                    |</w:t>
        <w:br/>
      </w:r>
      <w:r>
        <w:rPr>
          <w:rFonts w:ascii="Consolas" w:hAnsi="Consolas" w:eastAsia="Consolas"/>
          <w:sz w:val="17"/>
        </w:rPr>
        <w:t xml:space="preserve">   |  Processeurs, adaptateurs, CLI, outils               |</w:t>
        <w:br/>
      </w:r>
      <w:r>
        <w:rPr>
          <w:rFonts w:ascii="Consolas" w:hAnsi="Consolas" w:eastAsia="Consolas"/>
          <w:sz w:val="17"/>
        </w:rPr>
        <w:t xml:space="preserve">   |  Decision : revue par un mainteneur                  |</w:t>
        <w:br/>
      </w:r>
      <w:r>
        <w:rPr>
          <w:rFonts w:ascii="Consolas" w:hAnsi="Consolas" w:eastAsia="Consolas"/>
          <w:sz w:val="17"/>
        </w:rPr>
        <w:t xml:space="preserve">   +-----------------------------------------------------+</w:t>
        <w:br/>
      </w:r>
      <w:r>
        <w:rPr>
          <w:rFonts w:ascii="Consolas" w:hAnsi="Consolas" w:eastAsia="Consolas"/>
          <w:sz w:val="17"/>
        </w:rPr>
        <w:t xml:space="preserve">   |  EXTENSIONS — libre                                  |</w:t>
        <w:br/>
      </w:r>
      <w:r>
        <w:rPr>
          <w:rFonts w:ascii="Consolas" w:hAnsi="Consolas" w:eastAsia="Consolas"/>
          <w:sz w:val="17"/>
        </w:rPr>
        <w:t xml:space="preserve">   |  Plugins, integrations, consommateurs                |</w:t>
        <w:br/>
      </w:r>
      <w:r>
        <w:rPr>
          <w:rFonts w:ascii="Consolas" w:hAnsi="Consolas" w:eastAsia="Consolas"/>
          <w:sz w:val="17"/>
        </w:rPr>
        <w:t xml:space="preserve">   |  Decision : leurs auteurs                            |</w:t>
        <w:br/>
      </w:r>
      <w:r>
        <w:rPr>
          <w:rFonts w:ascii="Consolas" w:hAnsi="Consolas" w:eastAsia="Consolas"/>
          <w:sz w:val="17"/>
        </w:rPr>
        <w:t xml:space="preserve">   +-----------------------------------------------------+</w:t>
      </w:r>
    </w:p>
    <w:p>
      <w:pPr>
        <w:pStyle w:val="Heading2"/>
      </w:pPr>
      <w:r>
        <w:t>1.2 Ce qui appartient au noyau</w:t>
      </w:r>
    </w:p>
    <w:p>
      <w:pPr>
        <w:jc w:val="both"/>
      </w:pPr>
      <w:r>
        <w:t>Toute modification de ces éléments exige un ADR accepté et le consensus des mainteneurs :</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Élément</w:t>
            </w:r>
          </w:p>
        </w:tc>
        <w:tc>
          <w:tcPr>
            <w:tcW w:type="dxa" w:w="4872"/>
            <w:shd w:val="clear" w:color="auto" w:fill="0B3D5B"/>
          </w:tcPr>
          <w:p>
            <w:pPr>
              <w:spacing w:after="40"/>
            </w:pPr>
            <w:r/>
            <w:r>
              <w:rPr>
                <w:b/>
                <w:color w:val="FFFFFF"/>
                <w:sz w:val="18"/>
              </w:rPr>
              <w:t>Volume</w:t>
            </w:r>
          </w:p>
        </w:tc>
      </w:tr>
      <w:tr>
        <w:tc>
          <w:tcPr>
            <w:tcW w:type="dxa" w:w="4872"/>
          </w:tcPr>
          <w:p>
            <w:pPr>
              <w:spacing w:after="40"/>
            </w:pPr>
            <w:r/>
            <w:r>
              <w:rPr>
                <w:sz w:val="18"/>
              </w:rPr>
              <w:t>Le contrat `SourcePlugin` et `apiVersion`</w:t>
            </w:r>
          </w:p>
        </w:tc>
        <w:tc>
          <w:tcPr>
            <w:tcW w:type="dxa" w:w="4872"/>
          </w:tcPr>
          <w:p>
            <w:pPr>
              <w:spacing w:after="40"/>
            </w:pPr>
            <w:r/>
            <w:r>
              <w:rPr>
                <w:sz w:val="18"/>
              </w:rPr>
              <w:t>III</w:t>
            </w:r>
          </w:p>
        </w:tc>
      </w:tr>
      <w:tr>
        <w:tc>
          <w:tcPr>
            <w:tcW w:type="dxa" w:w="4872"/>
            <w:shd w:val="clear" w:color="auto" w:fill="F4F7F9"/>
          </w:tcPr>
          <w:p>
            <w:pPr>
              <w:spacing w:after="40"/>
            </w:pPr>
            <w:r/>
            <w:r>
              <w:rPr>
                <w:sz w:val="18"/>
              </w:rPr>
              <w:t>Les formules de `document_id` et `content_hash`</w:t>
            </w:r>
          </w:p>
        </w:tc>
        <w:tc>
          <w:tcPr>
            <w:tcW w:type="dxa" w:w="4872"/>
            <w:shd w:val="clear" w:color="auto" w:fill="F4F7F9"/>
          </w:tcPr>
          <w:p>
            <w:pPr>
              <w:spacing w:after="40"/>
            </w:pPr>
            <w:r/>
            <w:r>
              <w:rPr>
                <w:sz w:val="18"/>
              </w:rPr>
              <w:t>IV</w:t>
            </w:r>
          </w:p>
        </w:tc>
      </w:tr>
      <w:tr>
        <w:tc>
          <w:tcPr>
            <w:tcW w:type="dxa" w:w="4872"/>
          </w:tcPr>
          <w:p>
            <w:pPr>
              <w:spacing w:after="40"/>
            </w:pPr>
            <w:r/>
            <w:r>
              <w:rPr>
                <w:sz w:val="18"/>
              </w:rPr>
              <w:t>Les sept invariants de stockage</w:t>
            </w:r>
          </w:p>
        </w:tc>
        <w:tc>
          <w:tcPr>
            <w:tcW w:type="dxa" w:w="4872"/>
          </w:tcPr>
          <w:p>
            <w:pPr>
              <w:spacing w:after="40"/>
            </w:pPr>
            <w:r/>
            <w:r>
              <w:rPr>
                <w:sz w:val="18"/>
              </w:rPr>
              <w:t>IV</w:t>
            </w:r>
          </w:p>
        </w:tc>
      </w:tr>
      <w:tr>
        <w:tc>
          <w:tcPr>
            <w:tcW w:type="dxa" w:w="4872"/>
            <w:shd w:val="clear" w:color="auto" w:fill="F4F7F9"/>
          </w:tcPr>
          <w:p>
            <w:pPr>
              <w:spacing w:after="40"/>
            </w:pPr>
            <w:r/>
            <w:r>
              <w:rPr>
                <w:sz w:val="18"/>
              </w:rPr>
              <w:t>Le protocole d'écriture atomique</w:t>
            </w:r>
          </w:p>
        </w:tc>
        <w:tc>
          <w:tcPr>
            <w:tcW w:type="dxa" w:w="4872"/>
            <w:shd w:val="clear" w:color="auto" w:fill="F4F7F9"/>
          </w:tcPr>
          <w:p>
            <w:pPr>
              <w:spacing w:after="40"/>
            </w:pPr>
            <w:r/>
            <w:r>
              <w:rPr>
                <w:sz w:val="18"/>
              </w:rPr>
              <w:t>IV</w:t>
            </w:r>
          </w:p>
        </w:tc>
      </w:tr>
      <w:tr>
        <w:tc>
          <w:tcPr>
            <w:tcW w:type="dxa" w:w="4872"/>
          </w:tcPr>
          <w:p>
            <w:pPr>
              <w:spacing w:after="40"/>
            </w:pPr>
            <w:r/>
            <w:r>
              <w:rPr>
                <w:sz w:val="18"/>
              </w:rPr>
              <w:t>Le format des événements publics</w:t>
            </w:r>
          </w:p>
        </w:tc>
        <w:tc>
          <w:tcPr>
            <w:tcW w:type="dxa" w:w="4872"/>
          </w:tcPr>
          <w:p>
            <w:pPr>
              <w:spacing w:after="40"/>
            </w:pPr>
            <w:r/>
            <w:r>
              <w:rPr>
                <w:sz w:val="18"/>
              </w:rPr>
              <w:t>III</w:t>
            </w:r>
          </w:p>
        </w:tc>
      </w:tr>
      <w:tr>
        <w:tc>
          <w:tcPr>
            <w:tcW w:type="dxa" w:w="4872"/>
            <w:shd w:val="clear" w:color="auto" w:fill="F4F7F9"/>
          </w:tcPr>
          <w:p>
            <w:pPr>
              <w:spacing w:after="40"/>
            </w:pPr>
            <w:r/>
            <w:r>
              <w:rPr>
                <w:sz w:val="18"/>
              </w:rPr>
              <w:t>La frontière collecte / traitement</w:t>
            </w:r>
          </w:p>
        </w:tc>
        <w:tc>
          <w:tcPr>
            <w:tcW w:type="dxa" w:w="4872"/>
            <w:shd w:val="clear" w:color="auto" w:fill="F4F7F9"/>
          </w:tcPr>
          <w:p>
            <w:pPr>
              <w:spacing w:after="40"/>
            </w:pPr>
            <w:r/>
            <w:r>
              <w:rPr>
                <w:sz w:val="18"/>
              </w:rPr>
              <w:t>V</w:t>
            </w:r>
          </w:p>
        </w:tc>
      </w:tr>
      <w:tr>
        <w:tc>
          <w:tcPr>
            <w:tcW w:type="dxa" w:w="4872"/>
          </w:tcPr>
          <w:p>
            <w:pPr>
              <w:spacing w:after="40"/>
            </w:pPr>
            <w:r/>
            <w:r>
              <w:rPr>
                <w:sz w:val="18"/>
              </w:rPr>
              <w:t>Le modèle de capacités</w:t>
            </w:r>
          </w:p>
        </w:tc>
        <w:tc>
          <w:tcPr>
            <w:tcW w:type="dxa" w:w="4872"/>
          </w:tcPr>
          <w:p>
            <w:pPr>
              <w:spacing w:after="40"/>
            </w:pPr>
            <w:r/>
            <w:r>
              <w:rPr>
                <w:sz w:val="18"/>
              </w:rPr>
              <w:t>III, VI</w:t>
            </w:r>
          </w:p>
        </w:tc>
      </w:tr>
      <w:tr>
        <w:tc>
          <w:tcPr>
            <w:tcW w:type="dxa" w:w="4872"/>
            <w:shd w:val="clear" w:color="auto" w:fill="F4F7F9"/>
          </w:tcPr>
          <w:p>
            <w:pPr>
              <w:spacing w:after="40"/>
            </w:pPr>
            <w:r/>
            <w:r>
              <w:rPr>
                <w:sz w:val="18"/>
              </w:rPr>
              <w:t>Le format du journal d'audit</w:t>
            </w:r>
          </w:p>
        </w:tc>
        <w:tc>
          <w:tcPr>
            <w:tcW w:type="dxa" w:w="4872"/>
            <w:shd w:val="clear" w:color="auto" w:fill="F4F7F9"/>
          </w:tcPr>
          <w:p>
            <w:pPr>
              <w:spacing w:after="40"/>
            </w:pPr>
            <w:r/>
            <w:r>
              <w:rPr>
                <w:sz w:val="18"/>
              </w:rPr>
              <w:t>VI</w:t>
            </w:r>
          </w:p>
        </w:tc>
      </w:tr>
    </w:tbl>
    <w:p/>
    <w:p>
      <w:pPr>
        <w:pStyle w:val="Heading2"/>
      </w:pPr>
      <w:r>
        <w:t>1.3 Rôles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Rôle</w:t>
            </w:r>
          </w:p>
        </w:tc>
        <w:tc>
          <w:tcPr>
            <w:tcW w:type="dxa" w:w="3248"/>
            <w:shd w:val="clear" w:color="auto" w:fill="0B3D5B"/>
          </w:tcPr>
          <w:p>
            <w:pPr>
              <w:spacing w:after="40"/>
            </w:pPr>
            <w:r/>
            <w:r>
              <w:rPr>
                <w:b/>
                <w:color w:val="FFFFFF"/>
                <w:sz w:val="18"/>
              </w:rPr>
              <w:t>Attributions</w:t>
            </w:r>
          </w:p>
        </w:tc>
        <w:tc>
          <w:tcPr>
            <w:tcW w:type="dxa" w:w="3248"/>
            <w:shd w:val="clear" w:color="auto" w:fill="0B3D5B"/>
          </w:tcPr>
          <w:p>
            <w:pPr>
              <w:spacing w:after="40"/>
            </w:pPr>
            <w:r/>
            <w:r>
              <w:rPr>
                <w:b/>
                <w:color w:val="FFFFFF"/>
                <w:sz w:val="18"/>
              </w:rPr>
              <w:t>Nombre visé</w:t>
            </w:r>
          </w:p>
        </w:tc>
      </w:tr>
      <w:tr>
        <w:tc>
          <w:tcPr>
            <w:tcW w:type="dxa" w:w="3248"/>
          </w:tcPr>
          <w:p>
            <w:pPr>
              <w:spacing w:after="40"/>
            </w:pPr>
            <w:r/>
            <w:r>
              <w:rPr>
                <w:sz w:val="18"/>
              </w:rPr>
              <w:t>Mainteneur</w:t>
            </w:r>
          </w:p>
        </w:tc>
        <w:tc>
          <w:tcPr>
            <w:tcW w:type="dxa" w:w="3248"/>
          </w:tcPr>
          <w:p>
            <w:pPr>
              <w:spacing w:after="40"/>
            </w:pPr>
            <w:r/>
            <w:r>
              <w:rPr>
                <w:sz w:val="18"/>
              </w:rPr>
              <w:t>Fusionne, publie, tranche sur le noyau</w:t>
            </w:r>
          </w:p>
        </w:tc>
        <w:tc>
          <w:tcPr>
            <w:tcW w:type="dxa" w:w="3248"/>
          </w:tcPr>
          <w:p>
            <w:pPr>
              <w:spacing w:after="40"/>
            </w:pPr>
            <w:r/>
            <w:r>
              <w:rPr>
                <w:sz w:val="18"/>
              </w:rPr>
              <w:t>3 à 5</w:t>
            </w:r>
          </w:p>
        </w:tc>
      </w:tr>
      <w:tr>
        <w:tc>
          <w:tcPr>
            <w:tcW w:type="dxa" w:w="3248"/>
            <w:shd w:val="clear" w:color="auto" w:fill="F4F7F9"/>
          </w:tcPr>
          <w:p>
            <w:pPr>
              <w:spacing w:after="40"/>
            </w:pPr>
            <w:r/>
            <w:r>
              <w:rPr>
                <w:sz w:val="18"/>
              </w:rPr>
              <w:t>Réviseur</w:t>
            </w:r>
          </w:p>
        </w:tc>
        <w:tc>
          <w:tcPr>
            <w:tcW w:type="dxa" w:w="3248"/>
            <w:shd w:val="clear" w:color="auto" w:fill="F4F7F9"/>
          </w:tcPr>
          <w:p>
            <w:pPr>
              <w:spacing w:after="40"/>
            </w:pPr>
            <w:r/>
            <w:r>
              <w:rPr>
                <w:sz w:val="18"/>
              </w:rPr>
              <w:t>Revue de la périphérie</w:t>
            </w:r>
          </w:p>
        </w:tc>
        <w:tc>
          <w:tcPr>
            <w:tcW w:type="dxa" w:w="3248"/>
            <w:shd w:val="clear" w:color="auto" w:fill="F4F7F9"/>
          </w:tcPr>
          <w:p>
            <w:pPr>
              <w:spacing w:after="40"/>
            </w:pPr>
            <w:r/>
            <w:r>
              <w:rPr>
                <w:sz w:val="18"/>
              </w:rPr>
              <w:t>5 à 15</w:t>
            </w:r>
          </w:p>
        </w:tc>
      </w:tr>
      <w:tr>
        <w:tc>
          <w:tcPr>
            <w:tcW w:type="dxa" w:w="3248"/>
          </w:tcPr>
          <w:p>
            <w:pPr>
              <w:spacing w:after="40"/>
            </w:pPr>
            <w:r/>
            <w:r>
              <w:rPr>
                <w:sz w:val="18"/>
              </w:rPr>
              <w:t>Contributeur</w:t>
            </w:r>
          </w:p>
        </w:tc>
        <w:tc>
          <w:tcPr>
            <w:tcW w:type="dxa" w:w="3248"/>
          </w:tcPr>
          <w:p>
            <w:pPr>
              <w:spacing w:after="40"/>
            </w:pPr>
            <w:r/>
            <w:r>
              <w:rPr>
                <w:sz w:val="18"/>
              </w:rPr>
              <w:t>Propose des modifications</w:t>
            </w:r>
          </w:p>
        </w:tc>
        <w:tc>
          <w:tcPr>
            <w:tcW w:type="dxa" w:w="3248"/>
          </w:tcPr>
          <w:p>
            <w:pPr>
              <w:spacing w:after="40"/>
            </w:pPr>
            <w:r/>
            <w:r>
              <w:rPr>
                <w:sz w:val="18"/>
              </w:rPr>
              <w:t>Illimité</w:t>
            </w:r>
          </w:p>
        </w:tc>
      </w:tr>
      <w:tr>
        <w:tc>
          <w:tcPr>
            <w:tcW w:type="dxa" w:w="3248"/>
            <w:shd w:val="clear" w:color="auto" w:fill="F4F7F9"/>
          </w:tcPr>
          <w:p>
            <w:pPr>
              <w:spacing w:after="40"/>
            </w:pPr>
            <w:r/>
            <w:r>
              <w:rPr>
                <w:sz w:val="18"/>
              </w:rPr>
              <w:t>Auteur de plugin</w:t>
            </w:r>
          </w:p>
        </w:tc>
        <w:tc>
          <w:tcPr>
            <w:tcW w:type="dxa" w:w="3248"/>
            <w:shd w:val="clear" w:color="auto" w:fill="F4F7F9"/>
          </w:tcPr>
          <w:p>
            <w:pPr>
              <w:spacing w:after="40"/>
            </w:pPr>
            <w:r/>
            <w:r>
              <w:rPr>
                <w:sz w:val="18"/>
              </w:rPr>
              <w:t>Publie des extensions</w:t>
            </w:r>
          </w:p>
        </w:tc>
        <w:tc>
          <w:tcPr>
            <w:tcW w:type="dxa" w:w="3248"/>
            <w:shd w:val="clear" w:color="auto" w:fill="F4F7F9"/>
          </w:tcPr>
          <w:p>
            <w:pPr>
              <w:spacing w:after="40"/>
            </w:pPr>
            <w:r/>
            <w:r>
              <w:rPr>
                <w:sz w:val="18"/>
              </w:rPr>
              <w:t>Illimité</w:t>
            </w:r>
          </w:p>
        </w:tc>
      </w:tr>
    </w:tbl>
    <w:p/>
    <w:p>
      <w:pPr>
        <w:jc w:val="both"/>
      </w:pPr>
      <w:r>
        <w:t xml:space="preserve">Le nombre minimal de trois mainteneurs n'est pas indicatif. En dessous, le projet est un point de défaillance unique. La règle en découle : </w:t>
      </w:r>
      <w:r>
        <w:rPr>
          <w:b/>
        </w:rPr>
        <w:t>un projet à un seul mainteneur actif est en état d'alerte</w:t>
      </w:r>
      <w:r>
        <w:t>, et la recherche de renfort devient prioritaire sur toute autre tâche.</w:t>
      </w:r>
    </w:p>
    <w:p>
      <w:pPr>
        <w:pStyle w:val="Heading2"/>
      </w:pPr>
      <w:r>
        <w:t>1.4 Résolution des désaccords</w:t>
      </w:r>
    </w:p>
    <w:p>
      <w:pPr>
        <w:spacing w:before="120" w:after="200"/>
        <w:ind w:left="170"/>
        <w:shd w:val="clear" w:color="auto" w:fill="F2F5F7"/>
        <w:pBdr>
          <w:left w:val="single" w:sz="12" w:space="8" w:color="9FB3C0"/>
        </w:pBdr>
      </w:pPr>
      <w:r>
        <w:rPr>
          <w:rFonts w:ascii="Consolas" w:hAnsi="Consolas" w:eastAsia="Consolas"/>
          <w:sz w:val="17"/>
        </w:rPr>
        <w:t>1. Discussion technique publique, dans l'issue ou la proposition</w:t>
        <w:br/>
      </w:r>
      <w:r>
        <w:rPr>
          <w:rFonts w:ascii="Consolas" w:hAnsi="Consolas" w:eastAsia="Consolas"/>
          <w:sz w:val="17"/>
        </w:rPr>
        <w:t>2. Recherche de consensus  (defaut : le statu quo l'emporte)</w:t>
        <w:br/>
      </w:r>
      <w:r>
        <w:rPr>
          <w:rFonts w:ascii="Consolas" w:hAnsi="Consolas" w:eastAsia="Consolas"/>
          <w:sz w:val="17"/>
        </w:rPr>
        <w:t>3. Si le desaccord persiste : redaction d'un ADR presentant les options</w:t>
        <w:br/>
      </w:r>
      <w:r>
        <w:rPr>
          <w:rFonts w:ascii="Consolas" w:hAnsi="Consolas" w:eastAsia="Consolas"/>
          <w:sz w:val="17"/>
        </w:rPr>
        <w:t>4. Vote des mainteneurs, majorite simple</w:t>
        <w:br/>
      </w:r>
      <w:r>
        <w:rPr>
          <w:rFonts w:ascii="Consolas" w:hAnsi="Consolas" w:eastAsia="Consolas"/>
          <w:sz w:val="17"/>
        </w:rPr>
        <w:t>5. L'ADR consigne la decision ET les objections</w:t>
      </w:r>
    </w:p>
    <w:p>
      <w:pPr>
        <w:jc w:val="both"/>
      </w:pPr>
      <w:r>
        <w:t>L'étape 5 mérite d'être soulignée. Un ADR qui ne consigne que la décision retenue perd l'information la plus utile : ce que les opposants craignaient. Trois ans plus tard, quand la crainte se réalise, le registre doit permettre de retrouver qui l'avait anticipée et pourquoi.</w:t>
      </w:r>
    </w:p>
    <w:p>
      <w:r>
        <w:br w:type="page"/>
      </w:r>
    </w:p>
    <w:p>
      <w:pPr>
        <w:pStyle w:val="Heading1"/>
      </w:pPr>
      <w:r>
        <w:t>Chapitre 2 — Contribution</w:t>
      </w:r>
    </w:p>
    <w:p>
      <w:pPr>
        <w:pStyle w:val="Heading2"/>
      </w:pPr>
      <w:r>
        <w:t>2.1 Cheminement d'une modification</w:t>
      </w:r>
    </w:p>
    <w:p>
      <w:pPr>
        <w:spacing w:before="120" w:after="200"/>
        <w:ind w:left="170"/>
        <w:shd w:val="clear" w:color="auto" w:fill="F2F5F7"/>
        <w:pBdr>
          <w:left w:val="single" w:sz="12" w:space="8" w:color="9FB3C0"/>
        </w:pBdr>
      </w:pPr>
      <w:r>
        <w:rPr>
          <w:rFonts w:ascii="Consolas" w:hAnsi="Consolas" w:eastAsia="Consolas"/>
          <w:sz w:val="17"/>
        </w:rPr>
        <w:t>Idee</w:t>
        <w:br/>
      </w:r>
      <w:r>
        <w:rPr>
          <w:rFonts w:ascii="Consolas" w:hAnsi="Consolas" w:eastAsia="Consolas"/>
          <w:sz w:val="17"/>
        </w:rPr>
        <w:t xml:space="preserve">  |</w:t>
        <w:br/>
      </w:r>
      <w:r>
        <w:rPr>
          <w:rFonts w:ascii="Consolas" w:hAnsi="Consolas" w:eastAsia="Consolas"/>
          <w:sz w:val="17"/>
        </w:rPr>
        <w:t xml:space="preserve">  +-- Touche le noyau ?</w:t>
        <w:br/>
      </w:r>
      <w:r>
        <w:rPr>
          <w:rFonts w:ascii="Consolas" w:hAnsi="Consolas" w:eastAsia="Consolas"/>
          <w:sz w:val="17"/>
        </w:rPr>
        <w:t xml:space="preserve">  |     OUI -&gt; Issue de discussion -&gt; ADR propose -&gt; consensus -&gt; code</w:t>
        <w:br/>
      </w:r>
      <w:r>
        <w:rPr>
          <w:rFonts w:ascii="Consolas" w:hAnsi="Consolas" w:eastAsia="Consolas"/>
          <w:sz w:val="17"/>
        </w:rPr>
        <w:t xml:space="preserve">  |     NON -&gt; continuer</w:t>
        <w:br/>
      </w:r>
      <w:r>
        <w:rPr>
          <w:rFonts w:ascii="Consolas" w:hAnsi="Consolas" w:eastAsia="Consolas"/>
          <w:sz w:val="17"/>
        </w:rPr>
        <w:t xml:space="preserve">  |</w:t>
        <w:br/>
      </w:r>
      <w:r>
        <w:rPr>
          <w:rFonts w:ascii="Consolas" w:hAnsi="Consolas" w:eastAsia="Consolas"/>
          <w:sz w:val="17"/>
        </w:rPr>
        <w:t xml:space="preserve">  +-- Ecrire le code + les tests</w:t>
        <w:br/>
      </w:r>
      <w:r>
        <w:rPr>
          <w:rFonts w:ascii="Consolas" w:hAnsi="Consolas" w:eastAsia="Consolas"/>
          <w:sz w:val="17"/>
        </w:rPr>
        <w:t xml:space="preserve">  |</w:t>
        <w:br/>
      </w:r>
      <w:r>
        <w:rPr>
          <w:rFonts w:ascii="Consolas" w:hAnsi="Consolas" w:eastAsia="Consolas"/>
          <w:sz w:val="17"/>
        </w:rPr>
        <w:t xml:space="preserve">  +-- Portes locales : lint, types, tests unitaires</w:t>
        <w:br/>
      </w:r>
      <w:r>
        <w:rPr>
          <w:rFonts w:ascii="Consolas" w:hAnsi="Consolas" w:eastAsia="Consolas"/>
          <w:sz w:val="17"/>
        </w:rPr>
        <w:t xml:space="preserve">  |</w:t>
        <w:br/>
      </w:r>
      <w:r>
        <w:rPr>
          <w:rFonts w:ascii="Consolas" w:hAnsi="Consolas" w:eastAsia="Consolas"/>
          <w:sz w:val="17"/>
        </w:rPr>
        <w:t xml:space="preserve">  +-- Proposition de fusion</w:t>
        <w:br/>
      </w:r>
      <w:r>
        <w:rPr>
          <w:rFonts w:ascii="Consolas" w:hAnsi="Consolas" w:eastAsia="Consolas"/>
          <w:sz w:val="17"/>
        </w:rPr>
        <w:t xml:space="preserve">  |     -&gt; integration continue complete (Volume VIII, 11.1)</w:t>
        <w:br/>
      </w:r>
      <w:r>
        <w:rPr>
          <w:rFonts w:ascii="Consolas" w:hAnsi="Consolas" w:eastAsia="Consolas"/>
          <w:sz w:val="17"/>
        </w:rPr>
        <w:t xml:space="preserve">  |     -&gt; revue humaine</w:t>
        <w:br/>
      </w:r>
      <w:r>
        <w:rPr>
          <w:rFonts w:ascii="Consolas" w:hAnsi="Consolas" w:eastAsia="Consolas"/>
          <w:sz w:val="17"/>
        </w:rPr>
        <w:t xml:space="preserve">  |</w:t>
        <w:br/>
      </w:r>
      <w:r>
        <w:rPr>
          <w:rFonts w:ascii="Consolas" w:hAnsi="Consolas" w:eastAsia="Consolas"/>
          <w:sz w:val="17"/>
        </w:rPr>
        <w:t xml:space="preserve">  +-- Fusion</w:t>
      </w:r>
    </w:p>
    <w:p>
      <w:pPr>
        <w:pStyle w:val="Heading2"/>
      </w:pPr>
      <w:r>
        <w:t>2.2 Grille de revue</w:t>
      </w:r>
    </w:p>
    <w:p>
      <w:pPr>
        <w:jc w:val="both"/>
      </w:pPr>
      <w:r>
        <w:t>Toute revue examine ces sept points, dans cet ordre :</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w:t>
            </w:r>
          </w:p>
        </w:tc>
        <w:tc>
          <w:tcPr>
            <w:tcW w:type="dxa" w:w="3248"/>
            <w:shd w:val="clear" w:color="auto" w:fill="0B3D5B"/>
          </w:tcPr>
          <w:p>
            <w:pPr>
              <w:spacing w:after="40"/>
            </w:pPr>
            <w:r/>
            <w:r>
              <w:rPr>
                <w:b/>
                <w:color w:val="FFFFFF"/>
                <w:sz w:val="18"/>
              </w:rPr>
              <w:t>Question</w:t>
            </w:r>
          </w:p>
        </w:tc>
        <w:tc>
          <w:tcPr>
            <w:tcW w:type="dxa" w:w="3248"/>
            <w:shd w:val="clear" w:color="auto" w:fill="0B3D5B"/>
          </w:tcPr>
          <w:p>
            <w:pPr>
              <w:spacing w:after="40"/>
            </w:pPr>
            <w:r/>
            <w:r>
              <w:rPr>
                <w:b/>
                <w:color w:val="FFFFFF"/>
                <w:sz w:val="18"/>
              </w:rPr>
              <w:t>Volume de référence</w:t>
            </w:r>
          </w:p>
        </w:tc>
      </w:tr>
      <w:tr>
        <w:tc>
          <w:tcPr>
            <w:tcW w:type="dxa" w:w="3248"/>
          </w:tcPr>
          <w:p>
            <w:pPr>
              <w:spacing w:after="40"/>
            </w:pPr>
            <w:r/>
            <w:r>
              <w:rPr>
                <w:sz w:val="18"/>
              </w:rPr>
              <w:t>1</w:t>
            </w:r>
          </w:p>
        </w:tc>
        <w:tc>
          <w:tcPr>
            <w:tcW w:type="dxa" w:w="3248"/>
          </w:tcPr>
          <w:p>
            <w:pPr>
              <w:spacing w:after="40"/>
            </w:pPr>
            <w:r/>
            <w:r>
              <w:rPr>
                <w:sz w:val="18"/>
              </w:rPr>
              <w:t>Un invariant est-il affaibli ?</w:t>
            </w:r>
          </w:p>
        </w:tc>
        <w:tc>
          <w:tcPr>
            <w:tcW w:type="dxa" w:w="3248"/>
          </w:tcPr>
          <w:p>
            <w:pPr>
              <w:spacing w:after="40"/>
            </w:pPr>
            <w:r/>
            <w:r>
              <w:rPr>
                <w:sz w:val="18"/>
              </w:rPr>
              <w:t>I, IV</w:t>
            </w:r>
          </w:p>
        </w:tc>
      </w:tr>
      <w:tr>
        <w:tc>
          <w:tcPr>
            <w:tcW w:type="dxa" w:w="3248"/>
            <w:shd w:val="clear" w:color="auto" w:fill="F4F7F9"/>
          </w:tcPr>
          <w:p>
            <w:pPr>
              <w:spacing w:after="40"/>
            </w:pPr>
            <w:r/>
            <w:r>
              <w:rPr>
                <w:sz w:val="18"/>
              </w:rPr>
              <w:t>2</w:t>
            </w:r>
          </w:p>
        </w:tc>
        <w:tc>
          <w:tcPr>
            <w:tcW w:type="dxa" w:w="3248"/>
            <w:shd w:val="clear" w:color="auto" w:fill="F4F7F9"/>
          </w:tcPr>
          <w:p>
            <w:pPr>
              <w:spacing w:after="40"/>
            </w:pPr>
            <w:r/>
            <w:r>
              <w:rPr>
                <w:sz w:val="18"/>
              </w:rPr>
              <w:t>Une donnée peut-elle être perdue par ce changement ?</w:t>
            </w:r>
          </w:p>
        </w:tc>
        <w:tc>
          <w:tcPr>
            <w:tcW w:type="dxa" w:w="3248"/>
            <w:shd w:val="clear" w:color="auto" w:fill="F4F7F9"/>
          </w:tcPr>
          <w:p>
            <w:pPr>
              <w:spacing w:after="40"/>
            </w:pPr>
            <w:r/>
            <w:r>
              <w:rPr>
                <w:sz w:val="18"/>
              </w:rPr>
              <w:t>IV</w:t>
            </w:r>
          </w:p>
        </w:tc>
      </w:tr>
      <w:tr>
        <w:tc>
          <w:tcPr>
            <w:tcW w:type="dxa" w:w="3248"/>
          </w:tcPr>
          <w:p>
            <w:pPr>
              <w:spacing w:after="40"/>
            </w:pPr>
            <w:r/>
            <w:r>
              <w:rPr>
                <w:sz w:val="18"/>
              </w:rPr>
              <w:t>3</w:t>
            </w:r>
          </w:p>
        </w:tc>
        <w:tc>
          <w:tcPr>
            <w:tcW w:type="dxa" w:w="3248"/>
          </w:tcPr>
          <w:p>
            <w:pPr>
              <w:spacing w:after="40"/>
            </w:pPr>
            <w:r/>
            <w:r>
              <w:rPr>
                <w:sz w:val="18"/>
              </w:rPr>
              <w:t>Un contrat public est-il modifié ?</w:t>
            </w:r>
          </w:p>
        </w:tc>
        <w:tc>
          <w:tcPr>
            <w:tcW w:type="dxa" w:w="3248"/>
          </w:tcPr>
          <w:p>
            <w:pPr>
              <w:spacing w:after="40"/>
            </w:pPr>
            <w:r/>
            <w:r>
              <w:rPr>
                <w:sz w:val="18"/>
              </w:rPr>
              <w:t>III</w:t>
            </w:r>
          </w:p>
        </w:tc>
      </w:tr>
      <w:tr>
        <w:tc>
          <w:tcPr>
            <w:tcW w:type="dxa" w:w="3248"/>
            <w:shd w:val="clear" w:color="auto" w:fill="F4F7F9"/>
          </w:tcPr>
          <w:p>
            <w:pPr>
              <w:spacing w:after="40"/>
            </w:pPr>
            <w:r/>
            <w:r>
              <w:rPr>
                <w:sz w:val="18"/>
              </w:rPr>
              <w:t>4</w:t>
            </w:r>
          </w:p>
        </w:tc>
        <w:tc>
          <w:tcPr>
            <w:tcW w:type="dxa" w:w="3248"/>
            <w:shd w:val="clear" w:color="auto" w:fill="F4F7F9"/>
          </w:tcPr>
          <w:p>
            <w:pPr>
              <w:spacing w:after="40"/>
            </w:pPr>
            <w:r/>
            <w:r>
              <w:rPr>
                <w:sz w:val="18"/>
              </w:rPr>
              <w:t>Les erreurs sont-elles honnêtes ?</w:t>
            </w:r>
          </w:p>
        </w:tc>
        <w:tc>
          <w:tcPr>
            <w:tcW w:type="dxa" w:w="3248"/>
            <w:shd w:val="clear" w:color="auto" w:fill="F4F7F9"/>
          </w:tcPr>
          <w:p>
            <w:pPr>
              <w:spacing w:after="40"/>
            </w:pPr>
            <w:r/>
            <w:r>
              <w:rPr>
                <w:sz w:val="18"/>
              </w:rPr>
              <w:t>III, 8.3</w:t>
            </w:r>
          </w:p>
        </w:tc>
      </w:tr>
      <w:tr>
        <w:tc>
          <w:tcPr>
            <w:tcW w:type="dxa" w:w="3248"/>
          </w:tcPr>
          <w:p>
            <w:pPr>
              <w:spacing w:after="40"/>
            </w:pPr>
            <w:r/>
            <w:r>
              <w:rPr>
                <w:sz w:val="18"/>
              </w:rPr>
              <w:t>5</w:t>
            </w:r>
          </w:p>
        </w:tc>
        <w:tc>
          <w:tcPr>
            <w:tcW w:type="dxa" w:w="3248"/>
          </w:tcPr>
          <w:p>
            <w:pPr>
              <w:spacing w:after="40"/>
            </w:pPr>
            <w:r/>
            <w:r>
              <w:rPr>
                <w:sz w:val="18"/>
              </w:rPr>
              <w:t>Les tests couvrent-ils les cas de panne, pas seulement le cas nominal ?</w:t>
            </w:r>
          </w:p>
        </w:tc>
        <w:tc>
          <w:tcPr>
            <w:tcW w:type="dxa" w:w="3248"/>
          </w:tcPr>
          <w:p>
            <w:pPr>
              <w:spacing w:after="40"/>
            </w:pPr>
            <w:r/>
            <w:r>
              <w:rPr>
                <w:sz w:val="18"/>
              </w:rPr>
              <w:t>VIII</w:t>
            </w:r>
          </w:p>
        </w:tc>
      </w:tr>
      <w:tr>
        <w:tc>
          <w:tcPr>
            <w:tcW w:type="dxa" w:w="3248"/>
            <w:shd w:val="clear" w:color="auto" w:fill="F4F7F9"/>
          </w:tcPr>
          <w:p>
            <w:pPr>
              <w:spacing w:after="40"/>
            </w:pPr>
            <w:r/>
            <w:r>
              <w:rPr>
                <w:sz w:val="18"/>
              </w:rPr>
              <w:t>6</w:t>
            </w:r>
          </w:p>
        </w:tc>
        <w:tc>
          <w:tcPr>
            <w:tcW w:type="dxa" w:w="3248"/>
            <w:shd w:val="clear" w:color="auto" w:fill="F4F7F9"/>
          </w:tcPr>
          <w:p>
            <w:pPr>
              <w:spacing w:after="40"/>
            </w:pPr>
            <w:r/>
            <w:r>
              <w:rPr>
                <w:sz w:val="18"/>
              </w:rPr>
              <w:t>Le noyau reste-t-il ignorant des sources ?</w:t>
            </w:r>
          </w:p>
        </w:tc>
        <w:tc>
          <w:tcPr>
            <w:tcW w:type="dxa" w:w="3248"/>
            <w:shd w:val="clear" w:color="auto" w:fill="F4F7F9"/>
          </w:tcPr>
          <w:p>
            <w:pPr>
              <w:spacing w:after="40"/>
            </w:pPr>
            <w:r/>
            <w:r>
              <w:rPr>
                <w:sz w:val="18"/>
              </w:rPr>
              <w:t>I, 9</w:t>
            </w:r>
          </w:p>
        </w:tc>
      </w:tr>
      <w:tr>
        <w:tc>
          <w:tcPr>
            <w:tcW w:type="dxa" w:w="3248"/>
          </w:tcPr>
          <w:p>
            <w:pPr>
              <w:spacing w:after="40"/>
            </w:pPr>
            <w:r/>
            <w:r>
              <w:rPr>
                <w:sz w:val="18"/>
              </w:rPr>
              <w:t>7</w:t>
            </w:r>
          </w:p>
        </w:tc>
        <w:tc>
          <w:tcPr>
            <w:tcW w:type="dxa" w:w="3248"/>
          </w:tcPr>
          <w:p>
            <w:pPr>
              <w:spacing w:after="40"/>
            </w:pPr>
            <w:r/>
            <w:r>
              <w:rPr>
                <w:sz w:val="18"/>
              </w:rPr>
              <w:t>La modification est-elle réversible ?</w:t>
            </w:r>
          </w:p>
        </w:tc>
        <w:tc>
          <w:tcPr>
            <w:tcW w:type="dxa" w:w="3248"/>
          </w:tcPr>
          <w:p>
            <w:pPr>
              <w:spacing w:after="40"/>
            </w:pPr>
            <w:r/>
            <w:r>
              <w:rPr>
                <w:sz w:val="18"/>
              </w:rPr>
              <w:t>IX, 3</w:t>
            </w:r>
          </w:p>
        </w:tc>
      </w:tr>
    </w:tbl>
    <w:p/>
    <w:p>
      <w:pPr>
        <w:jc w:val="both"/>
      </w:pPr>
      <w:r>
        <w:t>Les questions 1, 2 et 6 sont bloquantes. Une réponse défavorable interrompt la revue : la discussion se déplace vers un ADR, elle ne se poursuit pas dans les commentaires de la proposition.</w:t>
      </w:r>
    </w:p>
    <w:p>
      <w:pPr>
        <w:pStyle w:val="Heading2"/>
      </w:pPr>
      <w:r>
        <w:t>2.3 Conventions de validation</w:t>
      </w:r>
    </w:p>
    <w:p>
      <w:pPr>
        <w:spacing w:before="120" w:after="200"/>
        <w:ind w:left="170"/>
        <w:shd w:val="clear" w:color="auto" w:fill="F2F5F7"/>
        <w:pBdr>
          <w:left w:val="single" w:sz="12" w:space="8" w:color="9FB3C0"/>
        </w:pBdr>
      </w:pPr>
      <w:r>
        <w:rPr>
          <w:rFonts w:ascii="Consolas" w:hAnsi="Consolas" w:eastAsia="Consolas"/>
          <w:sz w:val="17"/>
        </w:rPr>
        <w:t>feat(storage): ajout de la compression zstd pour le contenu texte</w:t>
        <w:br/>
      </w:r>
      <w:r>
        <w:rPr>
          <w:rFonts w:ascii="Consolas" w:hAnsi="Consolas" w:eastAsia="Consolas"/>
          <w:sz w:val="17"/>
        </w:rPr>
        <w:t>fix(plugin): correction de la stabilite du nativeId sur les index pagines</w:t>
        <w:br/>
      </w:r>
      <w:r>
        <w:rPr>
          <w:rFonts w:ascii="Consolas" w:hAnsi="Consolas" w:eastAsia="Consolas"/>
          <w:sz w:val="17"/>
        </w:rPr>
        <w:t>docs(vol4): precision du protocole d'ecriture atomique</w:t>
        <w:br/>
      </w:r>
      <w:r>
        <w:rPr>
          <w:rFonts w:ascii="Consolas" w:hAnsi="Consolas" w:eastAsia="Consolas"/>
          <w:sz w:val="17"/>
        </w:rPr>
        <w:t>refactor(kernel): extraction du RateLimiter hors du HttpClient</w:t>
        <w:br/>
      </w:r>
      <w:r>
        <w:rPr>
          <w:rFonts w:ascii="Consolas" w:hAnsi="Consolas" w:eastAsia="Consolas"/>
          <w:sz w:val="17"/>
        </w:rPr>
        <w:t>test(integrity): couverture des six points de panne</w:t>
        <w:br/>
      </w:r>
      <w:r>
        <w:rPr>
          <w:rFonts w:ascii="Consolas" w:hAnsi="Consolas" w:eastAsia="Consolas"/>
          <w:sz w:val="17"/>
        </w:rPr>
        <w:t>perf(pipeline): mise en cache OCR par empreinte de page</w:t>
        <w:br/>
      </w:r>
      <w:r>
        <w:rPr>
          <w:rFonts w:ascii="Consolas" w:hAnsi="Consolas" w:eastAsia="Consolas"/>
          <w:sz w:val="17"/>
        </w:rPr>
        <w:t>break(api): retrait de l'apiVersion 1.x du contrat de plugin</w:t>
      </w:r>
    </w:p>
    <w:p>
      <w:pPr>
        <w:jc w:val="both"/>
      </w:pPr>
      <w:r>
        <w:t xml:space="preserve">Le préfixe </w:t>
      </w:r>
      <w:r>
        <w:rPr>
          <w:rFonts w:ascii="Consolas" w:hAnsi="Consolas"/>
          <w:color w:val="8B1A1A"/>
          <w:sz w:val="19"/>
        </w:rPr>
        <w:t>break</w:t>
      </w:r>
      <w:r>
        <w:t xml:space="preserve"> déclenche automatiquement le processus du chapitre 3. Il ne peut être employé que dans une proposition accompagnée d'un ADR accepté.</w:t>
      </w:r>
    </w:p>
    <w:p>
      <w:r>
        <w:br w:type="page"/>
      </w:r>
    </w:p>
    <w:p>
      <w:pPr>
        <w:pStyle w:val="Heading1"/>
      </w:pPr>
      <w:r>
        <w:t>Chapitre 3 — Version, dépréciation, retrait</w:t>
      </w:r>
    </w:p>
    <w:p>
      <w:pPr>
        <w:pStyle w:val="Heading2"/>
      </w:pPr>
      <w:r>
        <w:t>3.1 Ce qui est versionné</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Élément</w:t>
            </w:r>
          </w:p>
        </w:tc>
        <w:tc>
          <w:tcPr>
            <w:tcW w:type="dxa" w:w="3248"/>
            <w:shd w:val="clear" w:color="auto" w:fill="0B3D5B"/>
          </w:tcPr>
          <w:p>
            <w:pPr>
              <w:spacing w:after="40"/>
            </w:pPr>
            <w:r/>
            <w:r>
              <w:rPr>
                <w:b/>
                <w:color w:val="FFFFFF"/>
                <w:sz w:val="18"/>
              </w:rPr>
              <w:t>Schéma</w:t>
            </w:r>
          </w:p>
        </w:tc>
        <w:tc>
          <w:tcPr>
            <w:tcW w:type="dxa" w:w="3248"/>
            <w:shd w:val="clear" w:color="auto" w:fill="0B3D5B"/>
          </w:tcPr>
          <w:p>
            <w:pPr>
              <w:spacing w:after="40"/>
            </w:pPr>
            <w:r/>
            <w:r>
              <w:rPr>
                <w:b/>
                <w:color w:val="FFFFFF"/>
                <w:sz w:val="18"/>
              </w:rPr>
              <w:t>Cadence de rupture</w:t>
            </w:r>
          </w:p>
        </w:tc>
      </w:tr>
      <w:tr>
        <w:tc>
          <w:tcPr>
            <w:tcW w:type="dxa" w:w="3248"/>
          </w:tcPr>
          <w:p>
            <w:pPr>
              <w:spacing w:after="40"/>
            </w:pPr>
            <w:r/>
            <w:r>
              <w:rPr>
                <w:sz w:val="18"/>
              </w:rPr>
              <w:t>Kernel</w:t>
            </w:r>
          </w:p>
        </w:tc>
        <w:tc>
          <w:tcPr>
            <w:tcW w:type="dxa" w:w="3248"/>
          </w:tcPr>
          <w:p>
            <w:pPr>
              <w:spacing w:after="40"/>
            </w:pPr>
            <w:r/>
            <w:r>
              <w:rPr>
                <w:sz w:val="18"/>
              </w:rPr>
              <w:t>SemVer</w:t>
            </w:r>
          </w:p>
        </w:tc>
        <w:tc>
          <w:tcPr>
            <w:tcW w:type="dxa" w:w="3248"/>
          </w:tcPr>
          <w:p>
            <w:pPr>
              <w:spacing w:after="40"/>
            </w:pPr>
            <w:r/>
            <w:r>
              <w:rPr>
                <w:sz w:val="18"/>
              </w:rPr>
              <w:t>Rare</w:t>
            </w:r>
          </w:p>
        </w:tc>
      </w:tr>
      <w:tr>
        <w:tc>
          <w:tcPr>
            <w:tcW w:type="dxa" w:w="3248"/>
            <w:shd w:val="clear" w:color="auto" w:fill="F4F7F9"/>
          </w:tcPr>
          <w:p>
            <w:pPr>
              <w:spacing w:after="40"/>
            </w:pPr>
            <w:r/>
            <w:r>
              <w:rPr>
                <w:sz w:val="18"/>
              </w:rPr>
              <w:t>Contrat de plugin (`apiVersion`)</w:t>
            </w:r>
          </w:p>
        </w:tc>
        <w:tc>
          <w:tcPr>
            <w:tcW w:type="dxa" w:w="3248"/>
            <w:shd w:val="clear" w:color="auto" w:fill="F4F7F9"/>
          </w:tcPr>
          <w:p>
            <w:pPr>
              <w:spacing w:after="40"/>
            </w:pPr>
            <w:r/>
            <w:r>
              <w:rPr>
                <w:sz w:val="18"/>
              </w:rPr>
              <w:t>SemVer, majeure uniquement</w:t>
            </w:r>
          </w:p>
        </w:tc>
        <w:tc>
          <w:tcPr>
            <w:tcW w:type="dxa" w:w="3248"/>
            <w:shd w:val="clear" w:color="auto" w:fill="F4F7F9"/>
          </w:tcPr>
          <w:p>
            <w:pPr>
              <w:spacing w:after="40"/>
            </w:pPr>
            <w:r/>
            <w:r>
              <w:rPr>
                <w:sz w:val="18"/>
              </w:rPr>
              <w:t>Très rare</w:t>
            </w:r>
          </w:p>
        </w:tc>
      </w:tr>
      <w:tr>
        <w:tc>
          <w:tcPr>
            <w:tcW w:type="dxa" w:w="3248"/>
          </w:tcPr>
          <w:p>
            <w:pPr>
              <w:spacing w:after="40"/>
            </w:pPr>
            <w:r/>
            <w:r>
              <w:rPr>
                <w:sz w:val="18"/>
              </w:rPr>
              <w:t>API HTTP</w:t>
            </w:r>
          </w:p>
        </w:tc>
        <w:tc>
          <w:tcPr>
            <w:tcW w:type="dxa" w:w="3248"/>
          </w:tcPr>
          <w:p>
            <w:pPr>
              <w:spacing w:after="40"/>
            </w:pPr>
            <w:r/>
            <w:r>
              <w:rPr>
                <w:sz w:val="18"/>
              </w:rPr>
              <w:t>Version dans le chemin (`/api/v1`)</w:t>
            </w:r>
          </w:p>
        </w:tc>
        <w:tc>
          <w:tcPr>
            <w:tcW w:type="dxa" w:w="3248"/>
          </w:tcPr>
          <w:p>
            <w:pPr>
              <w:spacing w:after="40"/>
            </w:pPr>
            <w:r/>
            <w:r>
              <w:rPr>
                <w:sz w:val="18"/>
              </w:rPr>
              <w:t>Très rare</w:t>
            </w:r>
          </w:p>
        </w:tc>
      </w:tr>
      <w:tr>
        <w:tc>
          <w:tcPr>
            <w:tcW w:type="dxa" w:w="3248"/>
            <w:shd w:val="clear" w:color="auto" w:fill="F4F7F9"/>
          </w:tcPr>
          <w:p>
            <w:pPr>
              <w:spacing w:after="40"/>
            </w:pPr>
            <w:r/>
            <w:r>
              <w:rPr>
                <w:sz w:val="18"/>
              </w:rPr>
              <w:t>Schéma de base</w:t>
            </w:r>
          </w:p>
        </w:tc>
        <w:tc>
          <w:tcPr>
            <w:tcW w:type="dxa" w:w="3248"/>
            <w:shd w:val="clear" w:color="auto" w:fill="F4F7F9"/>
          </w:tcPr>
          <w:p>
            <w:pPr>
              <w:spacing w:after="40"/>
            </w:pPr>
            <w:r/>
            <w:r>
              <w:rPr>
                <w:sz w:val="18"/>
              </w:rPr>
              <w:t>Entier croissant</w:t>
            </w:r>
          </w:p>
        </w:tc>
        <w:tc>
          <w:tcPr>
            <w:tcW w:type="dxa" w:w="3248"/>
            <w:shd w:val="clear" w:color="auto" w:fill="F4F7F9"/>
          </w:tcPr>
          <w:p>
            <w:pPr>
              <w:spacing w:after="40"/>
            </w:pPr>
            <w:r/>
            <w:r>
              <w:rPr>
                <w:sz w:val="18"/>
              </w:rPr>
              <w:t>Continue, sans rupture</w:t>
            </w:r>
          </w:p>
        </w:tc>
      </w:tr>
      <w:tr>
        <w:tc>
          <w:tcPr>
            <w:tcW w:type="dxa" w:w="3248"/>
          </w:tcPr>
          <w:p>
            <w:pPr>
              <w:spacing w:after="40"/>
            </w:pPr>
            <w:r/>
            <w:r>
              <w:rPr>
                <w:sz w:val="18"/>
              </w:rPr>
              <w:t>Format d'événement</w:t>
            </w:r>
          </w:p>
        </w:tc>
        <w:tc>
          <w:tcPr>
            <w:tcW w:type="dxa" w:w="3248"/>
          </w:tcPr>
          <w:p>
            <w:pPr>
              <w:spacing w:after="40"/>
            </w:pPr>
            <w:r/>
            <w:r>
              <w:rPr>
                <w:sz w:val="18"/>
              </w:rPr>
              <w:t>`specVersion`</w:t>
            </w:r>
          </w:p>
        </w:tc>
        <w:tc>
          <w:tcPr>
            <w:tcW w:type="dxa" w:w="3248"/>
          </w:tcPr>
          <w:p>
            <w:pPr>
              <w:spacing w:after="40"/>
            </w:pPr>
            <w:r/>
            <w:r>
              <w:rPr>
                <w:sz w:val="18"/>
              </w:rPr>
              <w:t>Très rare</w:t>
            </w:r>
          </w:p>
        </w:tc>
      </w:tr>
      <w:tr>
        <w:tc>
          <w:tcPr>
            <w:tcW w:type="dxa" w:w="3248"/>
            <w:shd w:val="clear" w:color="auto" w:fill="F4F7F9"/>
          </w:tcPr>
          <w:p>
            <w:pPr>
              <w:spacing w:after="40"/>
            </w:pPr>
            <w:r/>
            <w:r>
              <w:rPr>
                <w:sz w:val="18"/>
              </w:rPr>
              <w:t>Format du magasin</w:t>
            </w:r>
          </w:p>
        </w:tc>
        <w:tc>
          <w:tcPr>
            <w:tcW w:type="dxa" w:w="3248"/>
            <w:shd w:val="clear" w:color="auto" w:fill="F4F7F9"/>
          </w:tcPr>
          <w:p>
            <w:pPr>
              <w:spacing w:after="40"/>
            </w:pPr>
            <w:r/>
            <w:r>
              <w:rPr>
                <w:sz w:val="18"/>
              </w:rPr>
              <w:t>`lcfObjectVersion`</w:t>
            </w:r>
          </w:p>
        </w:tc>
        <w:tc>
          <w:tcPr>
            <w:tcW w:type="dxa" w:w="3248"/>
            <w:shd w:val="clear" w:color="auto" w:fill="F4F7F9"/>
          </w:tcPr>
          <w:p>
            <w:pPr>
              <w:spacing w:after="40"/>
            </w:pPr>
            <w:r/>
            <w:r>
              <w:rPr>
                <w:sz w:val="18"/>
              </w:rPr>
              <w:t>Jamais visé</w:t>
            </w:r>
          </w:p>
        </w:tc>
      </w:tr>
    </w:tbl>
    <w:p/>
    <w:p>
      <w:pPr>
        <w:pStyle w:val="Heading2"/>
      </w:pPr>
      <w:r>
        <w:t>3.2 Cycle de dépréciation</w:t>
      </w:r>
    </w:p>
    <w:p>
      <w:pPr>
        <w:jc w:val="both"/>
      </w:pPr>
      <w:r>
        <w:t>Aucun retrait n'est jamais immédiat.</w:t>
      </w:r>
    </w:p>
    <w:p>
      <w:pPr>
        <w:spacing w:before="120" w:after="200"/>
        <w:ind w:left="170"/>
        <w:shd w:val="clear" w:color="auto" w:fill="F2F5F7"/>
        <w:pBdr>
          <w:left w:val="single" w:sz="12" w:space="8" w:color="9FB3C0"/>
        </w:pBdr>
      </w:pPr>
      <w:r>
        <w:rPr>
          <w:rFonts w:ascii="Consolas" w:hAnsi="Consolas" w:eastAsia="Consolas"/>
          <w:sz w:val="17"/>
        </w:rPr>
        <w:t>T+0     Annonce  : la fonction est marquee depreciee, la date de retrait est fixee</w:t>
        <w:br/>
      </w:r>
      <w:r>
        <w:rPr>
          <w:rFonts w:ascii="Consolas" w:hAnsi="Consolas" w:eastAsia="Consolas"/>
          <w:sz w:val="17"/>
        </w:rPr>
        <w:t xml:space="preserve">        - documentation mise a jour</w:t>
        <w:br/>
      </w:r>
      <w:r>
        <w:rPr>
          <w:rFonts w:ascii="Consolas" w:hAnsi="Consolas" w:eastAsia="Consolas"/>
          <w:sz w:val="17"/>
        </w:rPr>
        <w:t xml:space="preserve">        - avertissement a l'execution, une fois par demarrage</w:t>
        <w:br/>
      </w:r>
      <w:r>
        <w:rPr>
          <w:rFonts w:ascii="Consolas" w:hAnsi="Consolas" w:eastAsia="Consolas"/>
          <w:sz w:val="17"/>
        </w:rPr>
        <w:t xml:space="preserve">        - guide de migration publie en meme temps que l'annonce</w:t>
        <w:br/>
      </w:r>
      <w:r>
        <w:rPr>
          <w:rFonts w:ascii="Consolas" w:hAnsi="Consolas" w:eastAsia="Consolas"/>
          <w:sz w:val="17"/>
        </w:rPr>
        <w:t>T+6m    Rappel   : avertissement a chaque usage</w:t>
        <w:br/>
      </w:r>
      <w:r>
        <w:rPr>
          <w:rFonts w:ascii="Consolas" w:hAnsi="Consolas" w:eastAsia="Consolas"/>
          <w:sz w:val="17"/>
        </w:rPr>
        <w:t>T+12m   Insistance : avertissement + mention dans le rapport de sante</w:t>
        <w:br/>
      </w:r>
      <w:r>
        <w:rPr>
          <w:rFonts w:ascii="Consolas" w:hAnsi="Consolas" w:eastAsia="Consolas"/>
          <w:sz w:val="17"/>
        </w:rPr>
        <w:t>T+24m   Retrait  : uniquement dans une version majeure</w:t>
      </w:r>
    </w:p>
    <w:p>
      <w:pPr>
        <w:jc w:val="both"/>
      </w:pPr>
      <w:r>
        <w:t>Durées minimales imposées :</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Élément retiré</w:t>
            </w:r>
          </w:p>
        </w:tc>
        <w:tc>
          <w:tcPr>
            <w:tcW w:type="dxa" w:w="4872"/>
            <w:shd w:val="clear" w:color="auto" w:fill="0B3D5B"/>
          </w:tcPr>
          <w:p>
            <w:pPr>
              <w:spacing w:after="40"/>
            </w:pPr>
            <w:r/>
            <w:r>
              <w:rPr>
                <w:b/>
                <w:color w:val="FFFFFF"/>
                <w:sz w:val="18"/>
              </w:rPr>
              <w:t>Préavis minimal</w:t>
            </w:r>
          </w:p>
        </w:tc>
      </w:tr>
      <w:tr>
        <w:tc>
          <w:tcPr>
            <w:tcW w:type="dxa" w:w="4872"/>
          </w:tcPr>
          <w:p>
            <w:pPr>
              <w:spacing w:after="40"/>
            </w:pPr>
            <w:r/>
            <w:r>
              <w:rPr>
                <w:sz w:val="18"/>
              </w:rPr>
              <w:t>Contrat de plugin (majeure)</w:t>
            </w:r>
          </w:p>
        </w:tc>
        <w:tc>
          <w:tcPr>
            <w:tcW w:type="dxa" w:w="4872"/>
          </w:tcPr>
          <w:p>
            <w:pPr>
              <w:spacing w:after="40"/>
            </w:pPr>
            <w:r/>
            <w:r>
              <w:rPr>
                <w:sz w:val="18"/>
              </w:rPr>
              <w:t>24 mois</w:t>
            </w:r>
          </w:p>
        </w:tc>
      </w:tr>
      <w:tr>
        <w:tc>
          <w:tcPr>
            <w:tcW w:type="dxa" w:w="4872"/>
            <w:shd w:val="clear" w:color="auto" w:fill="F4F7F9"/>
          </w:tcPr>
          <w:p>
            <w:pPr>
              <w:spacing w:after="40"/>
            </w:pPr>
            <w:r/>
            <w:r>
              <w:rPr>
                <w:sz w:val="18"/>
              </w:rPr>
              <w:t>API HTTP (majeure)</w:t>
            </w:r>
          </w:p>
        </w:tc>
        <w:tc>
          <w:tcPr>
            <w:tcW w:type="dxa" w:w="4872"/>
            <w:shd w:val="clear" w:color="auto" w:fill="F4F7F9"/>
          </w:tcPr>
          <w:p>
            <w:pPr>
              <w:spacing w:after="40"/>
            </w:pPr>
            <w:r/>
            <w:r>
              <w:rPr>
                <w:sz w:val="18"/>
              </w:rPr>
              <w:t>24 mois</w:t>
            </w:r>
          </w:p>
        </w:tc>
      </w:tr>
      <w:tr>
        <w:tc>
          <w:tcPr>
            <w:tcW w:type="dxa" w:w="4872"/>
          </w:tcPr>
          <w:p>
            <w:pPr>
              <w:spacing w:after="40"/>
            </w:pPr>
            <w:r/>
            <w:r>
              <w:rPr>
                <w:sz w:val="18"/>
              </w:rPr>
              <w:t>Option de configuration</w:t>
            </w:r>
          </w:p>
        </w:tc>
        <w:tc>
          <w:tcPr>
            <w:tcW w:type="dxa" w:w="4872"/>
          </w:tcPr>
          <w:p>
            <w:pPr>
              <w:spacing w:after="40"/>
            </w:pPr>
            <w:r/>
            <w:r>
              <w:rPr>
                <w:sz w:val="18"/>
              </w:rPr>
              <w:t>12 mois</w:t>
            </w:r>
          </w:p>
        </w:tc>
      </w:tr>
      <w:tr>
        <w:tc>
          <w:tcPr>
            <w:tcW w:type="dxa" w:w="4872"/>
            <w:shd w:val="clear" w:color="auto" w:fill="F4F7F9"/>
          </w:tcPr>
          <w:p>
            <w:pPr>
              <w:spacing w:after="40"/>
            </w:pPr>
            <w:r/>
            <w:r>
              <w:rPr>
                <w:sz w:val="18"/>
              </w:rPr>
              <w:t>Commande CLI</w:t>
            </w:r>
          </w:p>
        </w:tc>
        <w:tc>
          <w:tcPr>
            <w:tcW w:type="dxa" w:w="4872"/>
            <w:shd w:val="clear" w:color="auto" w:fill="F4F7F9"/>
          </w:tcPr>
          <w:p>
            <w:pPr>
              <w:spacing w:after="40"/>
            </w:pPr>
            <w:r/>
            <w:r>
              <w:rPr>
                <w:sz w:val="18"/>
              </w:rPr>
              <w:t>12 mois</w:t>
            </w:r>
          </w:p>
        </w:tc>
      </w:tr>
      <w:tr>
        <w:tc>
          <w:tcPr>
            <w:tcW w:type="dxa" w:w="4872"/>
          </w:tcPr>
          <w:p>
            <w:pPr>
              <w:spacing w:after="40"/>
            </w:pPr>
            <w:r/>
            <w:r>
              <w:rPr>
                <w:sz w:val="18"/>
              </w:rPr>
              <w:t>Champ d'événement</w:t>
            </w:r>
          </w:p>
        </w:tc>
        <w:tc>
          <w:tcPr>
            <w:tcW w:type="dxa" w:w="4872"/>
          </w:tcPr>
          <w:p>
            <w:pPr>
              <w:spacing w:after="40"/>
            </w:pPr>
            <w:r/>
            <w:r>
              <w:rPr>
                <w:sz w:val="18"/>
              </w:rPr>
              <w:t>12 mois</w:t>
            </w:r>
          </w:p>
        </w:tc>
      </w:tr>
      <w:tr>
        <w:tc>
          <w:tcPr>
            <w:tcW w:type="dxa" w:w="4872"/>
            <w:shd w:val="clear" w:color="auto" w:fill="F4F7F9"/>
          </w:tcPr>
          <w:p>
            <w:pPr>
              <w:spacing w:after="40"/>
            </w:pPr>
            <w:r/>
            <w:r>
              <w:rPr>
                <w:sz w:val="18"/>
              </w:rPr>
              <w:t>Détail interne</w:t>
            </w:r>
          </w:p>
        </w:tc>
        <w:tc>
          <w:tcPr>
            <w:tcW w:type="dxa" w:w="4872"/>
            <w:shd w:val="clear" w:color="auto" w:fill="F4F7F9"/>
          </w:tcPr>
          <w:p>
            <w:pPr>
              <w:spacing w:after="40"/>
            </w:pPr>
            <w:r/>
            <w:r>
              <w:rPr>
                <w:sz w:val="18"/>
              </w:rPr>
              <w:t>Aucun</w:t>
            </w:r>
          </w:p>
        </w:tc>
      </w:tr>
    </w:tbl>
    <w:p/>
    <w:p>
      <w:pPr>
        <w:pStyle w:val="Heading2"/>
      </w:pPr>
      <w:r>
        <w:t>3.3 La règle du guide de migration</w:t>
      </w:r>
    </w:p>
    <w:p>
      <w:pPr>
        <w:jc w:val="both"/>
      </w:pPr>
      <w:r>
        <w:t xml:space="preserve">Une dépréciation sans guide de migration publié </w:t>
      </w:r>
      <w:r>
        <w:rPr>
          <w:b/>
        </w:rPr>
        <w:t>le jour de l'annonce</w:t>
      </w:r>
      <w:r>
        <w:t xml:space="preserve"> est refusée. Sans guide, l'annonce ne transmet pas une information mais un problème, et l'écosystème l'ignore jusqu'au retrait — moment auquel il est trop tard.</w:t>
      </w:r>
    </w:p>
    <w:p>
      <w:pPr>
        <w:spacing w:before="120" w:after="200"/>
        <w:ind w:left="170"/>
        <w:shd w:val="clear" w:color="auto" w:fill="F2F5F7"/>
        <w:pBdr>
          <w:left w:val="single" w:sz="12" w:space="8" w:color="9FB3C0"/>
        </w:pBdr>
      </w:pPr>
      <w:r>
        <w:rPr>
          <w:rFonts w:ascii="Consolas" w:hAnsi="Consolas" w:eastAsia="Consolas"/>
          <w:sz w:val="17"/>
        </w:rPr>
        <w:t>docs/migration/v1-to-v2.md</w:t>
        <w:br/>
      </w:r>
      <w:r>
        <w:rPr>
          <w:rFonts w:ascii="Consolas" w:hAnsi="Consolas" w:eastAsia="Consolas"/>
          <w:sz w:val="17"/>
        </w:rPr>
        <w:br/>
      </w:r>
      <w:r>
        <w:rPr>
          <w:rFonts w:ascii="Consolas" w:hAnsi="Consolas" w:eastAsia="Consolas"/>
          <w:sz w:val="17"/>
        </w:rPr>
        <w:t xml:space="preserve">  1. Ce qui change et pourquoi</w:t>
        <w:br/>
      </w:r>
      <w:r>
        <w:rPr>
          <w:rFonts w:ascii="Consolas" w:hAnsi="Consolas" w:eastAsia="Consolas"/>
          <w:sz w:val="17"/>
        </w:rPr>
        <w:t xml:space="preserve">  2. Ce qui casse, precisement</w:t>
        <w:br/>
      </w:r>
      <w:r>
        <w:rPr>
          <w:rFonts w:ascii="Consolas" w:hAnsi="Consolas" w:eastAsia="Consolas"/>
          <w:sz w:val="17"/>
        </w:rPr>
        <w:t xml:space="preserve">  3. Avant / apres, sur du code reel</w:t>
        <w:br/>
      </w:r>
      <w:r>
        <w:rPr>
          <w:rFonts w:ascii="Consolas" w:hAnsi="Consolas" w:eastAsia="Consolas"/>
          <w:sz w:val="17"/>
        </w:rPr>
        <w:t xml:space="preserve">  4. Outil de migration automatique, quand il est possible</w:t>
        <w:br/>
      </w:r>
      <w:r>
        <w:rPr>
          <w:rFonts w:ascii="Consolas" w:hAnsi="Consolas" w:eastAsia="Consolas"/>
          <w:sz w:val="17"/>
        </w:rPr>
        <w:t xml:space="preserve">  5. Comment verifier que la migration est reussie</w:t>
        <w:br/>
      </w:r>
      <w:r>
        <w:rPr>
          <w:rFonts w:ascii="Consolas" w:hAnsi="Consolas" w:eastAsia="Consolas"/>
          <w:sz w:val="17"/>
        </w:rPr>
        <w:t xml:space="preserve">  6. Comment revenir en arriere</w:t>
      </w:r>
    </w:p>
    <w:p>
      <w:pPr>
        <w:pStyle w:val="Heading2"/>
      </w:pPr>
      <w:r>
        <w:t>3.4 Support des versions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Version</w:t>
            </w:r>
          </w:p>
        </w:tc>
        <w:tc>
          <w:tcPr>
            <w:tcW w:type="dxa" w:w="3248"/>
            <w:shd w:val="clear" w:color="auto" w:fill="0B3D5B"/>
          </w:tcPr>
          <w:p>
            <w:pPr>
              <w:spacing w:after="40"/>
            </w:pPr>
            <w:r/>
            <w:r>
              <w:rPr>
                <w:b/>
                <w:color w:val="FFFFFF"/>
                <w:sz w:val="18"/>
              </w:rPr>
              <w:t>Statut</w:t>
            </w:r>
          </w:p>
        </w:tc>
        <w:tc>
          <w:tcPr>
            <w:tcW w:type="dxa" w:w="3248"/>
            <w:shd w:val="clear" w:color="auto" w:fill="0B3D5B"/>
          </w:tcPr>
          <w:p>
            <w:pPr>
              <w:spacing w:after="40"/>
            </w:pPr>
            <w:r/>
            <w:r>
              <w:rPr>
                <w:b/>
                <w:color w:val="FFFFFF"/>
                <w:sz w:val="18"/>
              </w:rPr>
              <w:t>Support</w:t>
            </w:r>
          </w:p>
        </w:tc>
      </w:tr>
      <w:tr>
        <w:tc>
          <w:tcPr>
            <w:tcW w:type="dxa" w:w="3248"/>
          </w:tcPr>
          <w:p>
            <w:pPr>
              <w:spacing w:after="40"/>
            </w:pPr>
            <w:r/>
            <w:r>
              <w:rPr>
                <w:sz w:val="18"/>
              </w:rPr>
              <w:t>Majeure courante</w:t>
            </w:r>
          </w:p>
        </w:tc>
        <w:tc>
          <w:tcPr>
            <w:tcW w:type="dxa" w:w="3248"/>
          </w:tcPr>
          <w:p>
            <w:pPr>
              <w:spacing w:after="40"/>
            </w:pPr>
            <w:r/>
            <w:r>
              <w:rPr>
                <w:sz w:val="18"/>
              </w:rPr>
              <w:t>Active</w:t>
            </w:r>
          </w:p>
        </w:tc>
        <w:tc>
          <w:tcPr>
            <w:tcW w:type="dxa" w:w="3248"/>
          </w:tcPr>
          <w:p>
            <w:pPr>
              <w:spacing w:after="40"/>
            </w:pPr>
            <w:r/>
            <w:r>
              <w:rPr>
                <w:sz w:val="18"/>
              </w:rPr>
              <w:t>Correctifs, fonctions, sécurité</w:t>
            </w:r>
          </w:p>
        </w:tc>
      </w:tr>
      <w:tr>
        <w:tc>
          <w:tcPr>
            <w:tcW w:type="dxa" w:w="3248"/>
            <w:shd w:val="clear" w:color="auto" w:fill="F4F7F9"/>
          </w:tcPr>
          <w:p>
            <w:pPr>
              <w:spacing w:after="40"/>
            </w:pPr>
            <w:r/>
            <w:r>
              <w:rPr>
                <w:sz w:val="18"/>
              </w:rPr>
              <w:t>Majeure précédente</w:t>
            </w:r>
          </w:p>
        </w:tc>
        <w:tc>
          <w:tcPr>
            <w:tcW w:type="dxa" w:w="3248"/>
            <w:shd w:val="clear" w:color="auto" w:fill="F4F7F9"/>
          </w:tcPr>
          <w:p>
            <w:pPr>
              <w:spacing w:after="40"/>
            </w:pPr>
            <w:r/>
            <w:r>
              <w:rPr>
                <w:sz w:val="18"/>
              </w:rPr>
              <w:t>Maintenance</w:t>
            </w:r>
          </w:p>
        </w:tc>
        <w:tc>
          <w:tcPr>
            <w:tcW w:type="dxa" w:w="3248"/>
            <w:shd w:val="clear" w:color="auto" w:fill="F4F7F9"/>
          </w:tcPr>
          <w:p>
            <w:pPr>
              <w:spacing w:after="40"/>
            </w:pPr>
            <w:r/>
            <w:r>
              <w:rPr>
                <w:sz w:val="18"/>
              </w:rPr>
              <w:t>Correctifs et sécurité, 24 mois</w:t>
            </w:r>
          </w:p>
        </w:tc>
      </w:tr>
      <w:tr>
        <w:tc>
          <w:tcPr>
            <w:tcW w:type="dxa" w:w="3248"/>
          </w:tcPr>
          <w:p>
            <w:pPr>
              <w:spacing w:after="40"/>
            </w:pPr>
            <w:r/>
            <w:r>
              <w:rPr>
                <w:sz w:val="18"/>
              </w:rPr>
              <w:t>Antérieures</w:t>
            </w:r>
          </w:p>
        </w:tc>
        <w:tc>
          <w:tcPr>
            <w:tcW w:type="dxa" w:w="3248"/>
          </w:tcPr>
          <w:p>
            <w:pPr>
              <w:spacing w:after="40"/>
            </w:pPr>
            <w:r/>
            <w:r>
              <w:rPr>
                <w:sz w:val="18"/>
              </w:rPr>
              <w:t>Fin de vie</w:t>
            </w:r>
          </w:p>
        </w:tc>
        <w:tc>
          <w:tcPr>
            <w:tcW w:type="dxa" w:w="3248"/>
          </w:tcPr>
          <w:p>
            <w:pPr>
              <w:spacing w:after="40"/>
            </w:pPr>
            <w:r/>
            <w:r>
              <w:rPr>
                <w:sz w:val="18"/>
              </w:rPr>
              <w:t>Aucun</w:t>
            </w:r>
          </w:p>
        </w:tc>
      </w:tr>
    </w:tbl>
    <w:p/>
    <w:p>
      <w:r>
        <w:br w:type="page"/>
      </w:r>
    </w:p>
    <w:p>
      <w:pPr>
        <w:pStyle w:val="Heading1"/>
      </w:pPr>
      <w:r>
        <w:t>Chapitre 4 — Feuille de route</w:t>
      </w:r>
    </w:p>
    <w:p>
      <w:pPr>
        <w:jc w:val="both"/>
      </w:pPr>
      <w:r>
        <w:t>La feuille de route est organisée en paliers, chacun avec des critères de sortie vérifiables. Aucun palier ne commence avant que le précédent ne soit clos.</w:t>
      </w:r>
    </w:p>
    <w:p>
      <w:pPr>
        <w:pStyle w:val="Heading2"/>
      </w:pPr>
      <w:r>
        <w:t>4.1 Palier 0 — Socle</w:t>
      </w:r>
    </w:p>
    <w:p>
      <w:pPr>
        <w:spacing w:before="120" w:after="200"/>
        <w:ind w:left="170"/>
        <w:shd w:val="clear" w:color="auto" w:fill="F2F5F7"/>
        <w:pBdr>
          <w:left w:val="single" w:sz="12" w:space="8" w:color="9FB3C0"/>
        </w:pBdr>
      </w:pPr>
      <w:r>
        <w:rPr>
          <w:rFonts w:ascii="Consolas" w:hAnsi="Consolas" w:eastAsia="Consolas"/>
          <w:sz w:val="17"/>
        </w:rPr>
        <w:t>Objectif : le squelette execute de bout en bout, sur une seule source.</w:t>
        <w:br/>
      </w:r>
      <w:r>
        <w:rPr>
          <w:rFonts w:ascii="Consolas" w:hAnsi="Consolas" w:eastAsia="Consolas"/>
          <w:sz w:val="17"/>
        </w:rPr>
        <w:br/>
      </w:r>
      <w:r>
        <w:rPr>
          <w:rFonts w:ascii="Consolas" w:hAnsi="Consolas" w:eastAsia="Consolas"/>
          <w:sz w:val="17"/>
        </w:rPr>
        <w:t>Contenu</w:t>
        <w:br/>
      </w:r>
      <w:r>
        <w:rPr>
          <w:rFonts w:ascii="Consolas" w:hAnsi="Consolas" w:eastAsia="Consolas"/>
          <w:sz w:val="17"/>
        </w:rPr>
        <w:t xml:space="preserve">  - Couche domaine et interfaces (Vol. II)</w:t>
        <w:br/>
      </w:r>
      <w:r>
        <w:rPr>
          <w:rFonts w:ascii="Consolas" w:hAnsi="Consolas" w:eastAsia="Consolas"/>
          <w:sz w:val="17"/>
        </w:rPr>
        <w:t xml:space="preserve">  - Content Store, protocole d'ecriture atomique (Vol. IV, 4-5)</w:t>
        <w:br/>
      </w:r>
      <w:r>
        <w:rPr>
          <w:rFonts w:ascii="Consolas" w:hAnsi="Consolas" w:eastAsia="Consolas"/>
          <w:sz w:val="17"/>
        </w:rPr>
        <w:t xml:space="preserve">  - Schema de base initial et migrations (Vol. IV, 3, 10)</w:t>
        <w:br/>
      </w:r>
      <w:r>
        <w:rPr>
          <w:rFonts w:ascii="Consolas" w:hAnsi="Consolas" w:eastAsia="Consolas"/>
          <w:sz w:val="17"/>
        </w:rPr>
        <w:t xml:space="preserve">  - Chargement de plugin, contrat minimal (Vol. III, 2)</w:t>
        <w:br/>
      </w:r>
      <w:r>
        <w:rPr>
          <w:rFonts w:ascii="Consolas" w:hAnsi="Consolas" w:eastAsia="Consolas"/>
          <w:sz w:val="17"/>
        </w:rPr>
        <w:t xml:space="preserve">  - Download Manager avec quotas et retry (Vol. II)</w:t>
        <w:br/>
      </w:r>
      <w:r>
        <w:rPr>
          <w:rFonts w:ascii="Consolas" w:hAnsi="Consolas" w:eastAsia="Consolas"/>
          <w:sz w:val="17"/>
        </w:rPr>
        <w:t xml:space="preserve">  - CLI : init, source add, run, status</w:t>
        <w:br/>
      </w:r>
      <w:r>
        <w:rPr>
          <w:rFonts w:ascii="Consolas" w:hAnsi="Consolas" w:eastAsia="Consolas"/>
          <w:sz w:val="17"/>
        </w:rPr>
        <w:t xml:space="preserve">  - Un plugin de reference, archetype A</w:t>
        <w:br/>
      </w:r>
      <w:r>
        <w:rPr>
          <w:rFonts w:ascii="Consolas" w:hAnsi="Consolas" w:eastAsia="Consolas"/>
          <w:sz w:val="17"/>
        </w:rPr>
        <w:br/>
      </w:r>
      <w:r>
        <w:rPr>
          <w:rFonts w:ascii="Consolas" w:hAnsi="Consolas" w:eastAsia="Consolas"/>
          <w:sz w:val="17"/>
        </w:rPr>
        <w:t>Criteres de sortie</w:t>
        <w:br/>
      </w:r>
      <w:r>
        <w:rPr>
          <w:rFonts w:ascii="Consolas" w:hAnsi="Consolas" w:eastAsia="Consolas"/>
          <w:sz w:val="17"/>
        </w:rPr>
        <w:t xml:space="preserve">  [ ] AC-4.1, AC-4.2, AC-4.4 passent</w:t>
        <w:br/>
      </w:r>
      <w:r>
        <w:rPr>
          <w:rFonts w:ascii="Consolas" w:hAnsi="Consolas" w:eastAsia="Consolas"/>
          <w:sz w:val="17"/>
        </w:rPr>
        <w:t xml:space="preserve">  [ ] Les six points de panne du protocole d'ecriture sont testes</w:t>
        <w:br/>
      </w:r>
      <w:r>
        <w:rPr>
          <w:rFonts w:ascii="Consolas" w:hAnsi="Consolas" w:eastAsia="Consolas"/>
          <w:sz w:val="17"/>
        </w:rPr>
        <w:t xml:space="preserve">  [ ] Reindexation depuis le magasin, sans reseau, verifiee</w:t>
        <w:br/>
      </w:r>
      <w:r>
        <w:rPr>
          <w:rFonts w:ascii="Consolas" w:hAnsi="Consolas" w:eastAsia="Consolas"/>
          <w:sz w:val="17"/>
        </w:rPr>
        <w:t xml:space="preserve">  [ ] Couverture domaine &gt; 90 %</w:t>
      </w:r>
    </w:p>
    <w:p>
      <w:pPr>
        <w:pStyle w:val="Heading2"/>
      </w:pPr>
      <w:r>
        <w:t>4.2 Palier 1 — Robustesse</w:t>
      </w:r>
    </w:p>
    <w:p>
      <w:pPr>
        <w:spacing w:before="120" w:after="200"/>
        <w:ind w:left="170"/>
        <w:shd w:val="clear" w:color="auto" w:fill="F2F5F7"/>
        <w:pBdr>
          <w:left w:val="single" w:sz="12" w:space="8" w:color="9FB3C0"/>
        </w:pBdr>
      </w:pPr>
      <w:r>
        <w:rPr>
          <w:rFonts w:ascii="Consolas" w:hAnsi="Consolas" w:eastAsia="Consolas"/>
          <w:sz w:val="17"/>
        </w:rPr>
        <w:t>Objectif : le systeme survit a une exploitation reelle.</w:t>
        <w:br/>
      </w:r>
      <w:r>
        <w:rPr>
          <w:rFonts w:ascii="Consolas" w:hAnsi="Consolas" w:eastAsia="Consolas"/>
          <w:sz w:val="17"/>
        </w:rPr>
        <w:br/>
      </w:r>
      <w:r>
        <w:rPr>
          <w:rFonts w:ascii="Consolas" w:hAnsi="Consolas" w:eastAsia="Consolas"/>
          <w:sz w:val="17"/>
        </w:rPr>
        <w:t>Contenu</w:t>
        <w:br/>
      </w:r>
      <w:r>
        <w:rPr>
          <w:rFonts w:ascii="Consolas" w:hAnsi="Consolas" w:eastAsia="Consolas"/>
          <w:sz w:val="17"/>
        </w:rPr>
        <w:t xml:space="preserve">  - Modele de capacites et bac a sable L1/L2 (Vol. III, 5)</w:t>
        <w:br/>
      </w:r>
      <w:r>
        <w:rPr>
          <w:rFonts w:ascii="Consolas" w:hAnsi="Consolas" w:eastAsia="Consolas"/>
          <w:sz w:val="17"/>
        </w:rPr>
        <w:t xml:space="preserve">  - Quarantaine et machine a etats des plugins (Vol. III, 6)</w:t>
        <w:br/>
      </w:r>
      <w:r>
        <w:rPr>
          <w:rFonts w:ascii="Consolas" w:hAnsi="Consolas" w:eastAsia="Consolas"/>
          <w:sz w:val="17"/>
        </w:rPr>
        <w:t xml:space="preserve">  - Verification d'integrite de fond et reparation (Vol. IV, 7)</w:t>
        <w:br/>
      </w:r>
      <w:r>
        <w:rPr>
          <w:rFonts w:ascii="Consolas" w:hAnsi="Consolas" w:eastAsia="Consolas"/>
          <w:sz w:val="17"/>
        </w:rPr>
        <w:t xml:space="preserve">  - Sauvegarde, restauration, exercice de restauration (Vol. IV, 9)</w:t>
        <w:br/>
      </w:r>
      <w:r>
        <w:rPr>
          <w:rFonts w:ascii="Consolas" w:hAnsi="Consolas" w:eastAsia="Consolas"/>
          <w:sz w:val="17"/>
        </w:rPr>
        <w:t xml:space="preserve">  - Journalisation structuree, metriques (Vol. VII, 2-3)</w:t>
        <w:br/>
      </w:r>
      <w:r>
        <w:rPr>
          <w:rFonts w:ascii="Consolas" w:hAnsi="Consolas" w:eastAsia="Consolas"/>
          <w:sz w:val="17"/>
        </w:rPr>
        <w:t xml:space="preserve">  - Modele d'attentes et alertes d'absence (Vol. VII, 1.2, 5.3)</w:t>
        <w:br/>
      </w:r>
      <w:r>
        <w:rPr>
          <w:rFonts w:ascii="Consolas" w:hAnsi="Consolas" w:eastAsia="Consolas"/>
          <w:sz w:val="17"/>
        </w:rPr>
        <w:t xml:space="preserve">  - lcf doctor (Vol. VII, 6.2)</w:t>
        <w:br/>
      </w:r>
      <w:r>
        <w:rPr>
          <w:rFonts w:ascii="Consolas" w:hAnsi="Consolas" w:eastAsia="Consolas"/>
          <w:sz w:val="17"/>
        </w:rPr>
        <w:t xml:space="preserve">  - Plugin Conformance Kit (Vol. III, 13)</w:t>
        <w:br/>
      </w:r>
      <w:r>
        <w:rPr>
          <w:rFonts w:ascii="Consolas" w:hAnsi="Consolas" w:eastAsia="Consolas"/>
          <w:sz w:val="17"/>
        </w:rPr>
        <w:br/>
      </w:r>
      <w:r>
        <w:rPr>
          <w:rFonts w:ascii="Consolas" w:hAnsi="Consolas" w:eastAsia="Consolas"/>
          <w:sz w:val="17"/>
        </w:rPr>
        <w:t>Criteres de sortie</w:t>
        <w:br/>
      </w:r>
      <w:r>
        <w:rPr>
          <w:rFonts w:ascii="Consolas" w:hAnsi="Consolas" w:eastAsia="Consolas"/>
          <w:sz w:val="17"/>
        </w:rPr>
        <w:t xml:space="preserve">  [ ] AC-3.1, AC-3.2, AC-3.6, AC-4.7, AC-7.1, AC-7.3 passent</w:t>
        <w:br/>
      </w:r>
      <w:r>
        <w:rPr>
          <w:rFonts w:ascii="Consolas" w:hAnsi="Consolas" w:eastAsia="Consolas"/>
          <w:sz w:val="17"/>
        </w:rPr>
        <w:t xml:space="preserve">  [ ] La suite de plugins hostiles est integralement confinee</w:t>
        <w:br/>
      </w:r>
      <w:r>
        <w:rPr>
          <w:rFonts w:ascii="Consolas" w:hAnsi="Consolas" w:eastAsia="Consolas"/>
          <w:sz w:val="17"/>
        </w:rPr>
        <w:t xml:space="preserve">  [ ] 30 jours d'execution continue sans fuite ni derive</w:t>
        <w:br/>
      </w:r>
      <w:r>
        <w:rPr>
          <w:rFonts w:ascii="Consolas" w:hAnsi="Consolas" w:eastAsia="Consolas"/>
          <w:sz w:val="17"/>
        </w:rPr>
        <w:t xml:space="preserve">  [ ] Trois sources reelles collectees en continu pendant 30 jours</w:t>
      </w:r>
    </w:p>
    <w:p>
      <w:pPr>
        <w:pStyle w:val="Heading2"/>
      </w:pPr>
      <w:r>
        <w:t>4.3 Palier 2 — Traitement</w:t>
      </w:r>
    </w:p>
    <w:p>
      <w:pPr>
        <w:spacing w:before="120" w:after="200"/>
        <w:ind w:left="170"/>
        <w:shd w:val="clear" w:color="auto" w:fill="F2F5F7"/>
        <w:pBdr>
          <w:left w:val="single" w:sz="12" w:space="8" w:color="9FB3C0"/>
        </w:pBdr>
      </w:pPr>
      <w:r>
        <w:rPr>
          <w:rFonts w:ascii="Consolas" w:hAnsi="Consolas" w:eastAsia="Consolas"/>
          <w:sz w:val="17"/>
        </w:rPr>
        <w:t>Objectif : le corpus devient exploitable.</w:t>
        <w:br/>
      </w:r>
      <w:r>
        <w:rPr>
          <w:rFonts w:ascii="Consolas" w:hAnsi="Consolas" w:eastAsia="Consolas"/>
          <w:sz w:val="17"/>
        </w:rPr>
        <w:br/>
      </w:r>
      <w:r>
        <w:rPr>
          <w:rFonts w:ascii="Consolas" w:hAnsi="Consolas" w:eastAsia="Consolas"/>
          <w:sz w:val="17"/>
        </w:rPr>
        <w:t>Contenu</w:t>
        <w:br/>
      </w:r>
      <w:r>
        <w:rPr>
          <w:rFonts w:ascii="Consolas" w:hAnsi="Consolas" w:eastAsia="Consolas"/>
          <w:sz w:val="17"/>
        </w:rPr>
        <w:t xml:space="preserve">  - Pipeline en DAG, file persistante, baux (Vol. V, 2-3)</w:t>
        <w:br/>
      </w:r>
      <w:r>
        <w:rPr>
          <w:rFonts w:ascii="Consolas" w:hAnsi="Consolas" w:eastAsia="Consolas"/>
          <w:sz w:val="17"/>
        </w:rPr>
        <w:t xml:space="preserve">  - Extraction PDF native, HTML, formats bureautiques (Vol. V, 5.2-5.3)</w:t>
        <w:br/>
      </w:r>
      <w:r>
        <w:rPr>
          <w:rFonts w:ascii="Consolas" w:hAnsi="Consolas" w:eastAsia="Consolas"/>
          <w:sz w:val="17"/>
        </w:rPr>
        <w:t xml:space="preserve">  - Normalisation, deux profils (Vol. V, 5.4)</w:t>
        <w:br/>
      </w:r>
      <w:r>
        <w:rPr>
          <w:rFonts w:ascii="Consolas" w:hAnsi="Consolas" w:eastAsia="Consolas"/>
          <w:sz w:val="17"/>
        </w:rPr>
        <w:t xml:space="preserve">  - Detection de langue et de structure (Vol. V, 5.5-5.6)</w:t>
        <w:br/>
      </w:r>
      <w:r>
        <w:rPr>
          <w:rFonts w:ascii="Consolas" w:hAnsi="Consolas" w:eastAsia="Consolas"/>
          <w:sz w:val="17"/>
        </w:rPr>
        <w:t xml:space="preserve">  - Segmentation avec decalages (Vol. V, 5.7)</w:t>
        <w:br/>
      </w:r>
      <w:r>
        <w:rPr>
          <w:rFonts w:ascii="Consolas" w:hAnsi="Consolas" w:eastAsia="Consolas"/>
          <w:sz w:val="17"/>
        </w:rPr>
        <w:t xml:space="preserve">  - Corpus de reference et non-regression (Vol. VIII, 7)</w:t>
        <w:br/>
      </w:r>
      <w:r>
        <w:rPr>
          <w:rFonts w:ascii="Consolas" w:hAnsi="Consolas" w:eastAsia="Consolas"/>
          <w:sz w:val="17"/>
        </w:rPr>
        <w:t xml:space="preserve">  - Export JSONL</w:t>
        <w:br/>
      </w:r>
      <w:r>
        <w:rPr>
          <w:rFonts w:ascii="Consolas" w:hAnsi="Consolas" w:eastAsia="Consolas"/>
          <w:sz w:val="17"/>
        </w:rPr>
        <w:br/>
      </w:r>
      <w:r>
        <w:rPr>
          <w:rFonts w:ascii="Consolas" w:hAnsi="Consolas" w:eastAsia="Consolas"/>
          <w:sz w:val="17"/>
        </w:rPr>
        <w:t>Criteres de sortie</w:t>
        <w:br/>
      </w:r>
      <w:r>
        <w:rPr>
          <w:rFonts w:ascii="Consolas" w:hAnsi="Consolas" w:eastAsia="Consolas"/>
          <w:sz w:val="17"/>
        </w:rPr>
        <w:t xml:space="preserve">  [ ] AC-5.1 a AC-5.8 passent</w:t>
        <w:br/>
      </w:r>
      <w:r>
        <w:rPr>
          <w:rFonts w:ascii="Consolas" w:hAnsi="Consolas" w:eastAsia="Consolas"/>
          <w:sz w:val="17"/>
        </w:rPr>
        <w:t xml:space="preserve">  [ ] Corpus de reference : 200 documents, confiance moyenne &gt; 0.85</w:t>
        <w:br/>
      </w:r>
      <w:r>
        <w:rPr>
          <w:rFonts w:ascii="Consolas" w:hAnsi="Consolas" w:eastAsia="Consolas"/>
          <w:sz w:val="17"/>
        </w:rPr>
        <w:t xml:space="preserve">  [ ] Retraitement complet demontre, sans interruption de collecte</w:t>
        <w:br/>
      </w:r>
      <w:r>
        <w:rPr>
          <w:rFonts w:ascii="Consolas" w:hAnsi="Consolas" w:eastAsia="Consolas"/>
          <w:sz w:val="17"/>
        </w:rPr>
        <w:t xml:space="preserve">  [ ] Determinisme du pipeline verifie sur dix executions</w:t>
      </w:r>
    </w:p>
    <w:p>
      <w:pPr>
        <w:pStyle w:val="Heading2"/>
      </w:pPr>
      <w:r>
        <w:t>4.4 Palier 3 — Échelle</w:t>
      </w:r>
    </w:p>
    <w:p>
      <w:pPr>
        <w:spacing w:before="120" w:after="200"/>
        <w:ind w:left="170"/>
        <w:shd w:val="clear" w:color="auto" w:fill="F2F5F7"/>
        <w:pBdr>
          <w:left w:val="single" w:sz="12" w:space="8" w:color="9FB3C0"/>
        </w:pBdr>
      </w:pPr>
      <w:r>
        <w:rPr>
          <w:rFonts w:ascii="Consolas" w:hAnsi="Consolas" w:eastAsia="Consolas"/>
          <w:sz w:val="17"/>
        </w:rPr>
        <w:t>Objectif : le systeme tient sur un grand corpus.</w:t>
        <w:br/>
      </w:r>
      <w:r>
        <w:rPr>
          <w:rFonts w:ascii="Consolas" w:hAnsi="Consolas" w:eastAsia="Consolas"/>
          <w:sz w:val="17"/>
        </w:rPr>
        <w:br/>
      </w:r>
      <w:r>
        <w:rPr>
          <w:rFonts w:ascii="Consolas" w:hAnsi="Consolas" w:eastAsia="Consolas"/>
          <w:sz w:val="17"/>
        </w:rPr>
        <w:t>Contenu</w:t>
        <w:br/>
      </w:r>
      <w:r>
        <w:rPr>
          <w:rFonts w:ascii="Consolas" w:hAnsi="Consolas" w:eastAsia="Consolas"/>
          <w:sz w:val="17"/>
        </w:rPr>
        <w:t xml:space="preserve">  - Adaptateur PostgreSQL (Vol. IV, 11)</w:t>
        <w:br/>
      </w:r>
      <w:r>
        <w:rPr>
          <w:rFonts w:ascii="Consolas" w:hAnsi="Consolas" w:eastAsia="Consolas"/>
          <w:sz w:val="17"/>
        </w:rPr>
        <w:t xml:space="preserve">  - Magasin objet compatible S3 (Vol. VII, 7.4)</w:t>
        <w:br/>
      </w:r>
      <w:r>
        <w:rPr>
          <w:rFonts w:ascii="Consolas" w:hAnsi="Consolas" w:eastAsia="Consolas"/>
          <w:sz w:val="17"/>
        </w:rPr>
        <w:t xml:space="preserve">  - OCR avec quota et cache par page (Vol. V, 9.2)</w:t>
        <w:br/>
      </w:r>
      <w:r>
        <w:rPr>
          <w:rFonts w:ascii="Consolas" w:hAnsi="Consolas" w:eastAsia="Consolas"/>
          <w:sz w:val="17"/>
        </w:rPr>
        <w:t xml:space="preserve">  - API HTTP complete et webhooks (Vol. III, 11)</w:t>
        <w:br/>
      </w:r>
      <w:r>
        <w:rPr>
          <w:rFonts w:ascii="Consolas" w:hAnsi="Consolas" w:eastAsia="Consolas"/>
          <w:sz w:val="17"/>
        </w:rPr>
        <w:t xml:space="preserve">  - Isolement L3 par processus (Vol. III, 5.4)</w:t>
        <w:br/>
      </w:r>
      <w:r>
        <w:rPr>
          <w:rFonts w:ascii="Consolas" w:hAnsi="Consolas" w:eastAsia="Consolas"/>
          <w:sz w:val="17"/>
        </w:rPr>
        <w:t xml:space="preserve">  - Traces distribuees (Vol. VII, 4)</w:t>
        <w:br/>
      </w:r>
      <w:r>
        <w:rPr>
          <w:rFonts w:ascii="Consolas" w:hAnsi="Consolas" w:eastAsia="Consolas"/>
          <w:sz w:val="17"/>
        </w:rPr>
        <w:br/>
      </w:r>
      <w:r>
        <w:rPr>
          <w:rFonts w:ascii="Consolas" w:hAnsi="Consolas" w:eastAsia="Consolas"/>
          <w:sz w:val="17"/>
        </w:rPr>
        <w:t>Criteres de sortie</w:t>
        <w:br/>
      </w:r>
      <w:r>
        <w:rPr>
          <w:rFonts w:ascii="Consolas" w:hAnsi="Consolas" w:eastAsia="Consolas"/>
          <w:sz w:val="17"/>
        </w:rPr>
        <w:t xml:space="preserve">  [ ] AC-4.9 passe : migration SQLite -&gt; PostgreSQL sans perte</w:t>
        <w:br/>
      </w:r>
      <w:r>
        <w:rPr>
          <w:rFonts w:ascii="Consolas" w:hAnsi="Consolas" w:eastAsia="Consolas"/>
          <w:sz w:val="17"/>
        </w:rPr>
        <w:t xml:space="preserve">  [ ] 5 M documents, requetes dans les seuils du Vol. IV, 13.2</w:t>
        <w:br/>
      </w:r>
      <w:r>
        <w:rPr>
          <w:rFonts w:ascii="Consolas" w:hAnsi="Consolas" w:eastAsia="Consolas"/>
          <w:sz w:val="17"/>
        </w:rPr>
        <w:t xml:space="preserve">  [ ] 500 sources actives, echeancier stable</w:t>
        <w:br/>
      </w:r>
      <w:r>
        <w:rPr>
          <w:rFonts w:ascii="Consolas" w:hAnsi="Consolas" w:eastAsia="Consolas"/>
          <w:sz w:val="17"/>
        </w:rPr>
        <w:t xml:space="preserve">  [ ] Deploiement P4 documente et eprouve</w:t>
      </w:r>
    </w:p>
    <w:p>
      <w:pPr>
        <w:pStyle w:val="Heading2"/>
      </w:pPr>
      <w:r>
        <w:t>4.5 Palier 4 — Confiance</w:t>
      </w:r>
    </w:p>
    <w:p>
      <w:pPr>
        <w:spacing w:before="120" w:after="200"/>
        <w:ind w:left="170"/>
        <w:shd w:val="clear" w:color="auto" w:fill="F2F5F7"/>
        <w:pBdr>
          <w:left w:val="single" w:sz="12" w:space="8" w:color="9FB3C0"/>
        </w:pBdr>
      </w:pPr>
      <w:r>
        <w:rPr>
          <w:rFonts w:ascii="Consolas" w:hAnsi="Consolas" w:eastAsia="Consolas"/>
          <w:sz w:val="17"/>
        </w:rPr>
        <w:t>Objectif : le corpus devient opposable.</w:t>
        <w:br/>
      </w:r>
      <w:r>
        <w:rPr>
          <w:rFonts w:ascii="Consolas" w:hAnsi="Consolas" w:eastAsia="Consolas"/>
          <w:sz w:val="17"/>
        </w:rPr>
        <w:br/>
      </w:r>
      <w:r>
        <w:rPr>
          <w:rFonts w:ascii="Consolas" w:hAnsi="Consolas" w:eastAsia="Consolas"/>
          <w:sz w:val="17"/>
        </w:rPr>
        <w:t>Contenu</w:t>
        <w:br/>
      </w:r>
      <w:r>
        <w:rPr>
          <w:rFonts w:ascii="Consolas" w:hAnsi="Consolas" w:eastAsia="Consolas"/>
          <w:sz w:val="17"/>
        </w:rPr>
        <w:t xml:space="preserve">  - Journal d'audit chaine (Vol. VI, 8.3)</w:t>
        <w:br/>
      </w:r>
      <w:r>
        <w:rPr>
          <w:rFonts w:ascii="Consolas" w:hAnsi="Consolas" w:eastAsia="Consolas"/>
          <w:sz w:val="17"/>
        </w:rPr>
        <w:t xml:space="preserve">  - Ancrage externe RFC 3161 (Vol. VI, 8.4)</w:t>
        <w:br/>
      </w:r>
      <w:r>
        <w:rPr>
          <w:rFonts w:ascii="Consolas" w:hAnsi="Consolas" w:eastAsia="Consolas"/>
          <w:sz w:val="17"/>
        </w:rPr>
        <w:t xml:space="preserve">  - Attestation de document (Vol. VI, 8.5)</w:t>
        <w:br/>
      </w:r>
      <w:r>
        <w:rPr>
          <w:rFonts w:ascii="Consolas" w:hAnsi="Consolas" w:eastAsia="Consolas"/>
          <w:sz w:val="17"/>
        </w:rPr>
        <w:t xml:space="preserve">  - Signature de paquet de plugin (Vol. VI, 5.3)</w:t>
        <w:br/>
      </w:r>
      <w:r>
        <w:rPr>
          <w:rFonts w:ascii="Consolas" w:hAnsi="Consolas" w:eastAsia="Consolas"/>
          <w:sz w:val="17"/>
        </w:rPr>
        <w:t xml:space="preserve">  - Export BagIt (Vol. IV, 12.3)</w:t>
        <w:br/>
      </w:r>
      <w:r>
        <w:rPr>
          <w:rFonts w:ascii="Consolas" w:hAnsi="Consolas" w:eastAsia="Consolas"/>
          <w:sz w:val="17"/>
        </w:rPr>
        <w:t xml:space="preserve">  - Purge tracee avec pierres tombales (Vol. IV, 8.2)</w:t>
        <w:br/>
      </w:r>
      <w:r>
        <w:rPr>
          <w:rFonts w:ascii="Consolas" w:hAnsi="Consolas" w:eastAsia="Consolas"/>
          <w:sz w:val="17"/>
        </w:rPr>
        <w:br/>
      </w:r>
      <w:r>
        <w:rPr>
          <w:rFonts w:ascii="Consolas" w:hAnsi="Consolas" w:eastAsia="Consolas"/>
          <w:sz w:val="17"/>
        </w:rPr>
        <w:t>Criteres de sortie</w:t>
        <w:br/>
      </w:r>
      <w:r>
        <w:rPr>
          <w:rFonts w:ascii="Consolas" w:hAnsi="Consolas" w:eastAsia="Consolas"/>
          <w:sz w:val="17"/>
        </w:rPr>
        <w:t xml:space="preserve">  [ ] AC-6.1 a AC-6.8 passent</w:t>
        <w:br/>
      </w:r>
      <w:r>
        <w:rPr>
          <w:rFonts w:ascii="Consolas" w:hAnsi="Consolas" w:eastAsia="Consolas"/>
          <w:sz w:val="17"/>
        </w:rPr>
        <w:t xml:space="preserve">  [ ] Audit de securite externe realise, conclusions traitees</w:t>
        <w:br/>
      </w:r>
      <w:r>
        <w:rPr>
          <w:rFonts w:ascii="Consolas" w:hAnsi="Consolas" w:eastAsia="Consolas"/>
          <w:sz w:val="17"/>
        </w:rPr>
        <w:t xml:space="preserve">  [ ] Chaine d'audit verifiee sur plus de 10 M d'entrees</w:t>
        <w:br/>
      </w:r>
      <w:r>
        <w:rPr>
          <w:rFonts w:ascii="Consolas" w:hAnsi="Consolas" w:eastAsia="Consolas"/>
          <w:sz w:val="17"/>
        </w:rPr>
        <w:t xml:space="preserve">  [ ] Exercice de sinistre complet reussi, chronometre</w:t>
      </w:r>
    </w:p>
    <w:p>
      <w:pPr>
        <w:pStyle w:val="Heading2"/>
      </w:pPr>
      <w:r>
        <w:t>4.6 Au-delà</w:t>
      </w:r>
    </w:p>
    <w:p>
      <w:pPr>
        <w:jc w:val="both"/>
      </w:pPr>
      <w:r>
        <w:t>Ces sujets ne sont pas planifiés. Ils sont listés pour éviter qu'ils ne soient traités implicitement dans un palier antérieur.</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Sujet</w:t>
            </w:r>
          </w:p>
        </w:tc>
        <w:tc>
          <w:tcPr>
            <w:tcW w:type="dxa" w:w="4872"/>
            <w:shd w:val="clear" w:color="auto" w:fill="0B3D5B"/>
          </w:tcPr>
          <w:p>
            <w:pPr>
              <w:spacing w:after="40"/>
            </w:pPr>
            <w:r/>
            <w:r>
              <w:rPr>
                <w:b/>
                <w:color w:val="FFFFFF"/>
                <w:sz w:val="18"/>
              </w:rPr>
              <w:t>Condition d'ouverture</w:t>
            </w:r>
          </w:p>
        </w:tc>
      </w:tr>
      <w:tr>
        <w:tc>
          <w:tcPr>
            <w:tcW w:type="dxa" w:w="4872"/>
          </w:tcPr>
          <w:p>
            <w:pPr>
              <w:spacing w:after="40"/>
            </w:pPr>
            <w:r/>
            <w:r>
              <w:rPr>
                <w:sz w:val="18"/>
              </w:rPr>
              <w:t>Collecte fédérée entre instances</w:t>
            </w:r>
          </w:p>
        </w:tc>
        <w:tc>
          <w:tcPr>
            <w:tcW w:type="dxa" w:w="4872"/>
          </w:tcPr>
          <w:p>
            <w:pPr>
              <w:spacing w:after="40"/>
            </w:pPr>
            <w:r/>
            <w:r>
              <w:rPr>
                <w:sz w:val="18"/>
              </w:rPr>
              <w:t>Plusieurs déploiements en production le demandent</w:t>
            </w:r>
          </w:p>
        </w:tc>
      </w:tr>
      <w:tr>
        <w:tc>
          <w:tcPr>
            <w:tcW w:type="dxa" w:w="4872"/>
            <w:shd w:val="clear" w:color="auto" w:fill="F4F7F9"/>
          </w:tcPr>
          <w:p>
            <w:pPr>
              <w:spacing w:after="40"/>
            </w:pPr>
            <w:r/>
            <w:r>
              <w:rPr>
                <w:sz w:val="18"/>
              </w:rPr>
              <w:t>Détection de similarité inter-documents</w:t>
            </w:r>
          </w:p>
        </w:tc>
        <w:tc>
          <w:tcPr>
            <w:tcW w:type="dxa" w:w="4872"/>
            <w:shd w:val="clear" w:color="auto" w:fill="F4F7F9"/>
          </w:tcPr>
          <w:p>
            <w:pPr>
              <w:spacing w:after="40"/>
            </w:pPr>
            <w:r/>
            <w:r>
              <w:rPr>
                <w:sz w:val="18"/>
              </w:rPr>
              <w:t>Palier 2 clos et stable</w:t>
            </w:r>
          </w:p>
        </w:tc>
      </w:tr>
      <w:tr>
        <w:tc>
          <w:tcPr>
            <w:tcW w:type="dxa" w:w="4872"/>
          </w:tcPr>
          <w:p>
            <w:pPr>
              <w:spacing w:after="40"/>
            </w:pPr>
            <w:r/>
            <w:r>
              <w:rPr>
                <w:sz w:val="18"/>
              </w:rPr>
              <w:t>Interface web d'administration</w:t>
            </w:r>
          </w:p>
        </w:tc>
        <w:tc>
          <w:tcPr>
            <w:tcW w:type="dxa" w:w="4872"/>
          </w:tcPr>
          <w:p>
            <w:pPr>
              <w:spacing w:after="40"/>
            </w:pPr>
            <w:r/>
            <w:r>
              <w:rPr>
                <w:sz w:val="18"/>
              </w:rPr>
              <w:t>Demande d'exploitation avérée</w:t>
            </w:r>
          </w:p>
        </w:tc>
      </w:tr>
      <w:tr>
        <w:tc>
          <w:tcPr>
            <w:tcW w:type="dxa" w:w="4872"/>
            <w:shd w:val="clear" w:color="auto" w:fill="F4F7F9"/>
          </w:tcPr>
          <w:p>
            <w:pPr>
              <w:spacing w:after="40"/>
            </w:pPr>
            <w:r/>
            <w:r>
              <w:rPr>
                <w:sz w:val="18"/>
              </w:rPr>
              <w:t>Extension du contrat au-delà des documents</w:t>
            </w:r>
          </w:p>
        </w:tc>
        <w:tc>
          <w:tcPr>
            <w:tcW w:type="dxa" w:w="4872"/>
            <w:shd w:val="clear" w:color="auto" w:fill="F4F7F9"/>
          </w:tcPr>
          <w:p>
            <w:pPr>
              <w:spacing w:after="40"/>
            </w:pPr>
            <w:r/>
            <w:r>
              <w:rPr>
                <w:sz w:val="18"/>
              </w:rPr>
              <w:t>Jamais sans ADR de rupture</w:t>
            </w:r>
          </w:p>
        </w:tc>
      </w:tr>
    </w:tbl>
    <w:p/>
    <w:p>
      <w:r>
        <w:br w:type="page"/>
      </w:r>
    </w:p>
    <w:p>
      <w:pPr>
        <w:pStyle w:val="Heading1"/>
      </w:pPr>
      <w:r>
        <w:t>Chapitre 5 — Registre consolidé des décisions</w:t>
      </w:r>
    </w:p>
    <w:p>
      <w:pPr>
        <w:pStyle w:val="Heading2"/>
      </w:pPr>
      <w:r>
        <w:t>5.1 Format</w:t>
      </w:r>
    </w:p>
    <w:p>
      <w:pPr>
        <w:jc w:val="both"/>
      </w:pPr>
      <w:r>
        <w:t>Chaque ADR suit la même structure : contexte, décision, conséquences, statut. Les ADR sont immuables ; une décision révisée fait l'objet d'un nouvel ADR qui supersède l'ancien, lequel est conservé.</w:t>
      </w:r>
    </w:p>
    <w:p>
      <w:pPr>
        <w:pStyle w:val="Heading2"/>
      </w:pPr>
      <w:r>
        <w:t>5.2 Registre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ADR</w:t>
            </w:r>
          </w:p>
        </w:tc>
        <w:tc>
          <w:tcPr>
            <w:tcW w:type="dxa" w:w="2436"/>
            <w:shd w:val="clear" w:color="auto" w:fill="0B3D5B"/>
          </w:tcPr>
          <w:p>
            <w:pPr>
              <w:spacing w:after="40"/>
            </w:pPr>
            <w:r/>
            <w:r>
              <w:rPr>
                <w:b/>
                <w:color w:val="FFFFFF"/>
                <w:sz w:val="18"/>
              </w:rPr>
              <w:t>Titre</w:t>
            </w:r>
          </w:p>
        </w:tc>
        <w:tc>
          <w:tcPr>
            <w:tcW w:type="dxa" w:w="2436"/>
            <w:shd w:val="clear" w:color="auto" w:fill="0B3D5B"/>
          </w:tcPr>
          <w:p>
            <w:pPr>
              <w:spacing w:after="40"/>
            </w:pPr>
            <w:r/>
            <w:r>
              <w:rPr>
                <w:b/>
                <w:color w:val="FFFFFF"/>
                <w:sz w:val="18"/>
              </w:rPr>
              <w:t>Volume</w:t>
            </w:r>
          </w:p>
        </w:tc>
        <w:tc>
          <w:tcPr>
            <w:tcW w:type="dxa" w:w="2436"/>
            <w:shd w:val="clear" w:color="auto" w:fill="0B3D5B"/>
          </w:tcPr>
          <w:p>
            <w:pPr>
              <w:spacing w:after="40"/>
            </w:pPr>
            <w:r/>
            <w:r>
              <w:rPr>
                <w:b/>
                <w:color w:val="FFFFFF"/>
                <w:sz w:val="18"/>
              </w:rPr>
              <w:t>Statut</w:t>
            </w:r>
          </w:p>
        </w:tc>
      </w:tr>
      <w:tr>
        <w:tc>
          <w:tcPr>
            <w:tcW w:type="dxa" w:w="2436"/>
          </w:tcPr>
          <w:p>
            <w:pPr>
              <w:spacing w:after="40"/>
            </w:pPr>
            <w:r/>
            <w:r>
              <w:rPr>
                <w:sz w:val="18"/>
              </w:rPr>
              <w:t>301</w:t>
            </w:r>
          </w:p>
        </w:tc>
        <w:tc>
          <w:tcPr>
            <w:tcW w:type="dxa" w:w="2436"/>
          </w:tcPr>
          <w:p>
            <w:pPr>
              <w:spacing w:after="40"/>
            </w:pPr>
            <w:r/>
            <w:r>
              <w:rPr>
                <w:sz w:val="18"/>
              </w:rPr>
              <w:t>Le plugin ne télécharge pas</w:t>
            </w:r>
          </w:p>
        </w:tc>
        <w:tc>
          <w:tcPr>
            <w:tcW w:type="dxa" w:w="2436"/>
          </w:tcPr>
          <w:p>
            <w:pPr>
              <w:spacing w:after="40"/>
            </w:pPr>
            <w:r/>
            <w:r>
              <w:rPr>
                <w:sz w:val="18"/>
              </w:rPr>
              <w:t>III</w:t>
            </w:r>
          </w:p>
        </w:tc>
        <w:tc>
          <w:tcPr>
            <w:tcW w:type="dxa" w:w="2436"/>
          </w:tcPr>
          <w:p>
            <w:pPr>
              <w:spacing w:after="40"/>
            </w:pPr>
            <w:r/>
            <w:r>
              <w:rPr>
                <w:sz w:val="18"/>
              </w:rPr>
              <w:t>Accepté</w:t>
            </w:r>
          </w:p>
        </w:tc>
      </w:tr>
      <w:tr>
        <w:tc>
          <w:tcPr>
            <w:tcW w:type="dxa" w:w="2436"/>
            <w:shd w:val="clear" w:color="auto" w:fill="F4F7F9"/>
          </w:tcPr>
          <w:p>
            <w:pPr>
              <w:spacing w:after="40"/>
            </w:pPr>
            <w:r/>
            <w:r>
              <w:rPr>
                <w:sz w:val="18"/>
              </w:rPr>
              <w:t>302</w:t>
            </w:r>
          </w:p>
        </w:tc>
        <w:tc>
          <w:tcPr>
            <w:tcW w:type="dxa" w:w="2436"/>
            <w:shd w:val="clear" w:color="auto" w:fill="F4F7F9"/>
          </w:tcPr>
          <w:p>
            <w:pPr>
              <w:spacing w:after="40"/>
            </w:pPr>
            <w:r/>
            <w:r>
              <w:rPr>
                <w:sz w:val="18"/>
              </w:rPr>
              <w:t>Interfaces optionnelles détectées structurellement</w:t>
            </w:r>
          </w:p>
        </w:tc>
        <w:tc>
          <w:tcPr>
            <w:tcW w:type="dxa" w:w="2436"/>
            <w:shd w:val="clear" w:color="auto" w:fill="F4F7F9"/>
          </w:tcPr>
          <w:p>
            <w:pPr>
              <w:spacing w:after="40"/>
            </w:pPr>
            <w:r/>
            <w:r>
              <w:rPr>
                <w:sz w:val="18"/>
              </w:rPr>
              <w:t>III</w:t>
            </w:r>
          </w:p>
        </w:tc>
        <w:tc>
          <w:tcPr>
            <w:tcW w:type="dxa" w:w="2436"/>
            <w:shd w:val="clear" w:color="auto" w:fill="F4F7F9"/>
          </w:tcPr>
          <w:p>
            <w:pPr>
              <w:spacing w:after="40"/>
            </w:pPr>
            <w:r/>
            <w:r>
              <w:rPr>
                <w:sz w:val="18"/>
              </w:rPr>
              <w:t>Accepté</w:t>
            </w:r>
          </w:p>
        </w:tc>
      </w:tr>
      <w:tr>
        <w:tc>
          <w:tcPr>
            <w:tcW w:type="dxa" w:w="2436"/>
          </w:tcPr>
          <w:p>
            <w:pPr>
              <w:spacing w:after="40"/>
            </w:pPr>
            <w:r/>
            <w:r>
              <w:rPr>
                <w:sz w:val="18"/>
              </w:rPr>
              <w:t>303</w:t>
            </w:r>
          </w:p>
        </w:tc>
        <w:tc>
          <w:tcPr>
            <w:tcW w:type="dxa" w:w="2436"/>
          </w:tcPr>
          <w:p>
            <w:pPr>
              <w:spacing w:after="40"/>
            </w:pPr>
            <w:r/>
            <w:r>
              <w:rPr>
                <w:sz w:val="18"/>
              </w:rPr>
              <w:t>`nativeId` au plugin, `document_id` au Kernel</w:t>
            </w:r>
          </w:p>
        </w:tc>
        <w:tc>
          <w:tcPr>
            <w:tcW w:type="dxa" w:w="2436"/>
          </w:tcPr>
          <w:p>
            <w:pPr>
              <w:spacing w:after="40"/>
            </w:pPr>
            <w:r/>
            <w:r>
              <w:rPr>
                <w:sz w:val="18"/>
              </w:rPr>
              <w:t>III</w:t>
            </w:r>
          </w:p>
        </w:tc>
        <w:tc>
          <w:tcPr>
            <w:tcW w:type="dxa" w:w="2436"/>
          </w:tcPr>
          <w:p>
            <w:pPr>
              <w:spacing w:after="40"/>
            </w:pPr>
            <w:r/>
            <w:r>
              <w:rPr>
                <w:sz w:val="18"/>
              </w:rPr>
              <w:t>Accepté</w:t>
            </w:r>
          </w:p>
        </w:tc>
      </w:tr>
      <w:tr>
        <w:tc>
          <w:tcPr>
            <w:tcW w:type="dxa" w:w="2436"/>
            <w:shd w:val="clear" w:color="auto" w:fill="F4F7F9"/>
          </w:tcPr>
          <w:p>
            <w:pPr>
              <w:spacing w:after="40"/>
            </w:pPr>
            <w:r/>
            <w:r>
              <w:rPr>
                <w:sz w:val="18"/>
              </w:rPr>
              <w:t>304</w:t>
            </w:r>
          </w:p>
        </w:tc>
        <w:tc>
          <w:tcPr>
            <w:tcW w:type="dxa" w:w="2436"/>
            <w:shd w:val="clear" w:color="auto" w:fill="F4F7F9"/>
          </w:tcPr>
          <w:p>
            <w:pPr>
              <w:spacing w:after="40"/>
            </w:pPr>
            <w:r/>
            <w:r>
              <w:rPr>
                <w:sz w:val="18"/>
              </w:rPr>
              <w:t>Pagination par curseur exclusivement</w:t>
            </w:r>
          </w:p>
        </w:tc>
        <w:tc>
          <w:tcPr>
            <w:tcW w:type="dxa" w:w="2436"/>
            <w:shd w:val="clear" w:color="auto" w:fill="F4F7F9"/>
          </w:tcPr>
          <w:p>
            <w:pPr>
              <w:spacing w:after="40"/>
            </w:pPr>
            <w:r/>
            <w:r>
              <w:rPr>
                <w:sz w:val="18"/>
              </w:rPr>
              <w:t>III</w:t>
            </w:r>
          </w:p>
        </w:tc>
        <w:tc>
          <w:tcPr>
            <w:tcW w:type="dxa" w:w="2436"/>
            <w:shd w:val="clear" w:color="auto" w:fill="F4F7F9"/>
          </w:tcPr>
          <w:p>
            <w:pPr>
              <w:spacing w:after="40"/>
            </w:pPr>
            <w:r/>
            <w:r>
              <w:rPr>
                <w:sz w:val="18"/>
              </w:rPr>
              <w:t>Accepté</w:t>
            </w:r>
          </w:p>
        </w:tc>
      </w:tr>
      <w:tr>
        <w:tc>
          <w:tcPr>
            <w:tcW w:type="dxa" w:w="2436"/>
          </w:tcPr>
          <w:p>
            <w:pPr>
              <w:spacing w:after="40"/>
            </w:pPr>
            <w:r/>
            <w:r>
              <w:rPr>
                <w:sz w:val="18"/>
              </w:rPr>
              <w:t>305</w:t>
            </w:r>
          </w:p>
        </w:tc>
        <w:tc>
          <w:tcPr>
            <w:tcW w:type="dxa" w:w="2436"/>
          </w:tcPr>
          <w:p>
            <w:pPr>
              <w:spacing w:after="40"/>
            </w:pPr>
            <w:r/>
            <w:r>
              <w:rPr>
                <w:sz w:val="18"/>
              </w:rPr>
              <w:t>Livraison des événements au moins une fois</w:t>
            </w:r>
          </w:p>
        </w:tc>
        <w:tc>
          <w:tcPr>
            <w:tcW w:type="dxa" w:w="2436"/>
          </w:tcPr>
          <w:p>
            <w:pPr>
              <w:spacing w:after="40"/>
            </w:pPr>
            <w:r/>
            <w:r>
              <w:rPr>
                <w:sz w:val="18"/>
              </w:rPr>
              <w:t>III</w:t>
            </w:r>
          </w:p>
        </w:tc>
        <w:tc>
          <w:tcPr>
            <w:tcW w:type="dxa" w:w="2436"/>
          </w:tcPr>
          <w:p>
            <w:pPr>
              <w:spacing w:after="40"/>
            </w:pPr>
            <w:r/>
            <w:r>
              <w:rPr>
                <w:sz w:val="18"/>
              </w:rPr>
              <w:t>Accepté</w:t>
            </w:r>
          </w:p>
        </w:tc>
      </w:tr>
      <w:tr>
        <w:tc>
          <w:tcPr>
            <w:tcW w:type="dxa" w:w="2436"/>
            <w:shd w:val="clear" w:color="auto" w:fill="F4F7F9"/>
          </w:tcPr>
          <w:p>
            <w:pPr>
              <w:spacing w:after="40"/>
            </w:pPr>
            <w:r/>
            <w:r>
              <w:rPr>
                <w:sz w:val="18"/>
              </w:rPr>
              <w:t>401</w:t>
            </w:r>
          </w:p>
        </w:tc>
        <w:tc>
          <w:tcPr>
            <w:tcW w:type="dxa" w:w="2436"/>
            <w:shd w:val="clear" w:color="auto" w:fill="F4F7F9"/>
          </w:tcPr>
          <w:p>
            <w:pPr>
              <w:spacing w:after="40"/>
            </w:pPr>
            <w:r/>
            <w:r>
              <w:rPr>
                <w:sz w:val="18"/>
              </w:rPr>
              <w:t>Magasin adressé par contenu</w:t>
            </w:r>
          </w:p>
        </w:tc>
        <w:tc>
          <w:tcPr>
            <w:tcW w:type="dxa" w:w="2436"/>
            <w:shd w:val="clear" w:color="auto" w:fill="F4F7F9"/>
          </w:tcPr>
          <w:p>
            <w:pPr>
              <w:spacing w:after="40"/>
            </w:pPr>
            <w:r/>
            <w:r>
              <w:rPr>
                <w:sz w:val="18"/>
              </w:rPr>
              <w:t>IV</w:t>
            </w:r>
          </w:p>
        </w:tc>
        <w:tc>
          <w:tcPr>
            <w:tcW w:type="dxa" w:w="2436"/>
            <w:shd w:val="clear" w:color="auto" w:fill="F4F7F9"/>
          </w:tcPr>
          <w:p>
            <w:pPr>
              <w:spacing w:after="40"/>
            </w:pPr>
            <w:r/>
            <w:r>
              <w:rPr>
                <w:sz w:val="18"/>
              </w:rPr>
              <w:t>Accepté</w:t>
            </w:r>
          </w:p>
        </w:tc>
      </w:tr>
      <w:tr>
        <w:tc>
          <w:tcPr>
            <w:tcW w:type="dxa" w:w="2436"/>
          </w:tcPr>
          <w:p>
            <w:pPr>
              <w:spacing w:after="40"/>
            </w:pPr>
            <w:r/>
            <w:r>
              <w:rPr>
                <w:sz w:val="18"/>
              </w:rPr>
              <w:t>402</w:t>
            </w:r>
          </w:p>
        </w:tc>
        <w:tc>
          <w:tcPr>
            <w:tcW w:type="dxa" w:w="2436"/>
          </w:tcPr>
          <w:p>
            <w:pPr>
              <w:spacing w:after="40"/>
            </w:pPr>
            <w:r/>
            <w:r>
              <w:rPr>
                <w:sz w:val="18"/>
              </w:rPr>
              <w:t>Descripteur auto-portant par objet</w:t>
            </w:r>
          </w:p>
        </w:tc>
        <w:tc>
          <w:tcPr>
            <w:tcW w:type="dxa" w:w="2436"/>
          </w:tcPr>
          <w:p>
            <w:pPr>
              <w:spacing w:after="40"/>
            </w:pPr>
            <w:r/>
            <w:r>
              <w:rPr>
                <w:sz w:val="18"/>
              </w:rPr>
              <w:t>IV</w:t>
            </w:r>
          </w:p>
        </w:tc>
        <w:tc>
          <w:tcPr>
            <w:tcW w:type="dxa" w:w="2436"/>
          </w:tcPr>
          <w:p>
            <w:pPr>
              <w:spacing w:after="40"/>
            </w:pPr>
            <w:r/>
            <w:r>
              <w:rPr>
                <w:sz w:val="18"/>
              </w:rPr>
              <w:t>Accepté</w:t>
            </w:r>
          </w:p>
        </w:tc>
      </w:tr>
      <w:tr>
        <w:tc>
          <w:tcPr>
            <w:tcW w:type="dxa" w:w="2436"/>
            <w:shd w:val="clear" w:color="auto" w:fill="F4F7F9"/>
          </w:tcPr>
          <w:p>
            <w:pPr>
              <w:spacing w:after="40"/>
            </w:pPr>
            <w:r/>
            <w:r>
              <w:rPr>
                <w:sz w:val="18"/>
              </w:rPr>
              <w:t>403</w:t>
            </w:r>
          </w:p>
        </w:tc>
        <w:tc>
          <w:tcPr>
            <w:tcW w:type="dxa" w:w="2436"/>
            <w:shd w:val="clear" w:color="auto" w:fill="F4F7F9"/>
          </w:tcPr>
          <w:p>
            <w:pPr>
              <w:spacing w:after="40"/>
            </w:pPr>
            <w:r/>
            <w:r>
              <w:rPr>
                <w:sz w:val="18"/>
              </w:rPr>
              <w:t>Séparation Document / Version / ContentObject</w:t>
            </w:r>
          </w:p>
        </w:tc>
        <w:tc>
          <w:tcPr>
            <w:tcW w:type="dxa" w:w="2436"/>
            <w:shd w:val="clear" w:color="auto" w:fill="F4F7F9"/>
          </w:tcPr>
          <w:p>
            <w:pPr>
              <w:spacing w:after="40"/>
            </w:pPr>
            <w:r/>
            <w:r>
              <w:rPr>
                <w:sz w:val="18"/>
              </w:rPr>
              <w:t>IV</w:t>
            </w:r>
          </w:p>
        </w:tc>
        <w:tc>
          <w:tcPr>
            <w:tcW w:type="dxa" w:w="2436"/>
            <w:shd w:val="clear" w:color="auto" w:fill="F4F7F9"/>
          </w:tcPr>
          <w:p>
            <w:pPr>
              <w:spacing w:after="40"/>
            </w:pPr>
            <w:r/>
            <w:r>
              <w:rPr>
                <w:sz w:val="18"/>
              </w:rPr>
              <w:t>Accepté</w:t>
            </w:r>
          </w:p>
        </w:tc>
      </w:tr>
      <w:tr>
        <w:tc>
          <w:tcPr>
            <w:tcW w:type="dxa" w:w="2436"/>
          </w:tcPr>
          <w:p>
            <w:pPr>
              <w:spacing w:after="40"/>
            </w:pPr>
            <w:r/>
            <w:r>
              <w:rPr>
                <w:sz w:val="18"/>
              </w:rPr>
              <w:t>404</w:t>
            </w:r>
          </w:p>
        </w:tc>
        <w:tc>
          <w:tcPr>
            <w:tcW w:type="dxa" w:w="2436"/>
          </w:tcPr>
          <w:p>
            <w:pPr>
              <w:spacing w:after="40"/>
            </w:pPr>
            <w:r/>
            <w:r>
              <w:rPr>
                <w:sz w:val="18"/>
              </w:rPr>
              <w:t>Fichier avant base</w:t>
            </w:r>
          </w:p>
        </w:tc>
        <w:tc>
          <w:tcPr>
            <w:tcW w:type="dxa" w:w="2436"/>
          </w:tcPr>
          <w:p>
            <w:pPr>
              <w:spacing w:after="40"/>
            </w:pPr>
            <w:r/>
            <w:r>
              <w:rPr>
                <w:sz w:val="18"/>
              </w:rPr>
              <w:t>IV</w:t>
            </w:r>
          </w:p>
        </w:tc>
        <w:tc>
          <w:tcPr>
            <w:tcW w:type="dxa" w:w="2436"/>
          </w:tcPr>
          <w:p>
            <w:pPr>
              <w:spacing w:after="40"/>
            </w:pPr>
            <w:r/>
            <w:r>
              <w:rPr>
                <w:sz w:val="18"/>
              </w:rPr>
              <w:t>Accepté</w:t>
            </w:r>
          </w:p>
        </w:tc>
      </w:tr>
      <w:tr>
        <w:tc>
          <w:tcPr>
            <w:tcW w:type="dxa" w:w="2436"/>
            <w:shd w:val="clear" w:color="auto" w:fill="F4F7F9"/>
          </w:tcPr>
          <w:p>
            <w:pPr>
              <w:spacing w:after="40"/>
            </w:pPr>
            <w:r/>
            <w:r>
              <w:rPr>
                <w:sz w:val="18"/>
              </w:rPr>
              <w:t>405</w:t>
            </w:r>
          </w:p>
        </w:tc>
        <w:tc>
          <w:tcPr>
            <w:tcW w:type="dxa" w:w="2436"/>
            <w:shd w:val="clear" w:color="auto" w:fill="F4F7F9"/>
          </w:tcPr>
          <w:p>
            <w:pPr>
              <w:spacing w:after="40"/>
            </w:pPr>
            <w:r/>
            <w:r>
              <w:rPr>
                <w:sz w:val="18"/>
              </w:rPr>
              <w:t>SQLite par défaut</w:t>
            </w:r>
          </w:p>
        </w:tc>
        <w:tc>
          <w:tcPr>
            <w:tcW w:type="dxa" w:w="2436"/>
            <w:shd w:val="clear" w:color="auto" w:fill="F4F7F9"/>
          </w:tcPr>
          <w:p>
            <w:pPr>
              <w:spacing w:after="40"/>
            </w:pPr>
            <w:r/>
            <w:r>
              <w:rPr>
                <w:sz w:val="18"/>
              </w:rPr>
              <w:t>IV</w:t>
            </w:r>
          </w:p>
        </w:tc>
        <w:tc>
          <w:tcPr>
            <w:tcW w:type="dxa" w:w="2436"/>
            <w:shd w:val="clear" w:color="auto" w:fill="F4F7F9"/>
          </w:tcPr>
          <w:p>
            <w:pPr>
              <w:spacing w:after="40"/>
            </w:pPr>
            <w:r/>
            <w:r>
              <w:rPr>
                <w:sz w:val="18"/>
              </w:rPr>
              <w:t>Accepté</w:t>
            </w:r>
          </w:p>
        </w:tc>
      </w:tr>
      <w:tr>
        <w:tc>
          <w:tcPr>
            <w:tcW w:type="dxa" w:w="2436"/>
          </w:tcPr>
          <w:p>
            <w:pPr>
              <w:spacing w:after="40"/>
            </w:pPr>
            <w:r/>
            <w:r>
              <w:rPr>
                <w:sz w:val="18"/>
              </w:rPr>
              <w:t>406</w:t>
            </w:r>
          </w:p>
        </w:tc>
        <w:tc>
          <w:tcPr>
            <w:tcW w:type="dxa" w:w="2436"/>
          </w:tcPr>
          <w:p>
            <w:pPr>
              <w:spacing w:after="40"/>
            </w:pPr>
            <w:r/>
            <w:r>
              <w:rPr>
                <w:sz w:val="18"/>
              </w:rPr>
              <w:t>Empreinte sur les octets décompressés</w:t>
            </w:r>
          </w:p>
        </w:tc>
        <w:tc>
          <w:tcPr>
            <w:tcW w:type="dxa" w:w="2436"/>
          </w:tcPr>
          <w:p>
            <w:pPr>
              <w:spacing w:after="40"/>
            </w:pPr>
            <w:r/>
            <w:r>
              <w:rPr>
                <w:sz w:val="18"/>
              </w:rPr>
              <w:t>IV</w:t>
            </w:r>
          </w:p>
        </w:tc>
        <w:tc>
          <w:tcPr>
            <w:tcW w:type="dxa" w:w="2436"/>
          </w:tcPr>
          <w:p>
            <w:pPr>
              <w:spacing w:after="40"/>
            </w:pPr>
            <w:r/>
            <w:r>
              <w:rPr>
                <w:sz w:val="18"/>
              </w:rPr>
              <w:t>Accepté</w:t>
            </w:r>
          </w:p>
        </w:tc>
      </w:tr>
      <w:tr>
        <w:tc>
          <w:tcPr>
            <w:tcW w:type="dxa" w:w="2436"/>
            <w:shd w:val="clear" w:color="auto" w:fill="F4F7F9"/>
          </w:tcPr>
          <w:p>
            <w:pPr>
              <w:spacing w:after="40"/>
            </w:pPr>
            <w:r/>
            <w:r>
              <w:rPr>
                <w:sz w:val="18"/>
              </w:rPr>
              <w:t>501</w:t>
            </w:r>
          </w:p>
        </w:tc>
        <w:tc>
          <w:tcPr>
            <w:tcW w:type="dxa" w:w="2436"/>
            <w:shd w:val="clear" w:color="auto" w:fill="F4F7F9"/>
          </w:tcPr>
          <w:p>
            <w:pPr>
              <w:spacing w:after="40"/>
            </w:pPr>
            <w:r/>
            <w:r>
              <w:rPr>
                <w:sz w:val="18"/>
              </w:rPr>
              <w:t>Séparation physique collecte / traitement</w:t>
            </w:r>
          </w:p>
        </w:tc>
        <w:tc>
          <w:tcPr>
            <w:tcW w:type="dxa" w:w="2436"/>
            <w:shd w:val="clear" w:color="auto" w:fill="F4F7F9"/>
          </w:tcPr>
          <w:p>
            <w:pPr>
              <w:spacing w:after="40"/>
            </w:pPr>
            <w:r/>
            <w:r>
              <w:rPr>
                <w:sz w:val="18"/>
              </w:rPr>
              <w:t>V</w:t>
            </w:r>
          </w:p>
        </w:tc>
        <w:tc>
          <w:tcPr>
            <w:tcW w:type="dxa" w:w="2436"/>
            <w:shd w:val="clear" w:color="auto" w:fill="F4F7F9"/>
          </w:tcPr>
          <w:p>
            <w:pPr>
              <w:spacing w:after="40"/>
            </w:pPr>
            <w:r/>
            <w:r>
              <w:rPr>
                <w:sz w:val="18"/>
              </w:rPr>
              <w:t>Accepté</w:t>
            </w:r>
          </w:p>
        </w:tc>
      </w:tr>
      <w:tr>
        <w:tc>
          <w:tcPr>
            <w:tcW w:type="dxa" w:w="2436"/>
          </w:tcPr>
          <w:p>
            <w:pPr>
              <w:spacing w:after="40"/>
            </w:pPr>
            <w:r/>
            <w:r>
              <w:rPr>
                <w:sz w:val="18"/>
              </w:rPr>
              <w:t>502</w:t>
            </w:r>
          </w:p>
        </w:tc>
        <w:tc>
          <w:tcPr>
            <w:tcW w:type="dxa" w:w="2436"/>
          </w:tcPr>
          <w:p>
            <w:pPr>
              <w:spacing w:after="40"/>
            </w:pPr>
            <w:r/>
            <w:r>
              <w:rPr>
                <w:sz w:val="18"/>
              </w:rPr>
              <w:t>DAG plutôt que chaîne</w:t>
            </w:r>
          </w:p>
        </w:tc>
        <w:tc>
          <w:tcPr>
            <w:tcW w:type="dxa" w:w="2436"/>
          </w:tcPr>
          <w:p>
            <w:pPr>
              <w:spacing w:after="40"/>
            </w:pPr>
            <w:r/>
            <w:r>
              <w:rPr>
                <w:sz w:val="18"/>
              </w:rPr>
              <w:t>V</w:t>
            </w:r>
          </w:p>
        </w:tc>
        <w:tc>
          <w:tcPr>
            <w:tcW w:type="dxa" w:w="2436"/>
          </w:tcPr>
          <w:p>
            <w:pPr>
              <w:spacing w:after="40"/>
            </w:pPr>
            <w:r/>
            <w:r>
              <w:rPr>
                <w:sz w:val="18"/>
              </w:rPr>
              <w:t>Accepté</w:t>
            </w:r>
          </w:p>
        </w:tc>
      </w:tr>
      <w:tr>
        <w:tc>
          <w:tcPr>
            <w:tcW w:type="dxa" w:w="2436"/>
            <w:shd w:val="clear" w:color="auto" w:fill="F4F7F9"/>
          </w:tcPr>
          <w:p>
            <w:pPr>
              <w:spacing w:after="40"/>
            </w:pPr>
            <w:r/>
            <w:r>
              <w:rPr>
                <w:sz w:val="18"/>
              </w:rPr>
              <w:t>503</w:t>
            </w:r>
          </w:p>
        </w:tc>
        <w:tc>
          <w:tcPr>
            <w:tcW w:type="dxa" w:w="2436"/>
            <w:shd w:val="clear" w:color="auto" w:fill="F4F7F9"/>
          </w:tcPr>
          <w:p>
            <w:pPr>
              <w:spacing w:after="40"/>
            </w:pPr>
            <w:r/>
            <w:r>
              <w:rPr>
                <w:sz w:val="18"/>
              </w:rPr>
              <w:t>Score de confiance obligatoire</w:t>
            </w:r>
          </w:p>
        </w:tc>
        <w:tc>
          <w:tcPr>
            <w:tcW w:type="dxa" w:w="2436"/>
            <w:shd w:val="clear" w:color="auto" w:fill="F4F7F9"/>
          </w:tcPr>
          <w:p>
            <w:pPr>
              <w:spacing w:after="40"/>
            </w:pPr>
            <w:r/>
            <w:r>
              <w:rPr>
                <w:sz w:val="18"/>
              </w:rPr>
              <w:t>V</w:t>
            </w:r>
          </w:p>
        </w:tc>
        <w:tc>
          <w:tcPr>
            <w:tcW w:type="dxa" w:w="2436"/>
            <w:shd w:val="clear" w:color="auto" w:fill="F4F7F9"/>
          </w:tcPr>
          <w:p>
            <w:pPr>
              <w:spacing w:after="40"/>
            </w:pPr>
            <w:r/>
            <w:r>
              <w:rPr>
                <w:sz w:val="18"/>
              </w:rPr>
              <w:t>Accepté</w:t>
            </w:r>
          </w:p>
        </w:tc>
      </w:tr>
      <w:tr>
        <w:tc>
          <w:tcPr>
            <w:tcW w:type="dxa" w:w="2436"/>
          </w:tcPr>
          <w:p>
            <w:pPr>
              <w:spacing w:after="40"/>
            </w:pPr>
            <w:r/>
            <w:r>
              <w:rPr>
                <w:sz w:val="18"/>
              </w:rPr>
              <w:t>504</w:t>
            </w:r>
          </w:p>
        </w:tc>
        <w:tc>
          <w:tcPr>
            <w:tcW w:type="dxa" w:w="2436"/>
          </w:tcPr>
          <w:p>
            <w:pPr>
              <w:spacing w:after="40"/>
            </w:pPr>
            <w:r/>
            <w:r>
              <w:rPr>
                <w:sz w:val="18"/>
              </w:rPr>
              <w:t>Deux profils de normalisation</w:t>
            </w:r>
          </w:p>
        </w:tc>
        <w:tc>
          <w:tcPr>
            <w:tcW w:type="dxa" w:w="2436"/>
          </w:tcPr>
          <w:p>
            <w:pPr>
              <w:spacing w:after="40"/>
            </w:pPr>
            <w:r/>
            <w:r>
              <w:rPr>
                <w:sz w:val="18"/>
              </w:rPr>
              <w:t>V</w:t>
            </w:r>
          </w:p>
        </w:tc>
        <w:tc>
          <w:tcPr>
            <w:tcW w:type="dxa" w:w="2436"/>
          </w:tcPr>
          <w:p>
            <w:pPr>
              <w:spacing w:after="40"/>
            </w:pPr>
            <w:r/>
            <w:r>
              <w:rPr>
                <w:sz w:val="18"/>
              </w:rPr>
              <w:t>Accepté</w:t>
            </w:r>
          </w:p>
        </w:tc>
      </w:tr>
      <w:tr>
        <w:tc>
          <w:tcPr>
            <w:tcW w:type="dxa" w:w="2436"/>
            <w:shd w:val="clear" w:color="auto" w:fill="F4F7F9"/>
          </w:tcPr>
          <w:p>
            <w:pPr>
              <w:spacing w:after="40"/>
            </w:pPr>
            <w:r/>
            <w:r>
              <w:rPr>
                <w:sz w:val="18"/>
              </w:rPr>
              <w:t>505</w:t>
            </w:r>
          </w:p>
        </w:tc>
        <w:tc>
          <w:tcPr>
            <w:tcW w:type="dxa" w:w="2436"/>
            <w:shd w:val="clear" w:color="auto" w:fill="F4F7F9"/>
          </w:tcPr>
          <w:p>
            <w:pPr>
              <w:spacing w:after="40"/>
            </w:pPr>
            <w:r/>
            <w:r>
              <w:rPr>
                <w:sz w:val="18"/>
              </w:rPr>
              <w:t>Version du pipeline dans le chemin d'artefact</w:t>
            </w:r>
          </w:p>
        </w:tc>
        <w:tc>
          <w:tcPr>
            <w:tcW w:type="dxa" w:w="2436"/>
            <w:shd w:val="clear" w:color="auto" w:fill="F4F7F9"/>
          </w:tcPr>
          <w:p>
            <w:pPr>
              <w:spacing w:after="40"/>
            </w:pPr>
            <w:r/>
            <w:r>
              <w:rPr>
                <w:sz w:val="18"/>
              </w:rPr>
              <w:t>V</w:t>
            </w:r>
          </w:p>
        </w:tc>
        <w:tc>
          <w:tcPr>
            <w:tcW w:type="dxa" w:w="2436"/>
            <w:shd w:val="clear" w:color="auto" w:fill="F4F7F9"/>
          </w:tcPr>
          <w:p>
            <w:pPr>
              <w:spacing w:after="40"/>
            </w:pPr>
            <w:r/>
            <w:r>
              <w:rPr>
                <w:sz w:val="18"/>
              </w:rPr>
              <w:t>Accepté</w:t>
            </w:r>
          </w:p>
        </w:tc>
      </w:tr>
      <w:tr>
        <w:tc>
          <w:tcPr>
            <w:tcW w:type="dxa" w:w="2436"/>
          </w:tcPr>
          <w:p>
            <w:pPr>
              <w:spacing w:after="40"/>
            </w:pPr>
            <w:r/>
            <w:r>
              <w:rPr>
                <w:sz w:val="18"/>
              </w:rPr>
              <w:t>506</w:t>
            </w:r>
          </w:p>
        </w:tc>
        <w:tc>
          <w:tcPr>
            <w:tcW w:type="dxa" w:w="2436"/>
          </w:tcPr>
          <w:p>
            <w:pPr>
              <w:spacing w:after="40"/>
            </w:pPr>
            <w:r/>
            <w:r>
              <w:rPr>
                <w:sz w:val="18"/>
              </w:rPr>
              <w:t>Baux plutôt que verrous</w:t>
            </w:r>
          </w:p>
        </w:tc>
        <w:tc>
          <w:tcPr>
            <w:tcW w:type="dxa" w:w="2436"/>
          </w:tcPr>
          <w:p>
            <w:pPr>
              <w:spacing w:after="40"/>
            </w:pPr>
            <w:r/>
            <w:r>
              <w:rPr>
                <w:sz w:val="18"/>
              </w:rPr>
              <w:t>V</w:t>
            </w:r>
          </w:p>
        </w:tc>
        <w:tc>
          <w:tcPr>
            <w:tcW w:type="dxa" w:w="2436"/>
          </w:tcPr>
          <w:p>
            <w:pPr>
              <w:spacing w:after="40"/>
            </w:pPr>
            <w:r/>
            <w:r>
              <w:rPr>
                <w:sz w:val="18"/>
              </w:rPr>
              <w:t>Accepté</w:t>
            </w:r>
          </w:p>
        </w:tc>
      </w:tr>
      <w:tr>
        <w:tc>
          <w:tcPr>
            <w:tcW w:type="dxa" w:w="2436"/>
            <w:shd w:val="clear" w:color="auto" w:fill="F4F7F9"/>
          </w:tcPr>
          <w:p>
            <w:pPr>
              <w:spacing w:after="40"/>
            </w:pPr>
            <w:r/>
            <w:r>
              <w:rPr>
                <w:sz w:val="18"/>
              </w:rPr>
              <w:t>601</w:t>
            </w:r>
          </w:p>
        </w:tc>
        <w:tc>
          <w:tcPr>
            <w:tcW w:type="dxa" w:w="2436"/>
            <w:shd w:val="clear" w:color="auto" w:fill="F4F7F9"/>
          </w:tcPr>
          <w:p>
            <w:pPr>
              <w:spacing w:after="40"/>
            </w:pPr>
            <w:r/>
            <w:r>
              <w:rPr>
                <w:sz w:val="18"/>
              </w:rPr>
              <w:t>Refus par défaut sur toutes les frontières</w:t>
            </w:r>
          </w:p>
        </w:tc>
        <w:tc>
          <w:tcPr>
            <w:tcW w:type="dxa" w:w="2436"/>
            <w:shd w:val="clear" w:color="auto" w:fill="F4F7F9"/>
          </w:tcPr>
          <w:p>
            <w:pPr>
              <w:spacing w:after="40"/>
            </w:pPr>
            <w:r/>
            <w:r>
              <w:rPr>
                <w:sz w:val="18"/>
              </w:rPr>
              <w:t>VI</w:t>
            </w:r>
          </w:p>
        </w:tc>
        <w:tc>
          <w:tcPr>
            <w:tcW w:type="dxa" w:w="2436"/>
            <w:shd w:val="clear" w:color="auto" w:fill="F4F7F9"/>
          </w:tcPr>
          <w:p>
            <w:pPr>
              <w:spacing w:after="40"/>
            </w:pPr>
            <w:r/>
            <w:r>
              <w:rPr>
                <w:sz w:val="18"/>
              </w:rPr>
              <w:t>Accepté</w:t>
            </w:r>
          </w:p>
        </w:tc>
      </w:tr>
      <w:tr>
        <w:tc>
          <w:tcPr>
            <w:tcW w:type="dxa" w:w="2436"/>
          </w:tcPr>
          <w:p>
            <w:pPr>
              <w:spacing w:after="40"/>
            </w:pPr>
            <w:r/>
            <w:r>
              <w:rPr>
                <w:sz w:val="18"/>
              </w:rPr>
              <w:t>602</w:t>
            </w:r>
          </w:p>
        </w:tc>
        <w:tc>
          <w:tcPr>
            <w:tcW w:type="dxa" w:w="2436"/>
          </w:tcPr>
          <w:p>
            <w:pPr>
              <w:spacing w:after="40"/>
            </w:pPr>
            <w:r/>
            <w:r>
              <w:rPr>
                <w:sz w:val="18"/>
              </w:rPr>
              <w:t>Secrets typés plutôt que chaînes</w:t>
            </w:r>
          </w:p>
        </w:tc>
        <w:tc>
          <w:tcPr>
            <w:tcW w:type="dxa" w:w="2436"/>
          </w:tcPr>
          <w:p>
            <w:pPr>
              <w:spacing w:after="40"/>
            </w:pPr>
            <w:r/>
            <w:r>
              <w:rPr>
                <w:sz w:val="18"/>
              </w:rPr>
              <w:t>VI</w:t>
            </w:r>
          </w:p>
        </w:tc>
        <w:tc>
          <w:tcPr>
            <w:tcW w:type="dxa" w:w="2436"/>
          </w:tcPr>
          <w:p>
            <w:pPr>
              <w:spacing w:after="40"/>
            </w:pPr>
            <w:r/>
            <w:r>
              <w:rPr>
                <w:sz w:val="18"/>
              </w:rPr>
              <w:t>Accepté</w:t>
            </w:r>
          </w:p>
        </w:tc>
      </w:tr>
      <w:tr>
        <w:tc>
          <w:tcPr>
            <w:tcW w:type="dxa" w:w="2436"/>
            <w:shd w:val="clear" w:color="auto" w:fill="F4F7F9"/>
          </w:tcPr>
          <w:p>
            <w:pPr>
              <w:spacing w:after="40"/>
            </w:pPr>
            <w:r/>
            <w:r>
              <w:rPr>
                <w:sz w:val="18"/>
              </w:rPr>
              <w:t>603</w:t>
            </w:r>
          </w:p>
        </w:tc>
        <w:tc>
          <w:tcPr>
            <w:tcW w:type="dxa" w:w="2436"/>
            <w:shd w:val="clear" w:color="auto" w:fill="F4F7F9"/>
          </w:tcPr>
          <w:p>
            <w:pPr>
              <w:spacing w:after="40"/>
            </w:pPr>
            <w:r/>
            <w:r>
              <w:rPr>
                <w:sz w:val="18"/>
              </w:rPr>
              <w:t>Journal d'audit chaîné</w:t>
            </w:r>
          </w:p>
        </w:tc>
        <w:tc>
          <w:tcPr>
            <w:tcW w:type="dxa" w:w="2436"/>
            <w:shd w:val="clear" w:color="auto" w:fill="F4F7F9"/>
          </w:tcPr>
          <w:p>
            <w:pPr>
              <w:spacing w:after="40"/>
            </w:pPr>
            <w:r/>
            <w:r>
              <w:rPr>
                <w:sz w:val="18"/>
              </w:rPr>
              <w:t>VI</w:t>
            </w:r>
          </w:p>
        </w:tc>
        <w:tc>
          <w:tcPr>
            <w:tcW w:type="dxa" w:w="2436"/>
            <w:shd w:val="clear" w:color="auto" w:fill="F4F7F9"/>
          </w:tcPr>
          <w:p>
            <w:pPr>
              <w:spacing w:after="40"/>
            </w:pPr>
            <w:r/>
            <w:r>
              <w:rPr>
                <w:sz w:val="18"/>
              </w:rPr>
              <w:t>Accepté</w:t>
            </w:r>
          </w:p>
        </w:tc>
      </w:tr>
      <w:tr>
        <w:tc>
          <w:tcPr>
            <w:tcW w:type="dxa" w:w="2436"/>
          </w:tcPr>
          <w:p>
            <w:pPr>
              <w:spacing w:after="40"/>
            </w:pPr>
            <w:r/>
            <w:r>
              <w:rPr>
                <w:sz w:val="18"/>
              </w:rPr>
              <w:t>604</w:t>
            </w:r>
          </w:p>
        </w:tc>
        <w:tc>
          <w:tcPr>
            <w:tcW w:type="dxa" w:w="2436"/>
          </w:tcPr>
          <w:p>
            <w:pPr>
              <w:spacing w:after="40"/>
            </w:pPr>
            <w:r/>
            <w:r>
              <w:rPr>
                <w:sz w:val="18"/>
              </w:rPr>
              <w:t>Absence de capacités de contournement</w:t>
            </w:r>
          </w:p>
        </w:tc>
        <w:tc>
          <w:tcPr>
            <w:tcW w:type="dxa" w:w="2436"/>
          </w:tcPr>
          <w:p>
            <w:pPr>
              <w:spacing w:after="40"/>
            </w:pPr>
            <w:r/>
            <w:r>
              <w:rPr>
                <w:sz w:val="18"/>
              </w:rPr>
              <w:t>VI</w:t>
            </w:r>
          </w:p>
        </w:tc>
        <w:tc>
          <w:tcPr>
            <w:tcW w:type="dxa" w:w="2436"/>
          </w:tcPr>
          <w:p>
            <w:pPr>
              <w:spacing w:after="40"/>
            </w:pPr>
            <w:r/>
            <w:r>
              <w:rPr>
                <w:sz w:val="18"/>
              </w:rPr>
              <w:t>Accepté</w:t>
            </w:r>
          </w:p>
        </w:tc>
      </w:tr>
      <w:tr>
        <w:tc>
          <w:tcPr>
            <w:tcW w:type="dxa" w:w="2436"/>
            <w:shd w:val="clear" w:color="auto" w:fill="F4F7F9"/>
          </w:tcPr>
          <w:p>
            <w:pPr>
              <w:spacing w:after="40"/>
            </w:pPr>
            <w:r/>
            <w:r>
              <w:rPr>
                <w:sz w:val="18"/>
              </w:rPr>
              <w:t>605</w:t>
            </w:r>
          </w:p>
        </w:tc>
        <w:tc>
          <w:tcPr>
            <w:tcW w:type="dxa" w:w="2436"/>
            <w:shd w:val="clear" w:color="auto" w:fill="F4F7F9"/>
          </w:tcPr>
          <w:p>
            <w:pPr>
              <w:spacing w:after="40"/>
            </w:pPr>
            <w:r/>
            <w:r>
              <w:rPr>
                <w:sz w:val="18"/>
              </w:rPr>
              <w:t>API locale, opérations destructives hors réseau</w:t>
            </w:r>
          </w:p>
        </w:tc>
        <w:tc>
          <w:tcPr>
            <w:tcW w:type="dxa" w:w="2436"/>
            <w:shd w:val="clear" w:color="auto" w:fill="F4F7F9"/>
          </w:tcPr>
          <w:p>
            <w:pPr>
              <w:spacing w:after="40"/>
            </w:pPr>
            <w:r/>
            <w:r>
              <w:rPr>
                <w:sz w:val="18"/>
              </w:rPr>
              <w:t>VI</w:t>
            </w:r>
          </w:p>
        </w:tc>
        <w:tc>
          <w:tcPr>
            <w:tcW w:type="dxa" w:w="2436"/>
            <w:shd w:val="clear" w:color="auto" w:fill="F4F7F9"/>
          </w:tcPr>
          <w:p>
            <w:pPr>
              <w:spacing w:after="40"/>
            </w:pPr>
            <w:r/>
            <w:r>
              <w:rPr>
                <w:sz w:val="18"/>
              </w:rPr>
              <w:t>Accepté</w:t>
            </w:r>
          </w:p>
        </w:tc>
      </w:tr>
      <w:tr>
        <w:tc>
          <w:tcPr>
            <w:tcW w:type="dxa" w:w="2436"/>
          </w:tcPr>
          <w:p>
            <w:pPr>
              <w:spacing w:after="40"/>
            </w:pPr>
            <w:r/>
            <w:r>
              <w:rPr>
                <w:sz w:val="18"/>
              </w:rPr>
              <w:t>701</w:t>
            </w:r>
          </w:p>
        </w:tc>
        <w:tc>
          <w:tcPr>
            <w:tcW w:type="dxa" w:w="2436"/>
          </w:tcPr>
          <w:p>
            <w:pPr>
              <w:spacing w:after="40"/>
            </w:pPr>
            <w:r/>
            <w:r>
              <w:rPr>
                <w:sz w:val="18"/>
              </w:rPr>
              <w:t>Attentes déclarées par source</w:t>
            </w:r>
          </w:p>
        </w:tc>
        <w:tc>
          <w:tcPr>
            <w:tcW w:type="dxa" w:w="2436"/>
          </w:tcPr>
          <w:p>
            <w:pPr>
              <w:spacing w:after="40"/>
            </w:pPr>
            <w:r/>
            <w:r>
              <w:rPr>
                <w:sz w:val="18"/>
              </w:rPr>
              <w:t>VII</w:t>
            </w:r>
          </w:p>
        </w:tc>
        <w:tc>
          <w:tcPr>
            <w:tcW w:type="dxa" w:w="2436"/>
          </w:tcPr>
          <w:p>
            <w:pPr>
              <w:spacing w:after="40"/>
            </w:pPr>
            <w:r/>
            <w:r>
              <w:rPr>
                <w:sz w:val="18"/>
              </w:rPr>
              <w:t>Accepté</w:t>
            </w:r>
          </w:p>
        </w:tc>
      </w:tr>
      <w:tr>
        <w:tc>
          <w:tcPr>
            <w:tcW w:type="dxa" w:w="2436"/>
            <w:shd w:val="clear" w:color="auto" w:fill="F4F7F9"/>
          </w:tcPr>
          <w:p>
            <w:pPr>
              <w:spacing w:after="40"/>
            </w:pPr>
            <w:r/>
            <w:r>
              <w:rPr>
                <w:sz w:val="18"/>
              </w:rPr>
              <w:t>702</w:t>
            </w:r>
          </w:p>
        </w:tc>
        <w:tc>
          <w:tcPr>
            <w:tcW w:type="dxa" w:w="2436"/>
            <w:shd w:val="clear" w:color="auto" w:fill="F4F7F9"/>
          </w:tcPr>
          <w:p>
            <w:pPr>
              <w:spacing w:after="40"/>
            </w:pPr>
            <w:r/>
            <w:r>
              <w:rPr>
                <w:sz w:val="18"/>
              </w:rPr>
              <w:t>Journaux structurés exclusivement</w:t>
            </w:r>
          </w:p>
        </w:tc>
        <w:tc>
          <w:tcPr>
            <w:tcW w:type="dxa" w:w="2436"/>
            <w:shd w:val="clear" w:color="auto" w:fill="F4F7F9"/>
          </w:tcPr>
          <w:p>
            <w:pPr>
              <w:spacing w:after="40"/>
            </w:pPr>
            <w:r/>
            <w:r>
              <w:rPr>
                <w:sz w:val="18"/>
              </w:rPr>
              <w:t>VII</w:t>
            </w:r>
          </w:p>
        </w:tc>
        <w:tc>
          <w:tcPr>
            <w:tcW w:type="dxa" w:w="2436"/>
            <w:shd w:val="clear" w:color="auto" w:fill="F4F7F9"/>
          </w:tcPr>
          <w:p>
            <w:pPr>
              <w:spacing w:after="40"/>
            </w:pPr>
            <w:r/>
            <w:r>
              <w:rPr>
                <w:sz w:val="18"/>
              </w:rPr>
              <w:t>Accepté</w:t>
            </w:r>
          </w:p>
        </w:tc>
      </w:tr>
      <w:tr>
        <w:tc>
          <w:tcPr>
            <w:tcW w:type="dxa" w:w="2436"/>
          </w:tcPr>
          <w:p>
            <w:pPr>
              <w:spacing w:after="40"/>
            </w:pPr>
            <w:r/>
            <w:r>
              <w:rPr>
                <w:sz w:val="18"/>
              </w:rPr>
              <w:t>703</w:t>
            </w:r>
          </w:p>
        </w:tc>
        <w:tc>
          <w:tcPr>
            <w:tcW w:type="dxa" w:w="2436"/>
          </w:tcPr>
          <w:p>
            <w:pPr>
              <w:spacing w:after="40"/>
            </w:pPr>
            <w:r/>
            <w:r>
              <w:rPr>
                <w:sz w:val="18"/>
              </w:rPr>
              <w:t>Observabilité sans dépendance externe</w:t>
            </w:r>
          </w:p>
        </w:tc>
        <w:tc>
          <w:tcPr>
            <w:tcW w:type="dxa" w:w="2436"/>
          </w:tcPr>
          <w:p>
            <w:pPr>
              <w:spacing w:after="40"/>
            </w:pPr>
            <w:r/>
            <w:r>
              <w:rPr>
                <w:sz w:val="18"/>
              </w:rPr>
              <w:t>VII</w:t>
            </w:r>
          </w:p>
        </w:tc>
        <w:tc>
          <w:tcPr>
            <w:tcW w:type="dxa" w:w="2436"/>
          </w:tcPr>
          <w:p>
            <w:pPr>
              <w:spacing w:after="40"/>
            </w:pPr>
            <w:r/>
            <w:r>
              <w:rPr>
                <w:sz w:val="18"/>
              </w:rPr>
              <w:t>Accepté</w:t>
            </w:r>
          </w:p>
        </w:tc>
      </w:tr>
      <w:tr>
        <w:tc>
          <w:tcPr>
            <w:tcW w:type="dxa" w:w="2436"/>
            <w:shd w:val="clear" w:color="auto" w:fill="F4F7F9"/>
          </w:tcPr>
          <w:p>
            <w:pPr>
              <w:spacing w:after="40"/>
            </w:pPr>
            <w:r/>
            <w:r>
              <w:rPr>
                <w:sz w:val="18"/>
              </w:rPr>
              <w:t>704</w:t>
            </w:r>
          </w:p>
        </w:tc>
        <w:tc>
          <w:tcPr>
            <w:tcW w:type="dxa" w:w="2436"/>
            <w:shd w:val="clear" w:color="auto" w:fill="F4F7F9"/>
          </w:tcPr>
          <w:p>
            <w:pPr>
              <w:spacing w:after="40"/>
            </w:pPr>
            <w:r/>
            <w:r>
              <w:rPr>
                <w:sz w:val="18"/>
              </w:rPr>
              <w:t>Pipeline subordonné à la collecte</w:t>
            </w:r>
          </w:p>
        </w:tc>
        <w:tc>
          <w:tcPr>
            <w:tcW w:type="dxa" w:w="2436"/>
            <w:shd w:val="clear" w:color="auto" w:fill="F4F7F9"/>
          </w:tcPr>
          <w:p>
            <w:pPr>
              <w:spacing w:after="40"/>
            </w:pPr>
            <w:r/>
            <w:r>
              <w:rPr>
                <w:sz w:val="18"/>
              </w:rPr>
              <w:t>VII</w:t>
            </w:r>
          </w:p>
        </w:tc>
        <w:tc>
          <w:tcPr>
            <w:tcW w:type="dxa" w:w="2436"/>
            <w:shd w:val="clear" w:color="auto" w:fill="F4F7F9"/>
          </w:tcPr>
          <w:p>
            <w:pPr>
              <w:spacing w:after="40"/>
            </w:pPr>
            <w:r/>
            <w:r>
              <w:rPr>
                <w:sz w:val="18"/>
              </w:rPr>
              <w:t>Accepté</w:t>
            </w:r>
          </w:p>
        </w:tc>
      </w:tr>
      <w:tr>
        <w:tc>
          <w:tcPr>
            <w:tcW w:type="dxa" w:w="2436"/>
          </w:tcPr>
          <w:p>
            <w:pPr>
              <w:spacing w:after="40"/>
            </w:pPr>
            <w:r/>
            <w:r>
              <w:rPr>
                <w:sz w:val="18"/>
              </w:rPr>
              <w:t>705</w:t>
            </w:r>
          </w:p>
        </w:tc>
        <w:tc>
          <w:tcPr>
            <w:tcW w:type="dxa" w:w="2436"/>
          </w:tcPr>
          <w:p>
            <w:pPr>
              <w:spacing w:after="40"/>
            </w:pPr>
            <w:r/>
            <w:r>
              <w:rPr>
                <w:sz w:val="18"/>
              </w:rPr>
              <w:t>Aucune sortie automatique de quarantaine</w:t>
            </w:r>
          </w:p>
        </w:tc>
        <w:tc>
          <w:tcPr>
            <w:tcW w:type="dxa" w:w="2436"/>
          </w:tcPr>
          <w:p>
            <w:pPr>
              <w:spacing w:after="40"/>
            </w:pPr>
            <w:r/>
            <w:r>
              <w:rPr>
                <w:sz w:val="18"/>
              </w:rPr>
              <w:t>VII</w:t>
            </w:r>
          </w:p>
        </w:tc>
        <w:tc>
          <w:tcPr>
            <w:tcW w:type="dxa" w:w="2436"/>
          </w:tcPr>
          <w:p>
            <w:pPr>
              <w:spacing w:after="40"/>
            </w:pPr>
            <w:r/>
            <w:r>
              <w:rPr>
                <w:sz w:val="18"/>
              </w:rPr>
              <w:t>Accepté</w:t>
            </w:r>
          </w:p>
        </w:tc>
      </w:tr>
      <w:tr>
        <w:tc>
          <w:tcPr>
            <w:tcW w:type="dxa" w:w="2436"/>
            <w:shd w:val="clear" w:color="auto" w:fill="F4F7F9"/>
          </w:tcPr>
          <w:p>
            <w:pPr>
              <w:spacing w:after="40"/>
            </w:pPr>
            <w:r/>
            <w:r>
              <w:rPr>
                <w:sz w:val="18"/>
              </w:rPr>
              <w:t>801</w:t>
            </w:r>
          </w:p>
        </w:tc>
        <w:tc>
          <w:tcPr>
            <w:tcW w:type="dxa" w:w="2436"/>
            <w:shd w:val="clear" w:color="auto" w:fill="F4F7F9"/>
          </w:tcPr>
          <w:p>
            <w:pPr>
              <w:spacing w:after="40"/>
            </w:pPr>
            <w:r/>
            <w:r>
              <w:rPr>
                <w:sz w:val="18"/>
              </w:rPr>
              <w:t>Fixtures enregistrées avec péremption</w:t>
            </w:r>
          </w:p>
        </w:tc>
        <w:tc>
          <w:tcPr>
            <w:tcW w:type="dxa" w:w="2436"/>
            <w:shd w:val="clear" w:color="auto" w:fill="F4F7F9"/>
          </w:tcPr>
          <w:p>
            <w:pPr>
              <w:spacing w:after="40"/>
            </w:pPr>
            <w:r/>
            <w:r>
              <w:rPr>
                <w:sz w:val="18"/>
              </w:rPr>
              <w:t>VIII</w:t>
            </w:r>
          </w:p>
        </w:tc>
        <w:tc>
          <w:tcPr>
            <w:tcW w:type="dxa" w:w="2436"/>
            <w:shd w:val="clear" w:color="auto" w:fill="F4F7F9"/>
          </w:tcPr>
          <w:p>
            <w:pPr>
              <w:spacing w:after="40"/>
            </w:pPr>
            <w:r/>
            <w:r>
              <w:rPr>
                <w:sz w:val="18"/>
              </w:rPr>
              <w:t>Accepté</w:t>
            </w:r>
          </w:p>
        </w:tc>
      </w:tr>
      <w:tr>
        <w:tc>
          <w:tcPr>
            <w:tcW w:type="dxa" w:w="2436"/>
          </w:tcPr>
          <w:p>
            <w:pPr>
              <w:spacing w:after="40"/>
            </w:pPr>
            <w:r/>
            <w:r>
              <w:rPr>
                <w:sz w:val="18"/>
              </w:rPr>
              <w:t>802</w:t>
            </w:r>
          </w:p>
        </w:tc>
        <w:tc>
          <w:tcPr>
            <w:tcW w:type="dxa" w:w="2436"/>
          </w:tcPr>
          <w:p>
            <w:pPr>
              <w:spacing w:after="40"/>
            </w:pPr>
            <w:r/>
            <w:r>
              <w:rPr>
                <w:sz w:val="18"/>
              </w:rPr>
              <w:t>Tests de propriétés pour les invariants</w:t>
            </w:r>
          </w:p>
        </w:tc>
        <w:tc>
          <w:tcPr>
            <w:tcW w:type="dxa" w:w="2436"/>
          </w:tcPr>
          <w:p>
            <w:pPr>
              <w:spacing w:after="40"/>
            </w:pPr>
            <w:r/>
            <w:r>
              <w:rPr>
                <w:sz w:val="18"/>
              </w:rPr>
              <w:t>VIII</w:t>
            </w:r>
          </w:p>
        </w:tc>
        <w:tc>
          <w:tcPr>
            <w:tcW w:type="dxa" w:w="2436"/>
          </w:tcPr>
          <w:p>
            <w:pPr>
              <w:spacing w:after="40"/>
            </w:pPr>
            <w:r/>
            <w:r>
              <w:rPr>
                <w:sz w:val="18"/>
              </w:rPr>
              <w:t>Accepté</w:t>
            </w:r>
          </w:p>
        </w:tc>
      </w:tr>
      <w:tr>
        <w:tc>
          <w:tcPr>
            <w:tcW w:type="dxa" w:w="2436"/>
            <w:shd w:val="clear" w:color="auto" w:fill="F4F7F9"/>
          </w:tcPr>
          <w:p>
            <w:pPr>
              <w:spacing w:after="40"/>
            </w:pPr>
            <w:r/>
            <w:r>
              <w:rPr>
                <w:sz w:val="18"/>
              </w:rPr>
              <w:t>803</w:t>
            </w:r>
          </w:p>
        </w:tc>
        <w:tc>
          <w:tcPr>
            <w:tcW w:type="dxa" w:w="2436"/>
            <w:shd w:val="clear" w:color="auto" w:fill="F4F7F9"/>
          </w:tcPr>
          <w:p>
            <w:pPr>
              <w:spacing w:after="40"/>
            </w:pPr>
            <w:r/>
            <w:r>
              <w:rPr>
                <w:sz w:val="18"/>
              </w:rPr>
              <w:t>Injection de fautes de premier plan</w:t>
            </w:r>
          </w:p>
        </w:tc>
        <w:tc>
          <w:tcPr>
            <w:tcW w:type="dxa" w:w="2436"/>
            <w:shd w:val="clear" w:color="auto" w:fill="F4F7F9"/>
          </w:tcPr>
          <w:p>
            <w:pPr>
              <w:spacing w:after="40"/>
            </w:pPr>
            <w:r/>
            <w:r>
              <w:rPr>
                <w:sz w:val="18"/>
              </w:rPr>
              <w:t>VIII</w:t>
            </w:r>
          </w:p>
        </w:tc>
        <w:tc>
          <w:tcPr>
            <w:tcW w:type="dxa" w:w="2436"/>
            <w:shd w:val="clear" w:color="auto" w:fill="F4F7F9"/>
          </w:tcPr>
          <w:p>
            <w:pPr>
              <w:spacing w:after="40"/>
            </w:pPr>
            <w:r/>
            <w:r>
              <w:rPr>
                <w:sz w:val="18"/>
              </w:rPr>
              <w:t>Accepté</w:t>
            </w:r>
          </w:p>
        </w:tc>
      </w:tr>
      <w:tr>
        <w:tc>
          <w:tcPr>
            <w:tcW w:type="dxa" w:w="2436"/>
          </w:tcPr>
          <w:p>
            <w:pPr>
              <w:spacing w:after="40"/>
            </w:pPr>
            <w:r/>
            <w:r>
              <w:rPr>
                <w:sz w:val="18"/>
              </w:rPr>
              <w:t>804</w:t>
            </w:r>
          </w:p>
        </w:tc>
        <w:tc>
          <w:tcPr>
            <w:tcW w:type="dxa" w:w="2436"/>
          </w:tcPr>
          <w:p>
            <w:pPr>
              <w:spacing w:after="40"/>
            </w:pPr>
            <w:r/>
            <w:r>
              <w:rPr>
                <w:sz w:val="18"/>
              </w:rPr>
              <w:t>Non-régression par seuils</w:t>
            </w:r>
          </w:p>
        </w:tc>
        <w:tc>
          <w:tcPr>
            <w:tcW w:type="dxa" w:w="2436"/>
          </w:tcPr>
          <w:p>
            <w:pPr>
              <w:spacing w:after="40"/>
            </w:pPr>
            <w:r/>
            <w:r>
              <w:rPr>
                <w:sz w:val="18"/>
              </w:rPr>
              <w:t>VIII</w:t>
            </w:r>
          </w:p>
        </w:tc>
        <w:tc>
          <w:tcPr>
            <w:tcW w:type="dxa" w:w="2436"/>
          </w:tcPr>
          <w:p>
            <w:pPr>
              <w:spacing w:after="40"/>
            </w:pPr>
            <w:r/>
            <w:r>
              <w:rPr>
                <w:sz w:val="18"/>
              </w:rPr>
              <w:t>Accepté</w:t>
            </w:r>
          </w:p>
        </w:tc>
      </w:tr>
      <w:tr>
        <w:tc>
          <w:tcPr>
            <w:tcW w:type="dxa" w:w="2436"/>
            <w:shd w:val="clear" w:color="auto" w:fill="F4F7F9"/>
          </w:tcPr>
          <w:p>
            <w:pPr>
              <w:spacing w:after="40"/>
            </w:pPr>
            <w:r/>
            <w:r>
              <w:rPr>
                <w:sz w:val="18"/>
              </w:rPr>
              <w:t>805</w:t>
            </w:r>
          </w:p>
        </w:tc>
        <w:tc>
          <w:tcPr>
            <w:tcW w:type="dxa" w:w="2436"/>
            <w:shd w:val="clear" w:color="auto" w:fill="F4F7F9"/>
          </w:tcPr>
          <w:p>
            <w:pPr>
              <w:spacing w:after="40"/>
            </w:pPr>
            <w:r/>
            <w:r>
              <w:rPr>
                <w:sz w:val="18"/>
              </w:rPr>
              <w:t>Table de couverture des invariants</w:t>
            </w:r>
          </w:p>
        </w:tc>
        <w:tc>
          <w:tcPr>
            <w:tcW w:type="dxa" w:w="2436"/>
            <w:shd w:val="clear" w:color="auto" w:fill="F4F7F9"/>
          </w:tcPr>
          <w:p>
            <w:pPr>
              <w:spacing w:after="40"/>
            </w:pPr>
            <w:r/>
            <w:r>
              <w:rPr>
                <w:sz w:val="18"/>
              </w:rPr>
              <w:t>VIII</w:t>
            </w:r>
          </w:p>
        </w:tc>
        <w:tc>
          <w:tcPr>
            <w:tcW w:type="dxa" w:w="2436"/>
            <w:shd w:val="clear" w:color="auto" w:fill="F4F7F9"/>
          </w:tcPr>
          <w:p>
            <w:pPr>
              <w:spacing w:after="40"/>
            </w:pPr>
            <w:r/>
            <w:r>
              <w:rPr>
                <w:sz w:val="18"/>
              </w:rPr>
              <w:t>Accepté</w:t>
            </w:r>
          </w:p>
        </w:tc>
      </w:tr>
      <w:tr>
        <w:tc>
          <w:tcPr>
            <w:tcW w:type="dxa" w:w="2436"/>
          </w:tcPr>
          <w:p>
            <w:pPr>
              <w:spacing w:after="40"/>
            </w:pPr>
            <w:r/>
            <w:r>
              <w:rPr>
                <w:sz w:val="18"/>
              </w:rPr>
              <w:t>901</w:t>
            </w:r>
          </w:p>
        </w:tc>
        <w:tc>
          <w:tcPr>
            <w:tcW w:type="dxa" w:w="2436"/>
          </w:tcPr>
          <w:p>
            <w:pPr>
              <w:spacing w:after="40"/>
            </w:pPr>
            <w:r/>
            <w:r>
              <w:rPr>
                <w:sz w:val="18"/>
              </w:rPr>
              <w:t>Gouvernance en trois cercles</w:t>
            </w:r>
          </w:p>
        </w:tc>
        <w:tc>
          <w:tcPr>
            <w:tcW w:type="dxa" w:w="2436"/>
          </w:tcPr>
          <w:p>
            <w:pPr>
              <w:spacing w:after="40"/>
            </w:pPr>
            <w:r/>
            <w:r>
              <w:rPr>
                <w:sz w:val="18"/>
              </w:rPr>
              <w:t>IX</w:t>
            </w:r>
          </w:p>
        </w:tc>
        <w:tc>
          <w:tcPr>
            <w:tcW w:type="dxa" w:w="2436"/>
          </w:tcPr>
          <w:p>
            <w:pPr>
              <w:spacing w:after="40"/>
            </w:pPr>
            <w:r/>
            <w:r>
              <w:rPr>
                <w:sz w:val="18"/>
              </w:rPr>
              <w:t>Accepté</w:t>
            </w:r>
          </w:p>
        </w:tc>
      </w:tr>
      <w:tr>
        <w:tc>
          <w:tcPr>
            <w:tcW w:type="dxa" w:w="2436"/>
            <w:shd w:val="clear" w:color="auto" w:fill="F4F7F9"/>
          </w:tcPr>
          <w:p>
            <w:pPr>
              <w:spacing w:after="40"/>
            </w:pPr>
            <w:r/>
            <w:r>
              <w:rPr>
                <w:sz w:val="18"/>
              </w:rPr>
              <w:t>902</w:t>
            </w:r>
          </w:p>
        </w:tc>
        <w:tc>
          <w:tcPr>
            <w:tcW w:type="dxa" w:w="2436"/>
            <w:shd w:val="clear" w:color="auto" w:fill="F4F7F9"/>
          </w:tcPr>
          <w:p>
            <w:pPr>
              <w:spacing w:after="40"/>
            </w:pPr>
            <w:r/>
            <w:r>
              <w:rPr>
                <w:sz w:val="18"/>
              </w:rPr>
              <w:t>Préavis de 24 mois sur les contrats publics</w:t>
            </w:r>
          </w:p>
        </w:tc>
        <w:tc>
          <w:tcPr>
            <w:tcW w:type="dxa" w:w="2436"/>
            <w:shd w:val="clear" w:color="auto" w:fill="F4F7F9"/>
          </w:tcPr>
          <w:p>
            <w:pPr>
              <w:spacing w:after="40"/>
            </w:pPr>
            <w:r/>
            <w:r>
              <w:rPr>
                <w:sz w:val="18"/>
              </w:rPr>
              <w:t>IX</w:t>
            </w:r>
          </w:p>
        </w:tc>
        <w:tc>
          <w:tcPr>
            <w:tcW w:type="dxa" w:w="2436"/>
            <w:shd w:val="clear" w:color="auto" w:fill="F4F7F9"/>
          </w:tcPr>
          <w:p>
            <w:pPr>
              <w:spacing w:after="40"/>
            </w:pPr>
            <w:r/>
            <w:r>
              <w:rPr>
                <w:sz w:val="18"/>
              </w:rPr>
              <w:t>Accepté</w:t>
            </w:r>
          </w:p>
        </w:tc>
      </w:tr>
      <w:tr>
        <w:tc>
          <w:tcPr>
            <w:tcW w:type="dxa" w:w="2436"/>
          </w:tcPr>
          <w:p>
            <w:pPr>
              <w:spacing w:after="40"/>
            </w:pPr>
            <w:r/>
            <w:r>
              <w:rPr>
                <w:sz w:val="18"/>
              </w:rPr>
              <w:t>903</w:t>
            </w:r>
          </w:p>
        </w:tc>
        <w:tc>
          <w:tcPr>
            <w:tcW w:type="dxa" w:w="2436"/>
          </w:tcPr>
          <w:p>
            <w:pPr>
              <w:spacing w:after="40"/>
            </w:pPr>
            <w:r/>
            <w:r>
              <w:rPr>
                <w:sz w:val="18"/>
              </w:rPr>
              <w:t>Spécification versionnée avec le code</w:t>
            </w:r>
          </w:p>
        </w:tc>
        <w:tc>
          <w:tcPr>
            <w:tcW w:type="dxa" w:w="2436"/>
          </w:tcPr>
          <w:p>
            <w:pPr>
              <w:spacing w:after="40"/>
            </w:pPr>
            <w:r/>
            <w:r>
              <w:rPr>
                <w:sz w:val="18"/>
              </w:rPr>
              <w:t>IX</w:t>
            </w:r>
          </w:p>
        </w:tc>
        <w:tc>
          <w:tcPr>
            <w:tcW w:type="dxa" w:w="2436"/>
          </w:tcPr>
          <w:p>
            <w:pPr>
              <w:spacing w:after="40"/>
            </w:pPr>
            <w:r/>
            <w:r>
              <w:rPr>
                <w:sz w:val="18"/>
              </w:rPr>
              <w:t>Accepté</w:t>
            </w:r>
          </w:p>
        </w:tc>
      </w:tr>
      <w:tr>
        <w:tc>
          <w:tcPr>
            <w:tcW w:type="dxa" w:w="2436"/>
            <w:shd w:val="clear" w:color="auto" w:fill="F4F7F9"/>
          </w:tcPr>
          <w:p>
            <w:pPr>
              <w:spacing w:after="40"/>
            </w:pPr>
            <w:r/>
            <w:r>
              <w:rPr>
                <w:sz w:val="18"/>
              </w:rPr>
              <w:t>904</w:t>
            </w:r>
          </w:p>
        </w:tc>
        <w:tc>
          <w:tcPr>
            <w:tcW w:type="dxa" w:w="2436"/>
            <w:shd w:val="clear" w:color="auto" w:fill="F4F7F9"/>
          </w:tcPr>
          <w:p>
            <w:pPr>
              <w:spacing w:after="40"/>
            </w:pPr>
            <w:r/>
            <w:r>
              <w:rPr>
                <w:sz w:val="18"/>
              </w:rPr>
              <w:t>Plan de fin de vie écrit dès le départ</w:t>
            </w:r>
          </w:p>
        </w:tc>
        <w:tc>
          <w:tcPr>
            <w:tcW w:type="dxa" w:w="2436"/>
            <w:shd w:val="clear" w:color="auto" w:fill="F4F7F9"/>
          </w:tcPr>
          <w:p>
            <w:pPr>
              <w:spacing w:after="40"/>
            </w:pPr>
            <w:r/>
            <w:r>
              <w:rPr>
                <w:sz w:val="18"/>
              </w:rPr>
              <w:t>IX</w:t>
            </w:r>
          </w:p>
        </w:tc>
        <w:tc>
          <w:tcPr>
            <w:tcW w:type="dxa" w:w="2436"/>
            <w:shd w:val="clear" w:color="auto" w:fill="F4F7F9"/>
          </w:tcPr>
          <w:p>
            <w:pPr>
              <w:spacing w:after="40"/>
            </w:pPr>
            <w:r/>
            <w:r>
              <w:rPr>
                <w:sz w:val="18"/>
              </w:rPr>
              <w:t>Accepté</w:t>
            </w:r>
          </w:p>
        </w:tc>
      </w:tr>
    </w:tbl>
    <w:p/>
    <w:p>
      <w:pPr>
        <w:pStyle w:val="Heading2"/>
      </w:pPr>
      <w:r>
        <w:t>5.3 ADR du Volume IX</w:t>
      </w:r>
    </w:p>
    <w:p>
      <w:pPr>
        <w:pStyle w:val="Heading3"/>
      </w:pPr>
      <w:r>
        <w:t>ADR-901 — Gouvernance en trois cercles</w:t>
      </w:r>
    </w:p>
    <w:p>
      <w:pPr>
        <w:jc w:val="both"/>
      </w:pPr>
      <w:r>
        <w:rPr>
          <w:b/>
        </w:rPr>
        <w:t>Contexte</w:t>
      </w:r>
      <w:r>
        <w:t xml:space="preserve"> : Une gouvernance uniforme impose soit une lourdeur excessive sur les changements triviaux, soit une légèreté dangereuse sur les changements structurants.</w:t>
      </w:r>
    </w:p>
    <w:p>
      <w:pPr>
        <w:jc w:val="both"/>
      </w:pPr>
      <w:r>
        <w:rPr>
          <w:b/>
        </w:rPr>
        <w:t>Décision</w:t>
      </w:r>
      <w:r>
        <w:t xml:space="preserve"> : Trois cercles — noyau, périphérie, extensions — avec des exigences décroissantes.</w:t>
      </w:r>
    </w:p>
    <w:p>
      <w:pPr>
        <w:jc w:val="both"/>
      </w:pPr>
      <w:r>
        <w:rPr>
          <w:b/>
        </w:rPr>
        <w:t>Conséquences</w:t>
      </w:r>
      <w:r>
        <w:t xml:space="preserve"> : + Les contrats sont protégés, les contributions courantes restent fluides. − Il faut arbitrer à quel cercle appartient un changement, arbitrage tranché par les mainteneurs en cas de doute.</w:t>
      </w:r>
    </w:p>
    <w:p>
      <w:pPr>
        <w:pStyle w:val="Heading3"/>
      </w:pPr>
      <w:r>
        <w:t>ADR-902 — Préavis de 24 mois sur les contrats publics</w:t>
      </w:r>
    </w:p>
    <w:p>
      <w:pPr>
        <w:jc w:val="both"/>
      </w:pPr>
      <w:r>
        <w:rPr>
          <w:b/>
        </w:rPr>
        <w:t>Contexte</w:t>
      </w:r>
      <w:r>
        <w:t xml:space="preserve"> : Les plugins sont écrits par des tiers, souvent dans des institutions dont les cycles de mise à jour se comptent en années.</w:t>
      </w:r>
    </w:p>
    <w:p>
      <w:pPr>
        <w:jc w:val="both"/>
      </w:pPr>
      <w:r>
        <w:rPr>
          <w:b/>
        </w:rPr>
        <w:t>Décision</w:t>
      </w:r>
      <w:r>
        <w:t xml:space="preserve"> : Toute rupture d'un contrat public suppose 24 mois de préavis, un adaptateur de compatibilité et un guide de migration.</w:t>
      </w:r>
    </w:p>
    <w:p>
      <w:pPr>
        <w:jc w:val="both"/>
      </w:pPr>
      <w:r>
        <w:rPr>
          <w:b/>
        </w:rPr>
        <w:t>Conséquences</w:t>
      </w:r>
      <w:r>
        <w:t xml:space="preserve"> : + L'écosystème reste viable, le Framework reste adoptable par des organisations lentes. − Le rythme d'évolution du contrat est bridé, ce qui est le but recherché.</w:t>
      </w:r>
    </w:p>
    <w:p>
      <w:pPr>
        <w:pStyle w:val="Heading3"/>
      </w:pPr>
      <w:r>
        <w:t>ADR-903 — Spécification versionnée avec le code</w:t>
      </w:r>
    </w:p>
    <w:p>
      <w:pPr>
        <w:jc w:val="both"/>
      </w:pPr>
      <w:r>
        <w:rPr>
          <w:b/>
        </w:rPr>
        <w:t>Contexte</w:t>
      </w:r>
      <w:r>
        <w:t xml:space="preserve"> : Une spécification maintenue à part diverge du code, et cesse d'être consultée dès lors qu'on ne peut plus lui faire confiance.</w:t>
      </w:r>
    </w:p>
    <w:p>
      <w:pPr>
        <w:jc w:val="both"/>
      </w:pPr>
      <w:r>
        <w:rPr>
          <w:b/>
        </w:rPr>
        <w:t>Décision</w:t>
      </w:r>
      <w:r>
        <w:t xml:space="preserve"> : Les neuf volumes vivent dans le dépôt, sont modifiés dans les mêmes propositions de fusion que le code, et les critères d'acceptation sont reliés aux tests (Volume VIII, 11.3).</w:t>
      </w:r>
    </w:p>
    <w:p>
      <w:pPr>
        <w:jc w:val="both"/>
      </w:pPr>
      <w:r>
        <w:rPr>
          <w:b/>
        </w:rPr>
        <w:t>Conséquences</w:t>
      </w:r>
      <w:r>
        <w:t xml:space="preserve"> : + La spécification reste vraie. − Toute modification de comportement impose de modifier la spécification, ce qui ralentit et discipline.</w:t>
      </w:r>
    </w:p>
    <w:p>
      <w:pPr>
        <w:pStyle w:val="Heading3"/>
      </w:pPr>
      <w:r>
        <w:t>ADR-904 — Plan de fin de vie écrit dès le départ</w:t>
      </w:r>
    </w:p>
    <w:p>
      <w:pPr>
        <w:jc w:val="both"/>
      </w:pPr>
      <w:r>
        <w:rPr>
          <w:b/>
        </w:rPr>
        <w:t>Contexte</w:t>
      </w:r>
      <w:r>
        <w:t xml:space="preserve"> : La plupart des projets meurent sans plan, laissant leurs utilisateurs devant des données qu'ils ne savent plus lire.</w:t>
      </w:r>
    </w:p>
    <w:p>
      <w:pPr>
        <w:jc w:val="both"/>
      </w:pPr>
      <w:r>
        <w:rPr>
          <w:b/>
        </w:rPr>
        <w:t>Décision</w:t>
      </w:r>
      <w:r>
        <w:t xml:space="preserve"> : Le chapitre 7 du présent volume définit ce qui se passe si le projet s'arrête, et il est écrit avant la première version publiée.</w:t>
      </w:r>
    </w:p>
    <w:p>
      <w:pPr>
        <w:jc w:val="both"/>
      </w:pPr>
      <w:r>
        <w:rPr>
          <w:b/>
        </w:rPr>
        <w:t>Conséquences</w:t>
      </w:r>
      <w:r>
        <w:t xml:space="preserve"> : + Les adoptants savent quel risque ils prennent ; les formats sont conçus pour survivre au logiciel. − Exercice inconfortable, mais qui contraint utilement les choix de format.</w:t>
      </w:r>
    </w:p>
    <w:p>
      <w:r>
        <w:br w:type="page"/>
      </w:r>
    </w:p>
    <w:p>
      <w:pPr>
        <w:pStyle w:val="Heading1"/>
      </w:pPr>
      <w:r>
        <w:t>Chapitre 6 — Évolution de la spécification</w:t>
      </w:r>
    </w:p>
    <w:p>
      <w:pPr>
        <w:pStyle w:val="Heading2"/>
      </w:pPr>
      <w:r>
        <w:t>6.1 Quand un volume doit être révisé</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Déclencheur</w:t>
            </w:r>
          </w:p>
        </w:tc>
        <w:tc>
          <w:tcPr>
            <w:tcW w:type="dxa" w:w="4872"/>
            <w:shd w:val="clear" w:color="auto" w:fill="0B3D5B"/>
          </w:tcPr>
          <w:p>
            <w:pPr>
              <w:spacing w:after="40"/>
            </w:pPr>
            <w:r/>
            <w:r>
              <w:rPr>
                <w:b/>
                <w:color w:val="FFFFFF"/>
                <w:sz w:val="18"/>
              </w:rPr>
              <w:t>Action</w:t>
            </w:r>
          </w:p>
        </w:tc>
      </w:tr>
      <w:tr>
        <w:tc>
          <w:tcPr>
            <w:tcW w:type="dxa" w:w="4872"/>
          </w:tcPr>
          <w:p>
            <w:pPr>
              <w:spacing w:after="40"/>
            </w:pPr>
            <w:r/>
            <w:r>
              <w:rPr>
                <w:sz w:val="18"/>
              </w:rPr>
              <w:t>Le code diverge de la spécification</w:t>
            </w:r>
          </w:p>
        </w:tc>
        <w:tc>
          <w:tcPr>
            <w:tcW w:type="dxa" w:w="4872"/>
          </w:tcPr>
          <w:p>
            <w:pPr>
              <w:spacing w:after="40"/>
            </w:pPr>
            <w:r/>
            <w:r>
              <w:rPr>
                <w:sz w:val="18"/>
              </w:rPr>
              <w:t>Corriger l'un ou l'autre, jamais tolérer l'écart</w:t>
            </w:r>
          </w:p>
        </w:tc>
      </w:tr>
      <w:tr>
        <w:tc>
          <w:tcPr>
            <w:tcW w:type="dxa" w:w="4872"/>
            <w:shd w:val="clear" w:color="auto" w:fill="F4F7F9"/>
          </w:tcPr>
          <w:p>
            <w:pPr>
              <w:spacing w:after="40"/>
            </w:pPr>
            <w:r/>
            <w:r>
              <w:rPr>
                <w:sz w:val="18"/>
              </w:rPr>
              <w:t>Une décision est infirmée par l'expérience</w:t>
            </w:r>
          </w:p>
        </w:tc>
        <w:tc>
          <w:tcPr>
            <w:tcW w:type="dxa" w:w="4872"/>
            <w:shd w:val="clear" w:color="auto" w:fill="F4F7F9"/>
          </w:tcPr>
          <w:p>
            <w:pPr>
              <w:spacing w:after="40"/>
            </w:pPr>
            <w:r/>
            <w:r>
              <w:rPr>
                <w:sz w:val="18"/>
              </w:rPr>
              <w:t>Nouvel ADR superseding, volume mis à jour</w:t>
            </w:r>
          </w:p>
        </w:tc>
      </w:tr>
      <w:tr>
        <w:tc>
          <w:tcPr>
            <w:tcW w:type="dxa" w:w="4872"/>
          </w:tcPr>
          <w:p>
            <w:pPr>
              <w:spacing w:after="40"/>
            </w:pPr>
            <w:r/>
            <w:r>
              <w:rPr>
                <w:sz w:val="18"/>
              </w:rPr>
              <w:t>Une contrainte externe change</w:t>
            </w:r>
          </w:p>
        </w:tc>
        <w:tc>
          <w:tcPr>
            <w:tcW w:type="dxa" w:w="4872"/>
          </w:tcPr>
          <w:p>
            <w:pPr>
              <w:spacing w:after="40"/>
            </w:pPr>
            <w:r/>
            <w:r>
              <w:rPr>
                <w:sz w:val="18"/>
              </w:rPr>
              <w:t>Réviser le volume concerné</w:t>
            </w:r>
          </w:p>
        </w:tc>
      </w:tr>
      <w:tr>
        <w:tc>
          <w:tcPr>
            <w:tcW w:type="dxa" w:w="4872"/>
            <w:shd w:val="clear" w:color="auto" w:fill="F4F7F9"/>
          </w:tcPr>
          <w:p>
            <w:pPr>
              <w:spacing w:after="40"/>
            </w:pPr>
            <w:r/>
            <w:r>
              <w:rPr>
                <w:sz w:val="18"/>
              </w:rPr>
              <w:t>Un critère d'acceptation devient invérifiable</w:t>
            </w:r>
          </w:p>
        </w:tc>
        <w:tc>
          <w:tcPr>
            <w:tcW w:type="dxa" w:w="4872"/>
            <w:shd w:val="clear" w:color="auto" w:fill="F4F7F9"/>
          </w:tcPr>
          <w:p>
            <w:pPr>
              <w:spacing w:after="40"/>
            </w:pPr>
            <w:r/>
            <w:r>
              <w:rPr>
                <w:sz w:val="18"/>
              </w:rPr>
              <w:t>Le réécrire ou le retirer, avec justification</w:t>
            </w:r>
          </w:p>
        </w:tc>
      </w:tr>
      <w:tr>
        <w:tc>
          <w:tcPr>
            <w:tcW w:type="dxa" w:w="4872"/>
          </w:tcPr>
          <w:p>
            <w:pPr>
              <w:spacing w:after="40"/>
            </w:pPr>
            <w:r/>
            <w:r>
              <w:rPr>
                <w:sz w:val="18"/>
              </w:rPr>
              <w:t>Une exception se répète trois fois</w:t>
            </w:r>
          </w:p>
        </w:tc>
        <w:tc>
          <w:tcPr>
            <w:tcW w:type="dxa" w:w="4872"/>
          </w:tcPr>
          <w:p>
            <w:pPr>
              <w:spacing w:after="40"/>
            </w:pPr>
            <w:r/>
            <w:r>
              <w:rPr>
                <w:sz w:val="18"/>
              </w:rPr>
              <w:t>La règle est probablement fausse : la réviser</w:t>
            </w:r>
          </w:p>
        </w:tc>
      </w:tr>
    </w:tbl>
    <w:p/>
    <w:p>
      <w:pPr>
        <w:jc w:val="both"/>
      </w:pPr>
      <w:r>
        <w:t>Le dernier déclencheur est important. Une règle contournée systématiquement n'est pas une règle respectée avec des exceptions : c'est une règle fausse que l'on n'a pas encore osé réécrire.</w:t>
      </w:r>
    </w:p>
    <w:p>
      <w:pPr>
        <w:pStyle w:val="Heading2"/>
      </w:pPr>
      <w:r>
        <w:t>6.2 Statut des volumes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Volume</w:t>
            </w:r>
          </w:p>
        </w:tc>
        <w:tc>
          <w:tcPr>
            <w:tcW w:type="dxa" w:w="3248"/>
            <w:shd w:val="clear" w:color="auto" w:fill="0B3D5B"/>
          </w:tcPr>
          <w:p>
            <w:pPr>
              <w:spacing w:after="40"/>
            </w:pPr>
            <w:r/>
            <w:r>
              <w:rPr>
                <w:b/>
                <w:color w:val="FFFFFF"/>
                <w:sz w:val="18"/>
              </w:rPr>
              <w:t>Titre</w:t>
            </w:r>
          </w:p>
        </w:tc>
        <w:tc>
          <w:tcPr>
            <w:tcW w:type="dxa" w:w="3248"/>
            <w:shd w:val="clear" w:color="auto" w:fill="0B3D5B"/>
          </w:tcPr>
          <w:p>
            <w:pPr>
              <w:spacing w:after="40"/>
            </w:pPr>
            <w:r/>
            <w:r>
              <w:rPr>
                <w:b/>
                <w:color w:val="FFFFFF"/>
                <w:sz w:val="18"/>
              </w:rPr>
              <w:t>Statut</w:t>
            </w:r>
          </w:p>
        </w:tc>
      </w:tr>
      <w:tr>
        <w:tc>
          <w:tcPr>
            <w:tcW w:type="dxa" w:w="3248"/>
          </w:tcPr>
          <w:p>
            <w:pPr>
              <w:spacing w:after="40"/>
            </w:pPr>
            <w:r/>
            <w:r>
              <w:rPr>
                <w:sz w:val="18"/>
              </w:rPr>
              <w:t>I</w:t>
            </w:r>
          </w:p>
        </w:tc>
        <w:tc>
          <w:tcPr>
            <w:tcW w:type="dxa" w:w="3248"/>
          </w:tcPr>
          <w:p>
            <w:pPr>
              <w:spacing w:after="40"/>
            </w:pPr>
            <w:r/>
            <w:r>
              <w:rPr>
                <w:sz w:val="18"/>
              </w:rPr>
              <w:t>Vision, Product Definition, Core Architecture</w:t>
            </w:r>
          </w:p>
        </w:tc>
        <w:tc>
          <w:tcPr>
            <w:tcW w:type="dxa" w:w="3248"/>
          </w:tcPr>
          <w:p>
            <w:pPr>
              <w:spacing w:after="40"/>
            </w:pPr>
            <w:r/>
            <w:r>
              <w:rPr>
                <w:sz w:val="18"/>
              </w:rPr>
              <w:t>Stable</w:t>
            </w:r>
          </w:p>
        </w:tc>
      </w:tr>
      <w:tr>
        <w:tc>
          <w:tcPr>
            <w:tcW w:type="dxa" w:w="3248"/>
            <w:shd w:val="clear" w:color="auto" w:fill="F4F7F9"/>
          </w:tcPr>
          <w:p>
            <w:pPr>
              <w:spacing w:after="40"/>
            </w:pPr>
            <w:r/>
            <w:r>
              <w:rPr>
                <w:sz w:val="18"/>
              </w:rPr>
              <w:t>II</w:t>
            </w:r>
          </w:p>
        </w:tc>
        <w:tc>
          <w:tcPr>
            <w:tcW w:type="dxa" w:w="3248"/>
            <w:shd w:val="clear" w:color="auto" w:fill="F4F7F9"/>
          </w:tcPr>
          <w:p>
            <w:pPr>
              <w:spacing w:after="40"/>
            </w:pPr>
            <w:r/>
            <w:r>
              <w:rPr>
                <w:sz w:val="18"/>
              </w:rPr>
              <w:t>Kernel Architecture</w:t>
            </w:r>
          </w:p>
        </w:tc>
        <w:tc>
          <w:tcPr>
            <w:tcW w:type="dxa" w:w="3248"/>
            <w:shd w:val="clear" w:color="auto" w:fill="F4F7F9"/>
          </w:tcPr>
          <w:p>
            <w:pPr>
              <w:spacing w:after="40"/>
            </w:pPr>
            <w:r/>
            <w:r>
              <w:rPr>
                <w:sz w:val="18"/>
              </w:rPr>
              <w:t>Stable</w:t>
            </w:r>
          </w:p>
        </w:tc>
      </w:tr>
      <w:tr>
        <w:tc>
          <w:tcPr>
            <w:tcW w:type="dxa" w:w="3248"/>
          </w:tcPr>
          <w:p>
            <w:pPr>
              <w:spacing w:after="40"/>
            </w:pPr>
            <w:r/>
            <w:r>
              <w:rPr>
                <w:sz w:val="18"/>
              </w:rPr>
              <w:t>III</w:t>
            </w:r>
          </w:p>
        </w:tc>
        <w:tc>
          <w:tcPr>
            <w:tcW w:type="dxa" w:w="3248"/>
          </w:tcPr>
          <w:p>
            <w:pPr>
              <w:spacing w:after="40"/>
            </w:pPr>
            <w:r/>
            <w:r>
              <w:rPr>
                <w:sz w:val="18"/>
              </w:rPr>
              <w:t>Plugin Contracts &amp; Public API</w:t>
            </w:r>
          </w:p>
        </w:tc>
        <w:tc>
          <w:tcPr>
            <w:tcW w:type="dxa" w:w="3248"/>
          </w:tcPr>
          <w:p>
            <w:pPr>
              <w:spacing w:after="40"/>
            </w:pPr>
            <w:r/>
            <w:r>
              <w:rPr>
                <w:sz w:val="18"/>
              </w:rPr>
              <w:t>Stable — gelé après le palier 1</w:t>
            </w:r>
          </w:p>
        </w:tc>
      </w:tr>
      <w:tr>
        <w:tc>
          <w:tcPr>
            <w:tcW w:type="dxa" w:w="3248"/>
            <w:shd w:val="clear" w:color="auto" w:fill="F4F7F9"/>
          </w:tcPr>
          <w:p>
            <w:pPr>
              <w:spacing w:after="40"/>
            </w:pPr>
            <w:r/>
            <w:r>
              <w:rPr>
                <w:sz w:val="18"/>
              </w:rPr>
              <w:t>IV</w:t>
            </w:r>
          </w:p>
        </w:tc>
        <w:tc>
          <w:tcPr>
            <w:tcW w:type="dxa" w:w="3248"/>
            <w:shd w:val="clear" w:color="auto" w:fill="F4F7F9"/>
          </w:tcPr>
          <w:p>
            <w:pPr>
              <w:spacing w:after="40"/>
            </w:pPr>
            <w:r/>
            <w:r>
              <w:rPr>
                <w:sz w:val="18"/>
              </w:rPr>
              <w:t>Data Model, Storage &amp; Versioning</w:t>
            </w:r>
          </w:p>
        </w:tc>
        <w:tc>
          <w:tcPr>
            <w:tcW w:type="dxa" w:w="3248"/>
            <w:shd w:val="clear" w:color="auto" w:fill="F4F7F9"/>
          </w:tcPr>
          <w:p>
            <w:pPr>
              <w:spacing w:after="40"/>
            </w:pPr>
            <w:r/>
            <w:r>
              <w:rPr>
                <w:sz w:val="18"/>
              </w:rPr>
              <w:t>Stable — gelé après le palier 0</w:t>
            </w:r>
          </w:p>
        </w:tc>
      </w:tr>
      <w:tr>
        <w:tc>
          <w:tcPr>
            <w:tcW w:type="dxa" w:w="3248"/>
          </w:tcPr>
          <w:p>
            <w:pPr>
              <w:spacing w:after="40"/>
            </w:pPr>
            <w:r/>
            <w:r>
              <w:rPr>
                <w:sz w:val="18"/>
              </w:rPr>
              <w:t>V</w:t>
            </w:r>
          </w:p>
        </w:tc>
        <w:tc>
          <w:tcPr>
            <w:tcW w:type="dxa" w:w="3248"/>
          </w:tcPr>
          <w:p>
            <w:pPr>
              <w:spacing w:after="40"/>
            </w:pPr>
            <w:r/>
            <w:r>
              <w:rPr>
                <w:sz w:val="18"/>
              </w:rPr>
              <w:t>Processing Pipeline &amp; Extraction Layer</w:t>
            </w:r>
          </w:p>
        </w:tc>
        <w:tc>
          <w:tcPr>
            <w:tcW w:type="dxa" w:w="3248"/>
          </w:tcPr>
          <w:p>
            <w:pPr>
              <w:spacing w:after="40"/>
            </w:pPr>
            <w:r/>
            <w:r>
              <w:rPr>
                <w:sz w:val="18"/>
              </w:rPr>
              <w:t>Évolutif</w:t>
            </w:r>
          </w:p>
        </w:tc>
      </w:tr>
      <w:tr>
        <w:tc>
          <w:tcPr>
            <w:tcW w:type="dxa" w:w="3248"/>
            <w:shd w:val="clear" w:color="auto" w:fill="F4F7F9"/>
          </w:tcPr>
          <w:p>
            <w:pPr>
              <w:spacing w:after="40"/>
            </w:pPr>
            <w:r/>
            <w:r>
              <w:rPr>
                <w:sz w:val="18"/>
              </w:rPr>
              <w:t>VI</w:t>
            </w:r>
          </w:p>
        </w:tc>
        <w:tc>
          <w:tcPr>
            <w:tcW w:type="dxa" w:w="3248"/>
            <w:shd w:val="clear" w:color="auto" w:fill="F4F7F9"/>
          </w:tcPr>
          <w:p>
            <w:pPr>
              <w:spacing w:after="40"/>
            </w:pPr>
            <w:r/>
            <w:r>
              <w:rPr>
                <w:sz w:val="18"/>
              </w:rPr>
              <w:t>Security, Compliance &amp; Trust Chain</w:t>
            </w:r>
          </w:p>
        </w:tc>
        <w:tc>
          <w:tcPr>
            <w:tcW w:type="dxa" w:w="3248"/>
            <w:shd w:val="clear" w:color="auto" w:fill="F4F7F9"/>
          </w:tcPr>
          <w:p>
            <w:pPr>
              <w:spacing w:after="40"/>
            </w:pPr>
            <w:r/>
            <w:r>
              <w:rPr>
                <w:sz w:val="18"/>
              </w:rPr>
              <w:t>Évolutif — révision annuelle</w:t>
            </w:r>
          </w:p>
        </w:tc>
      </w:tr>
      <w:tr>
        <w:tc>
          <w:tcPr>
            <w:tcW w:type="dxa" w:w="3248"/>
          </w:tcPr>
          <w:p>
            <w:pPr>
              <w:spacing w:after="40"/>
            </w:pPr>
            <w:r/>
            <w:r>
              <w:rPr>
                <w:sz w:val="18"/>
              </w:rPr>
              <w:t>VII</w:t>
            </w:r>
          </w:p>
        </w:tc>
        <w:tc>
          <w:tcPr>
            <w:tcW w:type="dxa" w:w="3248"/>
          </w:tcPr>
          <w:p>
            <w:pPr>
              <w:spacing w:after="40"/>
            </w:pPr>
            <w:r/>
            <w:r>
              <w:rPr>
                <w:sz w:val="18"/>
              </w:rPr>
              <w:t>Observability, Operations &amp; Deployment</w:t>
            </w:r>
          </w:p>
        </w:tc>
        <w:tc>
          <w:tcPr>
            <w:tcW w:type="dxa" w:w="3248"/>
          </w:tcPr>
          <w:p>
            <w:pPr>
              <w:spacing w:after="40"/>
            </w:pPr>
            <w:r/>
            <w:r>
              <w:rPr>
                <w:sz w:val="18"/>
              </w:rPr>
              <w:t>Évolutif</w:t>
            </w:r>
          </w:p>
        </w:tc>
      </w:tr>
      <w:tr>
        <w:tc>
          <w:tcPr>
            <w:tcW w:type="dxa" w:w="3248"/>
            <w:shd w:val="clear" w:color="auto" w:fill="F4F7F9"/>
          </w:tcPr>
          <w:p>
            <w:pPr>
              <w:spacing w:after="40"/>
            </w:pPr>
            <w:r/>
            <w:r>
              <w:rPr>
                <w:sz w:val="18"/>
              </w:rPr>
              <w:t>VIII</w:t>
            </w:r>
          </w:p>
        </w:tc>
        <w:tc>
          <w:tcPr>
            <w:tcW w:type="dxa" w:w="3248"/>
            <w:shd w:val="clear" w:color="auto" w:fill="F4F7F9"/>
          </w:tcPr>
          <w:p>
            <w:pPr>
              <w:spacing w:after="40"/>
            </w:pPr>
            <w:r/>
            <w:r>
              <w:rPr>
                <w:sz w:val="18"/>
              </w:rPr>
              <w:t>Testing Strategy &amp; Quality Assurance</w:t>
            </w:r>
          </w:p>
        </w:tc>
        <w:tc>
          <w:tcPr>
            <w:tcW w:type="dxa" w:w="3248"/>
            <w:shd w:val="clear" w:color="auto" w:fill="F4F7F9"/>
          </w:tcPr>
          <w:p>
            <w:pPr>
              <w:spacing w:after="40"/>
            </w:pPr>
            <w:r/>
            <w:r>
              <w:rPr>
                <w:sz w:val="18"/>
              </w:rPr>
              <w:t>Évolutif</w:t>
            </w:r>
          </w:p>
        </w:tc>
      </w:tr>
      <w:tr>
        <w:tc>
          <w:tcPr>
            <w:tcW w:type="dxa" w:w="3248"/>
          </w:tcPr>
          <w:p>
            <w:pPr>
              <w:spacing w:after="40"/>
            </w:pPr>
            <w:r/>
            <w:r>
              <w:rPr>
                <w:sz w:val="18"/>
              </w:rPr>
              <w:t>IX</w:t>
            </w:r>
          </w:p>
        </w:tc>
        <w:tc>
          <w:tcPr>
            <w:tcW w:type="dxa" w:w="3248"/>
          </w:tcPr>
          <w:p>
            <w:pPr>
              <w:spacing w:after="40"/>
            </w:pPr>
            <w:r/>
            <w:r>
              <w:rPr>
                <w:sz w:val="18"/>
              </w:rPr>
              <w:t>Governance, Roadmap &amp; Decision Records</w:t>
            </w:r>
          </w:p>
        </w:tc>
        <w:tc>
          <w:tcPr>
            <w:tcW w:type="dxa" w:w="3248"/>
          </w:tcPr>
          <w:p>
            <w:pPr>
              <w:spacing w:after="40"/>
            </w:pPr>
            <w:r/>
            <w:r>
              <w:rPr>
                <w:sz w:val="18"/>
              </w:rPr>
              <w:t>Vivant</w:t>
            </w:r>
          </w:p>
        </w:tc>
      </w:tr>
    </w:tbl>
    <w:p/>
    <w:p>
      <w:pPr>
        <w:jc w:val="both"/>
      </w:pPr>
      <w:r>
        <w:t>« Gelé » signifie que toute modification exige un ADR de rupture et le cycle de dépréciation complet du chapitre 3. Les volumes III et IV sont les seuls dans ce cas, parce qu'ils portent les contrats sur lesquels reposent le corpus et l'écosystème.</w:t>
      </w:r>
    </w:p>
    <w:p>
      <w:pPr>
        <w:pStyle w:val="Heading2"/>
      </w:pPr>
      <w:r>
        <w:t>6.3 Révision de sécurité annuelle</w:t>
      </w:r>
    </w:p>
    <w:p>
      <w:pPr>
        <w:jc w:val="both"/>
      </w:pPr>
      <w:r>
        <w:t>Le Volume VI fait l'objet d'une révision programmée chaque année, indépendamment de toute évolution du code :</w:t>
      </w:r>
    </w:p>
    <w:p>
      <w:pPr>
        <w:spacing w:before="120" w:after="200"/>
        <w:ind w:left="170"/>
        <w:shd w:val="clear" w:color="auto" w:fill="F2F5F7"/>
        <w:pBdr>
          <w:left w:val="single" w:sz="12" w:space="8" w:color="9FB3C0"/>
        </w:pBdr>
      </w:pPr>
      <w:r>
        <w:rPr>
          <w:rFonts w:ascii="Consolas" w:hAnsi="Consolas" w:eastAsia="Consolas"/>
          <w:sz w:val="17"/>
        </w:rPr>
        <w:t>1. Reexaminer le modele de menaces (Vol. VI, 1) a la lumiere de l'annee ecoulee</w:t>
        <w:br/>
      </w:r>
      <w:r>
        <w:rPr>
          <w:rFonts w:ascii="Consolas" w:hAnsi="Consolas" w:eastAsia="Consolas"/>
          <w:sz w:val="17"/>
        </w:rPr>
        <w:t>2. Verifier que les analyses automatisees couvrent les vecteurs connus</w:t>
        <w:br/>
      </w:r>
      <w:r>
        <w:rPr>
          <w:rFonts w:ascii="Consolas" w:hAnsi="Consolas" w:eastAsia="Consolas"/>
          <w:sz w:val="17"/>
        </w:rPr>
        <w:t>3. Reevaluer les hypotheses hors perimetre (Vol. VI, 1.3)</w:t>
        <w:br/>
      </w:r>
      <w:r>
        <w:rPr>
          <w:rFonts w:ascii="Consolas" w:hAnsi="Consolas" w:eastAsia="Consolas"/>
          <w:sz w:val="17"/>
        </w:rPr>
        <w:t>4. Verifier la validite des cles de signature et la rotation des secrets</w:t>
        <w:br/>
      </w:r>
      <w:r>
        <w:rPr>
          <w:rFonts w:ascii="Consolas" w:hAnsi="Consolas" w:eastAsia="Consolas"/>
          <w:sz w:val="17"/>
        </w:rPr>
        <w:t>5. Confirmer que les tests de securite couvrent les nouveaux formats supportes</w:t>
      </w:r>
    </w:p>
    <w:p>
      <w:r>
        <w:br w:type="page"/>
      </w:r>
    </w:p>
    <w:p>
      <w:pPr>
        <w:pStyle w:val="Heading1"/>
      </w:pPr>
      <w:r>
        <w:t>Chapitre 7 — Continuité et fin de vie</w:t>
      </w:r>
    </w:p>
    <w:p>
      <w:pPr>
        <w:pStyle w:val="Heading2"/>
      </w:pPr>
      <w:r>
        <w:t>7.1 Risques de continuité</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Risque</w:t>
            </w:r>
          </w:p>
        </w:tc>
        <w:tc>
          <w:tcPr>
            <w:tcW w:type="dxa" w:w="4872"/>
            <w:shd w:val="clear" w:color="auto" w:fill="0B3D5B"/>
          </w:tcPr>
          <w:p>
            <w:pPr>
              <w:spacing w:after="40"/>
            </w:pPr>
            <w:r/>
            <w:r>
              <w:rPr>
                <w:b/>
                <w:color w:val="FFFFFF"/>
                <w:sz w:val="18"/>
              </w:rPr>
              <w:t>Atténuation</w:t>
            </w:r>
          </w:p>
        </w:tc>
      </w:tr>
      <w:tr>
        <w:tc>
          <w:tcPr>
            <w:tcW w:type="dxa" w:w="4872"/>
          </w:tcPr>
          <w:p>
            <w:pPr>
              <w:spacing w:after="40"/>
            </w:pPr>
            <w:r/>
            <w:r>
              <w:rPr>
                <w:sz w:val="18"/>
              </w:rPr>
              <w:t>Départ du mainteneur principal</w:t>
            </w:r>
          </w:p>
        </w:tc>
        <w:tc>
          <w:tcPr>
            <w:tcW w:type="dxa" w:w="4872"/>
          </w:tcPr>
          <w:p>
            <w:pPr>
              <w:spacing w:after="40"/>
            </w:pPr>
            <w:r/>
            <w:r>
              <w:rPr>
                <w:sz w:val="18"/>
              </w:rPr>
              <w:t>Minimum de trois mainteneurs, décisions documentées en ADR</w:t>
            </w:r>
          </w:p>
        </w:tc>
      </w:tr>
      <w:tr>
        <w:tc>
          <w:tcPr>
            <w:tcW w:type="dxa" w:w="4872"/>
            <w:shd w:val="clear" w:color="auto" w:fill="F4F7F9"/>
          </w:tcPr>
          <w:p>
            <w:pPr>
              <w:spacing w:after="40"/>
            </w:pPr>
            <w:r/>
            <w:r>
              <w:rPr>
                <w:sz w:val="18"/>
              </w:rPr>
              <w:t>Perte de la connaissance implicite</w:t>
            </w:r>
          </w:p>
        </w:tc>
        <w:tc>
          <w:tcPr>
            <w:tcW w:type="dxa" w:w="4872"/>
            <w:shd w:val="clear" w:color="auto" w:fill="F4F7F9"/>
          </w:tcPr>
          <w:p>
            <w:pPr>
              <w:spacing w:after="40"/>
            </w:pPr>
            <w:r/>
            <w:r>
              <w:rPr>
                <w:sz w:val="18"/>
              </w:rPr>
              <w:t>Spécification versionnée avec le code (ADR-903)</w:t>
            </w:r>
          </w:p>
        </w:tc>
      </w:tr>
      <w:tr>
        <w:tc>
          <w:tcPr>
            <w:tcW w:type="dxa" w:w="4872"/>
          </w:tcPr>
          <w:p>
            <w:pPr>
              <w:spacing w:after="40"/>
            </w:pPr>
            <w:r/>
            <w:r>
              <w:rPr>
                <w:sz w:val="18"/>
              </w:rPr>
              <w:t>Abandon d'une dépendance critique</w:t>
            </w:r>
          </w:p>
        </w:tc>
        <w:tc>
          <w:tcPr>
            <w:tcW w:type="dxa" w:w="4872"/>
          </w:tcPr>
          <w:p>
            <w:pPr>
              <w:spacing w:after="40"/>
            </w:pPr>
            <w:r/>
            <w:r>
              <w:rPr>
                <w:sz w:val="18"/>
              </w:rPr>
              <w:t>Budget de dépendances du noyau (Vol. VI, 5.4)</w:t>
            </w:r>
          </w:p>
        </w:tc>
      </w:tr>
      <w:tr>
        <w:tc>
          <w:tcPr>
            <w:tcW w:type="dxa" w:w="4872"/>
            <w:shd w:val="clear" w:color="auto" w:fill="F4F7F9"/>
          </w:tcPr>
          <w:p>
            <w:pPr>
              <w:spacing w:after="40"/>
            </w:pPr>
            <w:r/>
            <w:r>
              <w:rPr>
                <w:sz w:val="18"/>
              </w:rPr>
              <w:t>Disparition du financement</w:t>
            </w:r>
          </w:p>
        </w:tc>
        <w:tc>
          <w:tcPr>
            <w:tcW w:type="dxa" w:w="4872"/>
            <w:shd w:val="clear" w:color="auto" w:fill="F4F7F9"/>
          </w:tcPr>
          <w:p>
            <w:pPr>
              <w:spacing w:after="40"/>
            </w:pPr>
            <w:r/>
            <w:r>
              <w:rPr>
                <w:sz w:val="18"/>
              </w:rPr>
              <w:t>Aucune infrastructure payante requise (Vol. I, 5)</w:t>
            </w:r>
          </w:p>
        </w:tc>
      </w:tr>
      <w:tr>
        <w:tc>
          <w:tcPr>
            <w:tcW w:type="dxa" w:w="4872"/>
          </w:tcPr>
          <w:p>
            <w:pPr>
              <w:spacing w:after="40"/>
            </w:pPr>
            <w:r/>
            <w:r>
              <w:rPr>
                <w:sz w:val="18"/>
              </w:rPr>
              <w:t>Arrêt du projet</w:t>
            </w:r>
          </w:p>
        </w:tc>
        <w:tc>
          <w:tcPr>
            <w:tcW w:type="dxa" w:w="4872"/>
          </w:tcPr>
          <w:p>
            <w:pPr>
              <w:spacing w:after="40"/>
            </w:pPr>
            <w:r/>
            <w:r>
              <w:rPr>
                <w:sz w:val="18"/>
              </w:rPr>
              <w:t>Chapitre 7.3</w:t>
            </w:r>
          </w:p>
        </w:tc>
      </w:tr>
    </w:tbl>
    <w:p/>
    <w:p>
      <w:pPr>
        <w:pStyle w:val="Heading2"/>
      </w:pPr>
      <w:r>
        <w:t>7.2 Ce qui protège l'utilisateur par conception</w:t>
      </w:r>
    </w:p>
    <w:p>
      <w:pPr>
        <w:jc w:val="both"/>
      </w:pPr>
      <w:r>
        <w:t>Ces propriétés, décidées pour d'autres raisons, constituent ensemble une assurance de continuité :</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Propriété</w:t>
            </w:r>
          </w:p>
        </w:tc>
        <w:tc>
          <w:tcPr>
            <w:tcW w:type="dxa" w:w="3248"/>
            <w:shd w:val="clear" w:color="auto" w:fill="0B3D5B"/>
          </w:tcPr>
          <w:p>
            <w:pPr>
              <w:spacing w:after="40"/>
            </w:pPr>
            <w:r/>
            <w:r>
              <w:rPr>
                <w:b/>
                <w:color w:val="FFFFFF"/>
                <w:sz w:val="18"/>
              </w:rPr>
              <w:t>Volume</w:t>
            </w:r>
          </w:p>
        </w:tc>
        <w:tc>
          <w:tcPr>
            <w:tcW w:type="dxa" w:w="3248"/>
            <w:shd w:val="clear" w:color="auto" w:fill="0B3D5B"/>
          </w:tcPr>
          <w:p>
            <w:pPr>
              <w:spacing w:after="40"/>
            </w:pPr>
            <w:r/>
            <w:r>
              <w:rPr>
                <w:b/>
                <w:color w:val="FFFFFF"/>
                <w:sz w:val="18"/>
              </w:rPr>
              <w:t>Effet en cas d'abandon</w:t>
            </w:r>
          </w:p>
        </w:tc>
      </w:tr>
      <w:tr>
        <w:tc>
          <w:tcPr>
            <w:tcW w:type="dxa" w:w="3248"/>
          </w:tcPr>
          <w:p>
            <w:pPr>
              <w:spacing w:after="40"/>
            </w:pPr>
            <w:r/>
            <w:r>
              <w:rPr>
                <w:sz w:val="18"/>
              </w:rPr>
              <w:t>Magasin auto-descriptif</w:t>
            </w:r>
          </w:p>
        </w:tc>
        <w:tc>
          <w:tcPr>
            <w:tcW w:type="dxa" w:w="3248"/>
          </w:tcPr>
          <w:p>
            <w:pPr>
              <w:spacing w:after="40"/>
            </w:pPr>
            <w:r/>
            <w:r>
              <w:rPr>
                <w:sz w:val="18"/>
              </w:rPr>
              <w:t>IV, 1.1</w:t>
            </w:r>
          </w:p>
        </w:tc>
        <w:tc>
          <w:tcPr>
            <w:tcW w:type="dxa" w:w="3248"/>
          </w:tcPr>
          <w:p>
            <w:pPr>
              <w:spacing w:after="40"/>
            </w:pPr>
            <w:r/>
            <w:r>
              <w:rPr>
                <w:sz w:val="18"/>
              </w:rPr>
              <w:t>Le corpus reste lisible sans le logiciel</w:t>
            </w:r>
          </w:p>
        </w:tc>
      </w:tr>
      <w:tr>
        <w:tc>
          <w:tcPr>
            <w:tcW w:type="dxa" w:w="3248"/>
            <w:shd w:val="clear" w:color="auto" w:fill="F4F7F9"/>
          </w:tcPr>
          <w:p>
            <w:pPr>
              <w:spacing w:after="40"/>
            </w:pPr>
            <w:r/>
            <w:r>
              <w:rPr>
                <w:sz w:val="18"/>
              </w:rPr>
              <w:t>Aucun format propriétaire</w:t>
            </w:r>
          </w:p>
        </w:tc>
        <w:tc>
          <w:tcPr>
            <w:tcW w:type="dxa" w:w="3248"/>
            <w:shd w:val="clear" w:color="auto" w:fill="F4F7F9"/>
          </w:tcPr>
          <w:p>
            <w:pPr>
              <w:spacing w:after="40"/>
            </w:pPr>
            <w:r/>
            <w:r>
              <w:rPr>
                <w:sz w:val="18"/>
              </w:rPr>
              <w:t>IV, 12</w:t>
            </w:r>
          </w:p>
        </w:tc>
        <w:tc>
          <w:tcPr>
            <w:tcW w:type="dxa" w:w="3248"/>
            <w:shd w:val="clear" w:color="auto" w:fill="F4F7F9"/>
          </w:tcPr>
          <w:p>
            <w:pPr>
              <w:spacing w:after="40"/>
            </w:pPr>
            <w:r/>
            <w:r>
              <w:rPr>
                <w:sz w:val="18"/>
              </w:rPr>
              <w:t>Les données restent exploitables</w:t>
            </w:r>
          </w:p>
        </w:tc>
      </w:tr>
      <w:tr>
        <w:tc>
          <w:tcPr>
            <w:tcW w:type="dxa" w:w="3248"/>
          </w:tcPr>
          <w:p>
            <w:pPr>
              <w:spacing w:after="40"/>
            </w:pPr>
            <w:r/>
            <w:r>
              <w:rPr>
                <w:sz w:val="18"/>
              </w:rPr>
              <w:t>Aucune dépendance à un service externe</w:t>
            </w:r>
          </w:p>
        </w:tc>
        <w:tc>
          <w:tcPr>
            <w:tcW w:type="dxa" w:w="3248"/>
          </w:tcPr>
          <w:p>
            <w:pPr>
              <w:spacing w:after="40"/>
            </w:pPr>
            <w:r/>
            <w:r>
              <w:rPr>
                <w:sz w:val="18"/>
              </w:rPr>
              <w:t>I, 5</w:t>
            </w:r>
          </w:p>
        </w:tc>
        <w:tc>
          <w:tcPr>
            <w:tcW w:type="dxa" w:w="3248"/>
          </w:tcPr>
          <w:p>
            <w:pPr>
              <w:spacing w:after="40"/>
            </w:pPr>
            <w:r/>
            <w:r>
              <w:rPr>
                <w:sz w:val="18"/>
              </w:rPr>
              <w:t>Rien ne cesse de fonctionner à distance</w:t>
            </w:r>
          </w:p>
        </w:tc>
      </w:tr>
      <w:tr>
        <w:tc>
          <w:tcPr>
            <w:tcW w:type="dxa" w:w="3248"/>
            <w:shd w:val="clear" w:color="auto" w:fill="F4F7F9"/>
          </w:tcPr>
          <w:p>
            <w:pPr>
              <w:spacing w:after="40"/>
            </w:pPr>
            <w:r/>
            <w:r>
              <w:rPr>
                <w:sz w:val="18"/>
              </w:rPr>
              <w:t>Export BagIt</w:t>
            </w:r>
          </w:p>
        </w:tc>
        <w:tc>
          <w:tcPr>
            <w:tcW w:type="dxa" w:w="3248"/>
            <w:shd w:val="clear" w:color="auto" w:fill="F4F7F9"/>
          </w:tcPr>
          <w:p>
            <w:pPr>
              <w:spacing w:after="40"/>
            </w:pPr>
            <w:r/>
            <w:r>
              <w:rPr>
                <w:sz w:val="18"/>
              </w:rPr>
              <w:t>IV, 12.3</w:t>
            </w:r>
          </w:p>
        </w:tc>
        <w:tc>
          <w:tcPr>
            <w:tcW w:type="dxa" w:w="3248"/>
            <w:shd w:val="clear" w:color="auto" w:fill="F4F7F9"/>
          </w:tcPr>
          <w:p>
            <w:pPr>
              <w:spacing w:after="40"/>
            </w:pPr>
            <w:r/>
            <w:r>
              <w:rPr>
                <w:sz w:val="18"/>
              </w:rPr>
              <w:t>Archivage patrimonial normalisé</w:t>
            </w:r>
          </w:p>
        </w:tc>
      </w:tr>
      <w:tr>
        <w:tc>
          <w:tcPr>
            <w:tcW w:type="dxa" w:w="3248"/>
          </w:tcPr>
          <w:p>
            <w:pPr>
              <w:spacing w:after="40"/>
            </w:pPr>
            <w:r/>
            <w:r>
              <w:rPr>
                <w:sz w:val="18"/>
              </w:rPr>
              <w:t>Documentation en langage naturel dans l'archive</w:t>
            </w:r>
          </w:p>
        </w:tc>
        <w:tc>
          <w:tcPr>
            <w:tcW w:type="dxa" w:w="3248"/>
          </w:tcPr>
          <w:p>
            <w:pPr>
              <w:spacing w:after="40"/>
            </w:pPr>
            <w:r/>
            <w:r>
              <w:rPr>
                <w:sz w:val="18"/>
              </w:rPr>
              <w:t>IV, 12.3</w:t>
            </w:r>
          </w:p>
        </w:tc>
        <w:tc>
          <w:tcPr>
            <w:tcW w:type="dxa" w:w="3248"/>
          </w:tcPr>
          <w:p>
            <w:pPr>
              <w:spacing w:after="40"/>
            </w:pPr>
            <w:r/>
            <w:r>
              <w:rPr>
                <w:sz w:val="18"/>
              </w:rPr>
              <w:t>Interprétable sans documentation technique</w:t>
            </w:r>
          </w:p>
        </w:tc>
      </w:tr>
    </w:tbl>
    <w:p/>
    <w:p>
      <w:pPr>
        <w:jc w:val="both"/>
      </w:pPr>
      <w:r>
        <w:t>Un utilisateur qui adopte le Framework n'engage donc pas son corpus sur la survie du projet. C'est la garantie la plus importante que ce volume puisse offrir.</w:t>
      </w:r>
    </w:p>
    <w:p>
      <w:pPr>
        <w:pStyle w:val="Heading2"/>
      </w:pPr>
      <w:r>
        <w:t>7.3 Procédure d'arrêt</w:t>
      </w:r>
    </w:p>
    <w:p>
      <w:pPr>
        <w:jc w:val="both"/>
      </w:pPr>
      <w:r>
        <w:t>Si le projet devait cesser, la procédure suivante s'applique, dans cet ordre :</w:t>
      </w:r>
    </w:p>
    <w:p>
      <w:pPr>
        <w:spacing w:before="120" w:after="200"/>
        <w:ind w:left="170"/>
        <w:shd w:val="clear" w:color="auto" w:fill="F2F5F7"/>
        <w:pBdr>
          <w:left w:val="single" w:sz="12" w:space="8" w:color="9FB3C0"/>
        </w:pBdr>
      </w:pPr>
      <w:r>
        <w:rPr>
          <w:rFonts w:ascii="Consolas" w:hAnsi="Consolas" w:eastAsia="Consolas"/>
          <w:sz w:val="17"/>
        </w:rPr>
        <w:t>1. Annoncer publiquement, avec une date d'arret effective, au moins 12 mois avant</w:t>
        <w:br/>
      </w:r>
      <w:r>
        <w:rPr>
          <w:rFonts w:ascii="Consolas" w:hAnsi="Consolas" w:eastAsia="Consolas"/>
          <w:sz w:val="17"/>
        </w:rPr>
        <w:t>2. Publier une derniere version de maintenance, avec correctifs de securite</w:t>
        <w:br/>
      </w:r>
      <w:r>
        <w:rPr>
          <w:rFonts w:ascii="Consolas" w:hAnsi="Consolas" w:eastAsia="Consolas"/>
          <w:sz w:val="17"/>
        </w:rPr>
        <w:t>3. Publier un guide d'export vers des formats neutres</w:t>
        <w:br/>
      </w:r>
      <w:r>
        <w:rPr>
          <w:rFonts w:ascii="Consolas" w:hAnsi="Consolas" w:eastAsia="Consolas"/>
          <w:sz w:val="17"/>
        </w:rPr>
        <w:t>4. Verifier que la commande d'export BagIt fonctionne sur les corpus existants</w:t>
        <w:br/>
      </w:r>
      <w:r>
        <w:rPr>
          <w:rFonts w:ascii="Consolas" w:hAnsi="Consolas" w:eastAsia="Consolas"/>
          <w:sz w:val="17"/>
        </w:rPr>
        <w:t>5. Archiver le depot en lecture seule, avec la specification complete</w:t>
        <w:br/>
      </w:r>
      <w:r>
        <w:rPr>
          <w:rFonts w:ascii="Consolas" w:hAnsi="Consolas" w:eastAsia="Consolas"/>
          <w:sz w:val="17"/>
        </w:rPr>
        <w:t>6. Publier la liste des instances connues, si leurs operateurs y consentent</w:t>
        <w:br/>
      </w:r>
      <w:r>
        <w:rPr>
          <w:rFonts w:ascii="Consolas" w:hAnsi="Consolas" w:eastAsia="Consolas"/>
          <w:sz w:val="17"/>
        </w:rPr>
        <w:t>7. Transferer, si possible, a une organisation d'accueil</w:t>
      </w:r>
    </w:p>
    <w:p>
      <w:pPr>
        <w:jc w:val="both"/>
      </w:pPr>
      <w:r>
        <w:t>Les points 3 et 4 sont les seuls qui comptent réellement pour les utilisateurs. Tout le reste est de la courtoisie.</w:t>
      </w:r>
    </w:p>
    <w:p>
      <w:pPr>
        <w:pStyle w:val="Heading2"/>
      </w:pPr>
      <w:r>
        <w:t>7.4 Conditions de reprise</w:t>
      </w:r>
    </w:p>
    <w:p>
      <w:pPr>
        <w:jc w:val="both"/>
      </w:pPr>
      <w:r>
        <w:t>Le projet est publié sous licence permissive, la spécification est intégrale et versionnée, les formats sont documentés, et le corpus reste lisible sans le logiciel. Ces quatre conditions suffisent à ce qu'un tiers puisse reprendre le projet, ou en écrire un nouveau capable de lire les corpus existants.</w:t>
      </w:r>
    </w:p>
    <w:p>
      <w:pPr>
        <w:jc w:val="both"/>
      </w:pPr>
      <w:r>
        <w:t>C'est la seule définition défendable de la pérennité pour un logiciel libre : non pas la promesse qu'il durera, mais la garantie que sa disparition ne détruit rien.</w:t>
      </w:r>
    </w:p>
    <w:p>
      <w:r>
        <w:br w:type="page"/>
      </w:r>
    </w:p>
    <w:p>
      <w:pPr>
        <w:pStyle w:val="Heading1"/>
      </w:pPr>
      <w:r>
        <w:t>Chapitre 8 — Critères d'acceptation du Volume IX</w:t>
      </w:r>
    </w:p>
    <w:p>
      <w:pPr>
        <w:pStyle w:val="Heading2"/>
      </w:pPr>
      <w:r>
        <w:t>AC-9.1 — Traçabilité des décisions</w:t>
      </w:r>
    </w:p>
    <w:p>
      <w:pPr>
        <w:spacing w:before="120" w:after="200"/>
        <w:ind w:left="170"/>
        <w:shd w:val="clear" w:color="auto" w:fill="F2F5F7"/>
        <w:pBdr>
          <w:left w:val="single" w:sz="12" w:space="8" w:color="9FB3C0"/>
        </w:pBdr>
      </w:pPr>
      <w:r>
        <w:rPr>
          <w:rFonts w:ascii="Consolas" w:hAnsi="Consolas" w:eastAsia="Consolas"/>
          <w:sz w:val="17"/>
        </w:rPr>
        <w:t>ETANT DONNE une modification touchant un element du noyau (Vol. IX, 1.2)</w:t>
        <w:br/>
      </w:r>
      <w:r>
        <w:rPr>
          <w:rFonts w:ascii="Consolas" w:hAnsi="Consolas" w:eastAsia="Consolas"/>
          <w:sz w:val="17"/>
        </w:rPr>
        <w:t>QUAND elle est proposee a la fusion</w:t>
        <w:br/>
      </w:r>
      <w:r>
        <w:rPr>
          <w:rFonts w:ascii="Consolas" w:hAnsi="Consolas" w:eastAsia="Consolas"/>
          <w:sz w:val="17"/>
        </w:rPr>
        <w:t>ALORS l'integration continue exige un ADR accepte la referencant</w:t>
        <w:br/>
      </w:r>
      <w:r>
        <w:rPr>
          <w:rFonts w:ascii="Consolas" w:hAnsi="Consolas" w:eastAsia="Consolas"/>
          <w:sz w:val="17"/>
        </w:rPr>
        <w:t xml:space="preserve">  ET la fusion est bloquee en son absence</w:t>
      </w:r>
    </w:p>
    <w:p>
      <w:pPr>
        <w:pStyle w:val="Heading2"/>
      </w:pPr>
      <w:r>
        <w:t>AC-9.2 — Cohérence spécification / code</w:t>
      </w:r>
    </w:p>
    <w:p>
      <w:pPr>
        <w:spacing w:before="120" w:after="200"/>
        <w:ind w:left="170"/>
        <w:shd w:val="clear" w:color="auto" w:fill="F2F5F7"/>
        <w:pBdr>
          <w:left w:val="single" w:sz="12" w:space="8" w:color="9FB3C0"/>
        </w:pBdr>
      </w:pPr>
      <w:r>
        <w:rPr>
          <w:rFonts w:ascii="Consolas" w:hAnsi="Consolas" w:eastAsia="Consolas"/>
          <w:sz w:val="17"/>
        </w:rPr>
        <w:t>ETANT DONNE un critere d'acceptation d'un volume quelconque</w:t>
        <w:br/>
      </w:r>
      <w:r>
        <w:rPr>
          <w:rFonts w:ascii="Consolas" w:hAnsi="Consolas" w:eastAsia="Consolas"/>
          <w:sz w:val="17"/>
        </w:rPr>
        <w:t>QUAND on execute lcf test --invariant-coverage</w:t>
        <w:br/>
      </w:r>
      <w:r>
        <w:rPr>
          <w:rFonts w:ascii="Consolas" w:hAnsi="Consolas" w:eastAsia="Consolas"/>
          <w:sz w:val="17"/>
        </w:rPr>
        <w:t>ALORS il est associe a au moins un test nomme</w:t>
        <w:br/>
      </w:r>
      <w:r>
        <w:rPr>
          <w:rFonts w:ascii="Consolas" w:hAnsi="Consolas" w:eastAsia="Consolas"/>
          <w:sz w:val="17"/>
        </w:rPr>
        <w:t xml:space="preserve">  ET l'integration continue echoue si un critere devient orphelin</w:t>
      </w:r>
    </w:p>
    <w:p>
      <w:pPr>
        <w:pStyle w:val="Heading2"/>
      </w:pPr>
      <w:r>
        <w:t>AC-9.3 — Respect du cycle de dépréciation</w:t>
      </w:r>
    </w:p>
    <w:p>
      <w:pPr>
        <w:spacing w:before="120" w:after="200"/>
        <w:ind w:left="170"/>
        <w:shd w:val="clear" w:color="auto" w:fill="F2F5F7"/>
        <w:pBdr>
          <w:left w:val="single" w:sz="12" w:space="8" w:color="9FB3C0"/>
        </w:pBdr>
      </w:pPr>
      <w:r>
        <w:rPr>
          <w:rFonts w:ascii="Consolas" w:hAnsi="Consolas" w:eastAsia="Consolas"/>
          <w:sz w:val="17"/>
        </w:rPr>
        <w:t>ETANT DONNE une fonction depreciee il y a moins de 24 mois</w:t>
        <w:br/>
      </w:r>
      <w:r>
        <w:rPr>
          <w:rFonts w:ascii="Consolas" w:hAnsi="Consolas" w:eastAsia="Consolas"/>
          <w:sz w:val="17"/>
        </w:rPr>
        <w:t>QUAND une proposition tente de la retirer</w:t>
        <w:br/>
      </w:r>
      <w:r>
        <w:rPr>
          <w:rFonts w:ascii="Consolas" w:hAnsi="Consolas" w:eastAsia="Consolas"/>
          <w:sz w:val="17"/>
        </w:rPr>
        <w:t>ALORS l'integration continue rejette la modification</w:t>
        <w:br/>
      </w:r>
      <w:r>
        <w:rPr>
          <w:rFonts w:ascii="Consolas" w:hAnsi="Consolas" w:eastAsia="Consolas"/>
          <w:sz w:val="17"/>
        </w:rPr>
        <w:t xml:space="preserve">  ET indique la date de retrait autorisee</w:t>
      </w:r>
    </w:p>
    <w:p>
      <w:pPr>
        <w:pStyle w:val="Heading2"/>
      </w:pPr>
      <w:r>
        <w:t>AC-9.4 — Guide de migration obligatoire</w:t>
      </w:r>
    </w:p>
    <w:p>
      <w:pPr>
        <w:spacing w:before="120" w:after="200"/>
        <w:ind w:left="170"/>
        <w:shd w:val="clear" w:color="auto" w:fill="F2F5F7"/>
        <w:pBdr>
          <w:left w:val="single" w:sz="12" w:space="8" w:color="9FB3C0"/>
        </w:pBdr>
      </w:pPr>
      <w:r>
        <w:rPr>
          <w:rFonts w:ascii="Consolas" w:hAnsi="Consolas" w:eastAsia="Consolas"/>
          <w:sz w:val="17"/>
        </w:rPr>
        <w:t>ETANT DONNE une proposition marquee break(...)</w:t>
        <w:br/>
      </w:r>
      <w:r>
        <w:rPr>
          <w:rFonts w:ascii="Consolas" w:hAnsi="Consolas" w:eastAsia="Consolas"/>
          <w:sz w:val="17"/>
        </w:rPr>
        <w:t>QUAND elle est soumise</w:t>
        <w:br/>
      </w:r>
      <w:r>
        <w:rPr>
          <w:rFonts w:ascii="Consolas" w:hAnsi="Consolas" w:eastAsia="Consolas"/>
          <w:sz w:val="17"/>
        </w:rPr>
        <w:t>ALORS un fichier docs/migration/*.md doit l'accompagner</w:t>
        <w:br/>
      </w:r>
      <w:r>
        <w:rPr>
          <w:rFonts w:ascii="Consolas" w:hAnsi="Consolas" w:eastAsia="Consolas"/>
          <w:sz w:val="17"/>
        </w:rPr>
        <w:t xml:space="preserve">  ET la fusion est bloquee en son absence</w:t>
      </w:r>
    </w:p>
    <w:p>
      <w:pPr>
        <w:pStyle w:val="Heading2"/>
      </w:pPr>
      <w:r>
        <w:t>AC-9.5 — Survie du corpus au logiciel</w:t>
      </w:r>
    </w:p>
    <w:p>
      <w:pPr>
        <w:spacing w:before="120" w:after="200"/>
        <w:ind w:left="170"/>
        <w:shd w:val="clear" w:color="auto" w:fill="F2F5F7"/>
        <w:pBdr>
          <w:left w:val="single" w:sz="12" w:space="8" w:color="9FB3C0"/>
        </w:pBdr>
      </w:pPr>
      <w:r>
        <w:rPr>
          <w:rFonts w:ascii="Consolas" w:hAnsi="Consolas" w:eastAsia="Consolas"/>
          <w:sz w:val="17"/>
        </w:rPr>
        <w:t>ETANT DONNE un corpus produit par la version courante</w:t>
        <w:br/>
      </w:r>
      <w:r>
        <w:rPr>
          <w:rFonts w:ascii="Consolas" w:hAnsi="Consolas" w:eastAsia="Consolas"/>
          <w:sz w:val="17"/>
        </w:rPr>
        <w:t>QUAND on ne dispose que du repertoire data/ et de la specification</w:t>
        <w:br/>
      </w:r>
      <w:r>
        <w:rPr>
          <w:rFonts w:ascii="Consolas" w:hAnsi="Consolas" w:eastAsia="Consolas"/>
          <w:sz w:val="17"/>
        </w:rPr>
        <w:t>ALORS le corpus est interpretable sans aucun binaire du projet</w:t>
        <w:br/>
      </w:r>
      <w:r>
        <w:rPr>
          <w:rFonts w:ascii="Consolas" w:hAnsi="Consolas" w:eastAsia="Consolas"/>
          <w:sz w:val="17"/>
        </w:rPr>
        <w:t xml:space="preserve">  ET les descripteurs suffisent a reconstruire l'integralite de l'index</w:t>
      </w:r>
    </w:p>
    <w:p>
      <w:pPr>
        <w:pStyle w:val="Heading2"/>
      </w:pPr>
      <w:r>
        <w:t>AC-9.6 — Critères de sortie de palier</w:t>
      </w:r>
    </w:p>
    <w:p>
      <w:pPr>
        <w:spacing w:before="120" w:after="200"/>
        <w:ind w:left="170"/>
        <w:shd w:val="clear" w:color="auto" w:fill="F2F5F7"/>
        <w:pBdr>
          <w:left w:val="single" w:sz="12" w:space="8" w:color="9FB3C0"/>
        </w:pBdr>
      </w:pPr>
      <w:r>
        <w:rPr>
          <w:rFonts w:ascii="Consolas" w:hAnsi="Consolas" w:eastAsia="Consolas"/>
          <w:sz w:val="17"/>
        </w:rPr>
        <w:t>ETANT DONNE un palier de la feuille de route</w:t>
        <w:br/>
      </w:r>
      <w:r>
        <w:rPr>
          <w:rFonts w:ascii="Consolas" w:hAnsi="Consolas" w:eastAsia="Consolas"/>
          <w:sz w:val="17"/>
        </w:rPr>
        <w:t>QUAND il est declare clos</w:t>
        <w:br/>
      </w:r>
      <w:r>
        <w:rPr>
          <w:rFonts w:ascii="Consolas" w:hAnsi="Consolas" w:eastAsia="Consolas"/>
          <w:sz w:val="17"/>
        </w:rPr>
        <w:t>ALORS tous ses criteres de sortie sont verifies automatiquement</w:t>
        <w:br/>
      </w:r>
      <w:r>
        <w:rPr>
          <w:rFonts w:ascii="Consolas" w:hAnsi="Consolas" w:eastAsia="Consolas"/>
          <w:sz w:val="17"/>
        </w:rPr>
        <w:t xml:space="preserve">  ET le rapport correspondant est archive dans le depot</w:t>
      </w:r>
    </w:p>
    <w:p>
      <w:r>
        <w:br w:type="page"/>
      </w:r>
    </w:p>
    <w:p>
      <w:pPr>
        <w:pStyle w:val="Heading1"/>
      </w:pPr>
      <w:r>
        <w:t>Chapitre 9 — Épilogue de la spécification</w:t>
      </w:r>
    </w:p>
    <w:p>
      <w:pPr>
        <w:pStyle w:val="Heading2"/>
      </w:pPr>
      <w:r>
        <w:t>9.1 Ce que couvrent les neuf volumes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Volume</w:t>
            </w:r>
          </w:p>
        </w:tc>
        <w:tc>
          <w:tcPr>
            <w:tcW w:type="dxa" w:w="3248"/>
            <w:shd w:val="clear" w:color="auto" w:fill="0B3D5B"/>
          </w:tcPr>
          <w:p>
            <w:pPr>
              <w:spacing w:after="40"/>
            </w:pPr>
            <w:r/>
            <w:r>
              <w:rPr>
                <w:b/>
                <w:color w:val="FFFFFF"/>
                <w:sz w:val="18"/>
              </w:rPr>
              <w:t>Objet</w:t>
            </w:r>
          </w:p>
        </w:tc>
        <w:tc>
          <w:tcPr>
            <w:tcW w:type="dxa" w:w="3248"/>
            <w:shd w:val="clear" w:color="auto" w:fill="0B3D5B"/>
          </w:tcPr>
          <w:p>
            <w:pPr>
              <w:spacing w:after="40"/>
            </w:pPr>
            <w:r/>
            <w:r>
              <w:rPr>
                <w:b/>
                <w:color w:val="FFFFFF"/>
                <w:sz w:val="18"/>
              </w:rPr>
              <w:t>Question traitée</w:t>
            </w:r>
          </w:p>
        </w:tc>
      </w:tr>
      <w:tr>
        <w:tc>
          <w:tcPr>
            <w:tcW w:type="dxa" w:w="3248"/>
          </w:tcPr>
          <w:p>
            <w:pPr>
              <w:spacing w:after="40"/>
            </w:pPr>
            <w:r/>
            <w:r>
              <w:rPr>
                <w:sz w:val="18"/>
              </w:rPr>
              <w:t>I</w:t>
            </w:r>
          </w:p>
        </w:tc>
        <w:tc>
          <w:tcPr>
            <w:tcW w:type="dxa" w:w="3248"/>
          </w:tcPr>
          <w:p>
            <w:pPr>
              <w:spacing w:after="40"/>
            </w:pPr>
            <w:r/>
            <w:r>
              <w:rPr>
                <w:sz w:val="18"/>
              </w:rPr>
              <w:t>Vision et charte</w:t>
            </w:r>
          </w:p>
        </w:tc>
        <w:tc>
          <w:tcPr>
            <w:tcW w:type="dxa" w:w="3248"/>
          </w:tcPr>
          <w:p>
            <w:pPr>
              <w:spacing w:after="40"/>
            </w:pPr>
            <w:r/>
            <w:r>
              <w:rPr>
                <w:sz w:val="18"/>
              </w:rPr>
              <w:t>Pourquoi, et selon quels principes</w:t>
            </w:r>
          </w:p>
        </w:tc>
      </w:tr>
      <w:tr>
        <w:tc>
          <w:tcPr>
            <w:tcW w:type="dxa" w:w="3248"/>
            <w:shd w:val="clear" w:color="auto" w:fill="F4F7F9"/>
          </w:tcPr>
          <w:p>
            <w:pPr>
              <w:spacing w:after="40"/>
            </w:pPr>
            <w:r/>
            <w:r>
              <w:rPr>
                <w:sz w:val="18"/>
              </w:rPr>
              <w:t>II</w:t>
            </w:r>
          </w:p>
        </w:tc>
        <w:tc>
          <w:tcPr>
            <w:tcW w:type="dxa" w:w="3248"/>
            <w:shd w:val="clear" w:color="auto" w:fill="F4F7F9"/>
          </w:tcPr>
          <w:p>
            <w:pPr>
              <w:spacing w:after="40"/>
            </w:pPr>
            <w:r/>
            <w:r>
              <w:rPr>
                <w:sz w:val="18"/>
              </w:rPr>
              <w:t>Kernel</w:t>
            </w:r>
          </w:p>
        </w:tc>
        <w:tc>
          <w:tcPr>
            <w:tcW w:type="dxa" w:w="3248"/>
            <w:shd w:val="clear" w:color="auto" w:fill="F4F7F9"/>
          </w:tcPr>
          <w:p>
            <w:pPr>
              <w:spacing w:after="40"/>
            </w:pPr>
            <w:r/>
            <w:r>
              <w:rPr>
                <w:sz w:val="18"/>
              </w:rPr>
              <w:t>Comment le noyau est bâti</w:t>
            </w:r>
          </w:p>
        </w:tc>
      </w:tr>
      <w:tr>
        <w:tc>
          <w:tcPr>
            <w:tcW w:type="dxa" w:w="3248"/>
          </w:tcPr>
          <w:p>
            <w:pPr>
              <w:spacing w:after="40"/>
            </w:pPr>
            <w:r/>
            <w:r>
              <w:rPr>
                <w:sz w:val="18"/>
              </w:rPr>
              <w:t>III</w:t>
            </w:r>
          </w:p>
        </w:tc>
        <w:tc>
          <w:tcPr>
            <w:tcW w:type="dxa" w:w="3248"/>
          </w:tcPr>
          <w:p>
            <w:pPr>
              <w:spacing w:after="40"/>
            </w:pPr>
            <w:r/>
            <w:r>
              <w:rPr>
                <w:sz w:val="18"/>
              </w:rPr>
              <w:t>Contrats et API</w:t>
            </w:r>
          </w:p>
        </w:tc>
        <w:tc>
          <w:tcPr>
            <w:tcW w:type="dxa" w:w="3248"/>
          </w:tcPr>
          <w:p>
            <w:pPr>
              <w:spacing w:after="40"/>
            </w:pPr>
            <w:r/>
            <w:r>
              <w:rPr>
                <w:sz w:val="18"/>
              </w:rPr>
              <w:t>Où se situent les frontières</w:t>
            </w:r>
          </w:p>
        </w:tc>
      </w:tr>
      <w:tr>
        <w:tc>
          <w:tcPr>
            <w:tcW w:type="dxa" w:w="3248"/>
            <w:shd w:val="clear" w:color="auto" w:fill="F4F7F9"/>
          </w:tcPr>
          <w:p>
            <w:pPr>
              <w:spacing w:after="40"/>
            </w:pPr>
            <w:r/>
            <w:r>
              <w:rPr>
                <w:sz w:val="18"/>
              </w:rPr>
              <w:t>IV</w:t>
            </w:r>
          </w:p>
        </w:tc>
        <w:tc>
          <w:tcPr>
            <w:tcW w:type="dxa" w:w="3248"/>
            <w:shd w:val="clear" w:color="auto" w:fill="F4F7F9"/>
          </w:tcPr>
          <w:p>
            <w:pPr>
              <w:spacing w:after="40"/>
            </w:pPr>
            <w:r/>
            <w:r>
              <w:rPr>
                <w:sz w:val="18"/>
              </w:rPr>
              <w:t>Données et stockage</w:t>
            </w:r>
          </w:p>
        </w:tc>
        <w:tc>
          <w:tcPr>
            <w:tcW w:type="dxa" w:w="3248"/>
            <w:shd w:val="clear" w:color="auto" w:fill="F4F7F9"/>
          </w:tcPr>
          <w:p>
            <w:pPr>
              <w:spacing w:after="40"/>
            </w:pPr>
            <w:r/>
            <w:r>
              <w:rPr>
                <w:sz w:val="18"/>
              </w:rPr>
              <w:t>Ce qui doit survivre</w:t>
            </w:r>
          </w:p>
        </w:tc>
      </w:tr>
      <w:tr>
        <w:tc>
          <w:tcPr>
            <w:tcW w:type="dxa" w:w="3248"/>
          </w:tcPr>
          <w:p>
            <w:pPr>
              <w:spacing w:after="40"/>
            </w:pPr>
            <w:r/>
            <w:r>
              <w:rPr>
                <w:sz w:val="18"/>
              </w:rPr>
              <w:t>V</w:t>
            </w:r>
          </w:p>
        </w:tc>
        <w:tc>
          <w:tcPr>
            <w:tcW w:type="dxa" w:w="3248"/>
          </w:tcPr>
          <w:p>
            <w:pPr>
              <w:spacing w:after="40"/>
            </w:pPr>
            <w:r/>
            <w:r>
              <w:rPr>
                <w:sz w:val="18"/>
              </w:rPr>
              <w:t>Traitement</w:t>
            </w:r>
          </w:p>
        </w:tc>
        <w:tc>
          <w:tcPr>
            <w:tcW w:type="dxa" w:w="3248"/>
          </w:tcPr>
          <w:p>
            <w:pPr>
              <w:spacing w:after="40"/>
            </w:pPr>
            <w:r/>
            <w:r>
              <w:rPr>
                <w:sz w:val="18"/>
              </w:rPr>
              <w:t>Ce qui peut être refait</w:t>
            </w:r>
          </w:p>
        </w:tc>
      </w:tr>
      <w:tr>
        <w:tc>
          <w:tcPr>
            <w:tcW w:type="dxa" w:w="3248"/>
            <w:shd w:val="clear" w:color="auto" w:fill="F4F7F9"/>
          </w:tcPr>
          <w:p>
            <w:pPr>
              <w:spacing w:after="40"/>
            </w:pPr>
            <w:r/>
            <w:r>
              <w:rPr>
                <w:sz w:val="18"/>
              </w:rPr>
              <w:t>VI</w:t>
            </w:r>
          </w:p>
        </w:tc>
        <w:tc>
          <w:tcPr>
            <w:tcW w:type="dxa" w:w="3248"/>
            <w:shd w:val="clear" w:color="auto" w:fill="F4F7F9"/>
          </w:tcPr>
          <w:p>
            <w:pPr>
              <w:spacing w:after="40"/>
            </w:pPr>
            <w:r/>
            <w:r>
              <w:rPr>
                <w:sz w:val="18"/>
              </w:rPr>
              <w:t>Sécurité et confiance</w:t>
            </w:r>
          </w:p>
        </w:tc>
        <w:tc>
          <w:tcPr>
            <w:tcW w:type="dxa" w:w="3248"/>
            <w:shd w:val="clear" w:color="auto" w:fill="F4F7F9"/>
          </w:tcPr>
          <w:p>
            <w:pPr>
              <w:spacing w:after="40"/>
            </w:pPr>
            <w:r/>
            <w:r>
              <w:rPr>
                <w:sz w:val="18"/>
              </w:rPr>
              <w:t>Ce qui doit être prouvé</w:t>
            </w:r>
          </w:p>
        </w:tc>
      </w:tr>
      <w:tr>
        <w:tc>
          <w:tcPr>
            <w:tcW w:type="dxa" w:w="3248"/>
          </w:tcPr>
          <w:p>
            <w:pPr>
              <w:spacing w:after="40"/>
            </w:pPr>
            <w:r/>
            <w:r>
              <w:rPr>
                <w:sz w:val="18"/>
              </w:rPr>
              <w:t>VII</w:t>
            </w:r>
          </w:p>
        </w:tc>
        <w:tc>
          <w:tcPr>
            <w:tcW w:type="dxa" w:w="3248"/>
          </w:tcPr>
          <w:p>
            <w:pPr>
              <w:spacing w:after="40"/>
            </w:pPr>
            <w:r/>
            <w:r>
              <w:rPr>
                <w:sz w:val="18"/>
              </w:rPr>
              <w:t>Exploitation</w:t>
            </w:r>
          </w:p>
        </w:tc>
        <w:tc>
          <w:tcPr>
            <w:tcW w:type="dxa" w:w="3248"/>
          </w:tcPr>
          <w:p>
            <w:pPr>
              <w:spacing w:after="40"/>
            </w:pPr>
            <w:r/>
            <w:r>
              <w:rPr>
                <w:sz w:val="18"/>
              </w:rPr>
              <w:t>Comment on conduit le système</w:t>
            </w:r>
          </w:p>
        </w:tc>
      </w:tr>
      <w:tr>
        <w:tc>
          <w:tcPr>
            <w:tcW w:type="dxa" w:w="3248"/>
            <w:shd w:val="clear" w:color="auto" w:fill="F4F7F9"/>
          </w:tcPr>
          <w:p>
            <w:pPr>
              <w:spacing w:after="40"/>
            </w:pPr>
            <w:r/>
            <w:r>
              <w:rPr>
                <w:sz w:val="18"/>
              </w:rPr>
              <w:t>VIII</w:t>
            </w:r>
          </w:p>
        </w:tc>
        <w:tc>
          <w:tcPr>
            <w:tcW w:type="dxa" w:w="3248"/>
            <w:shd w:val="clear" w:color="auto" w:fill="F4F7F9"/>
          </w:tcPr>
          <w:p>
            <w:pPr>
              <w:spacing w:after="40"/>
            </w:pPr>
            <w:r/>
            <w:r>
              <w:rPr>
                <w:sz w:val="18"/>
              </w:rPr>
              <w:t>Tests</w:t>
            </w:r>
          </w:p>
        </w:tc>
        <w:tc>
          <w:tcPr>
            <w:tcW w:type="dxa" w:w="3248"/>
            <w:shd w:val="clear" w:color="auto" w:fill="F4F7F9"/>
          </w:tcPr>
          <w:p>
            <w:pPr>
              <w:spacing w:after="40"/>
            </w:pPr>
            <w:r/>
            <w:r>
              <w:rPr>
                <w:sz w:val="18"/>
              </w:rPr>
              <w:t>Comment on vérifie les affirmations</w:t>
            </w:r>
          </w:p>
        </w:tc>
      </w:tr>
      <w:tr>
        <w:tc>
          <w:tcPr>
            <w:tcW w:type="dxa" w:w="3248"/>
          </w:tcPr>
          <w:p>
            <w:pPr>
              <w:spacing w:after="40"/>
            </w:pPr>
            <w:r/>
            <w:r>
              <w:rPr>
                <w:sz w:val="18"/>
              </w:rPr>
              <w:t>IX</w:t>
            </w:r>
          </w:p>
        </w:tc>
        <w:tc>
          <w:tcPr>
            <w:tcW w:type="dxa" w:w="3248"/>
          </w:tcPr>
          <w:p>
            <w:pPr>
              <w:spacing w:after="40"/>
            </w:pPr>
            <w:r/>
            <w:r>
              <w:rPr>
                <w:sz w:val="18"/>
              </w:rPr>
              <w:t>Gouvernance</w:t>
            </w:r>
          </w:p>
        </w:tc>
        <w:tc>
          <w:tcPr>
            <w:tcW w:type="dxa" w:w="3248"/>
          </w:tcPr>
          <w:p>
            <w:pPr>
              <w:spacing w:after="40"/>
            </w:pPr>
            <w:r/>
            <w:r>
              <w:rPr>
                <w:sz w:val="18"/>
              </w:rPr>
              <w:t>Comment tout cela dure</w:t>
            </w:r>
          </w:p>
        </w:tc>
      </w:tr>
    </w:tbl>
    <w:p/>
    <w:p>
      <w:pPr>
        <w:pStyle w:val="Heading2"/>
      </w:pPr>
      <w:r>
        <w:t>9.2 Les cinq décisions qui structurent tout le reste</w:t>
      </w:r>
    </w:p>
    <w:p>
      <w:pPr>
        <w:jc w:val="both"/>
      </w:pPr>
      <w:r>
        <w:t>Si l'on ne devait retenir que cinq choix de cette spécification :</w:t>
      </w:r>
    </w:p>
    <w:p>
      <w:pPr>
        <w:pStyle w:val="ListNumber"/>
        <w:spacing w:after="40"/>
      </w:pPr>
      <w:r>
        <w:rPr>
          <w:b/>
        </w:rPr>
        <w:t>Le noyau ignore les sources.</w:t>
      </w:r>
      <w:r>
        <w:t xml:space="preserve"> Aucune URL, aucun format juridique, aucun pays dans le cœur. Toute source est un plugin. C'est ce qui permet au Framework de servir n'importe quelle juridiction sans être réécrit.</w:t>
      </w:r>
    </w:p>
    <w:p>
      <w:pPr>
        <w:pStyle w:val="ListNumber"/>
        <w:spacing w:after="40"/>
      </w:pPr>
      <w:r>
        <w:rPr>
          <w:b/>
        </w:rPr>
        <w:t>Le plugin ne télécharge pas.</w:t>
      </w:r>
      <w:r>
        <w:t xml:space="preserve"> Il décrit ce qu'il faut chercher ; le Kernel le fait. Quotas, réessais, intégrité et politesse sont ainsi garantis par construction, et non par la discipline de centaines de contributeurs.</w:t>
      </w:r>
    </w:p>
    <w:p>
      <w:pPr>
        <w:pStyle w:val="ListNumber"/>
        <w:spacing w:after="40"/>
      </w:pPr>
      <w:r>
        <w:rPr>
          <w:b/>
        </w:rPr>
        <w:t>Le magasin est adressé par contenu et auto-descriptif.</w:t>
      </w:r>
      <w:r>
        <w:t xml:space="preserve"> Déduplication, immuabilité, vérifiabilité et reconstructibilité découlent d'un seul choix. La base de données devient un cache, jamais un point de défaillance unique.</w:t>
      </w:r>
    </w:p>
    <w:p>
      <w:pPr>
        <w:pStyle w:val="ListNumber"/>
        <w:spacing w:after="40"/>
      </w:pPr>
      <w:r>
        <w:rPr>
          <w:b/>
        </w:rPr>
        <w:t>La collecte et le traitement sont deux systèmes.</w:t>
      </w:r>
      <w:r>
        <w:t xml:space="preserve"> L'un produit de l'irremplaçable, l'autre du reconstructible. Les séparer physiquement permet de faire évoluer le second sans jamais risquer le premier.</w:t>
      </w:r>
    </w:p>
    <w:p>
      <w:pPr>
        <w:pStyle w:val="ListNumber"/>
        <w:spacing w:after="40"/>
      </w:pPr>
      <w:r>
        <w:rPr>
          <w:b/>
        </w:rPr>
        <w:t>Le mode de panne dominant est l'absence.</w:t>
      </w:r>
      <w:r>
        <w:t xml:space="preserve"> Un collecteur cassé ne produit pas d'erreurs : il ne produit rien. Le modèle d'attentes existe pour détecter ce qui n'arrive pas, et c'est la seule protection réelle contre l'arrêt silencieux d'un corpus.</w:t>
      </w:r>
    </w:p>
    <w:p>
      <w:pPr>
        <w:pStyle w:val="Heading2"/>
      </w:pPr>
      <w:r>
        <w:t>9.3 Ce que le Framework ne fera jamais</w:t>
      </w:r>
    </w:p>
    <w:p>
      <w:pPr>
        <w:jc w:val="both"/>
      </w:pPr>
      <w:r>
        <w:t>Cette liste a autant de valeur normative que les fonctions spécifiées :</w:t>
      </w:r>
    </w:p>
    <w:p>
      <w:pPr>
        <w:pStyle w:val="ListBullet"/>
        <w:spacing w:after="40"/>
      </w:pPr>
      <w:r>
        <w:t>interpréter le sens juridique d'un document ;</w:t>
      </w:r>
    </w:p>
    <w:p>
      <w:pPr>
        <w:pStyle w:val="ListBullet"/>
        <w:spacing w:after="40"/>
      </w:pPr>
      <w:r>
        <w:t>modifier un document original ;</w:t>
      </w:r>
    </w:p>
    <w:p>
      <w:pPr>
        <w:pStyle w:val="ListBullet"/>
        <w:spacing w:after="40"/>
      </w:pPr>
      <w:r>
        <w:t>contourner une protection technique — CAPTCHA, authentification, limitation de débit ;</w:t>
      </w:r>
    </w:p>
    <w:p>
      <w:pPr>
        <w:pStyle w:val="ListBullet"/>
        <w:spacing w:after="40"/>
      </w:pPr>
      <w:r>
        <w:t>supprimer des données comme effet de bord d'une opération courante ;</w:t>
      </w:r>
    </w:p>
    <w:p>
      <w:pPr>
        <w:pStyle w:val="ListBullet"/>
        <w:spacing w:after="40"/>
      </w:pPr>
      <w:r>
        <w:t>émettre la moindre donnée vers l'extérieur sans configuration explicite de son opérateur ;</w:t>
      </w:r>
    </w:p>
    <w:p>
      <w:pPr>
        <w:pStyle w:val="ListBullet"/>
        <w:spacing w:after="40"/>
      </w:pPr>
      <w:r>
        <w:t>dépendre d'un service en ligne pour fonctionner.</w:t>
      </w:r>
    </w:p>
    <w:p>
      <w:pPr>
        <w:pStyle w:val="Heading2"/>
      </w:pPr>
      <w:r>
        <w:t>9.4 Mot de la fin</w:t>
      </w:r>
    </w:p>
    <w:p>
      <w:pPr>
        <w:jc w:val="both"/>
      </w:pPr>
      <w:r>
        <w:t>Cette spécification décrit un système conçu pour être ennuyeux au bon endroit.</w:t>
      </w:r>
    </w:p>
    <w:p>
      <w:pPr>
        <w:jc w:val="both"/>
      </w:pPr>
      <w:r>
        <w:t>Le noyau est petit, contraint et difficile à modifier, précisément pour que les plugins puissent être nombreux, variés et faciles à écrire. Le stockage est conservateur jusqu'à l'excès, précisément pour que le traitement puisse être audacieux et jetable. La gouvernance est lente sur les contrats, précisément pour que les contributions courantes restent rapides.</w:t>
      </w:r>
    </w:p>
    <w:p>
      <w:pPr>
        <w:jc w:val="both"/>
      </w:pPr>
      <w:r>
        <w:t>Chacun de ces déséquilibres est délibéré. Ils reposent tous sur la même observation : dans un système de collecte documentaire, ce qui est perdu ne se retrouve pas, et ce qui est mal collecté ne se corrige qu'en le recollectant — parfois auprès d'une source qui n'existe plus.</w:t>
      </w:r>
    </w:p>
    <w:p>
      <w:pPr>
        <w:jc w:val="both"/>
      </w:pPr>
      <w:r>
        <w:t>Un document officiel publié aujourd'hui, correctement collecté, correctement daté, correctement vérifié, sera encore lisible dans trente ans. C'est le seul objectif de ces neuf volumes.</w:t>
      </w:r>
    </w:p>
    <w:p>
      <w:r>
        <w:br w:type="page"/>
      </w:r>
    </w:p>
    <w:p>
      <w:pPr>
        <w:pStyle w:val="Heading1"/>
      </w:pPr>
      <w:r>
        <w:t>Annexe A — Index des critères d'acceptation</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Référence</w:t>
            </w:r>
          </w:p>
        </w:tc>
        <w:tc>
          <w:tcPr>
            <w:tcW w:type="dxa" w:w="3248"/>
            <w:shd w:val="clear" w:color="auto" w:fill="0B3D5B"/>
          </w:tcPr>
          <w:p>
            <w:pPr>
              <w:spacing w:after="40"/>
            </w:pPr>
            <w:r/>
            <w:r>
              <w:rPr>
                <w:b/>
                <w:color w:val="FFFFFF"/>
                <w:sz w:val="18"/>
              </w:rPr>
              <w:t>Objet</w:t>
            </w:r>
          </w:p>
        </w:tc>
        <w:tc>
          <w:tcPr>
            <w:tcW w:type="dxa" w:w="3248"/>
            <w:shd w:val="clear" w:color="auto" w:fill="0B3D5B"/>
          </w:tcPr>
          <w:p>
            <w:pPr>
              <w:spacing w:after="40"/>
            </w:pPr>
            <w:r/>
            <w:r>
              <w:rPr>
                <w:b/>
                <w:color w:val="FFFFFF"/>
                <w:sz w:val="18"/>
              </w:rPr>
              <w:t>Volume</w:t>
            </w:r>
          </w:p>
        </w:tc>
      </w:tr>
      <w:tr>
        <w:tc>
          <w:tcPr>
            <w:tcW w:type="dxa" w:w="3248"/>
          </w:tcPr>
          <w:p>
            <w:pPr>
              <w:spacing w:after="40"/>
            </w:pPr>
            <w:r/>
            <w:r>
              <w:rPr>
                <w:sz w:val="18"/>
              </w:rPr>
              <w:t>AC-3.1 à AC-3.8</w:t>
            </w:r>
          </w:p>
        </w:tc>
        <w:tc>
          <w:tcPr>
            <w:tcW w:type="dxa" w:w="3248"/>
          </w:tcPr>
          <w:p>
            <w:pPr>
              <w:spacing w:after="40"/>
            </w:pPr>
            <w:r/>
            <w:r>
              <w:rPr>
                <w:sz w:val="18"/>
              </w:rPr>
              <w:t>Contrats de plugin, capacités, compatibilité</w:t>
            </w:r>
          </w:p>
        </w:tc>
        <w:tc>
          <w:tcPr>
            <w:tcW w:type="dxa" w:w="3248"/>
          </w:tcPr>
          <w:p>
            <w:pPr>
              <w:spacing w:after="40"/>
            </w:pPr>
            <w:r/>
            <w:r>
              <w:rPr>
                <w:sz w:val="18"/>
              </w:rPr>
              <w:t>III</w:t>
            </w:r>
          </w:p>
        </w:tc>
      </w:tr>
      <w:tr>
        <w:tc>
          <w:tcPr>
            <w:tcW w:type="dxa" w:w="3248"/>
            <w:shd w:val="clear" w:color="auto" w:fill="F4F7F9"/>
          </w:tcPr>
          <w:p>
            <w:pPr>
              <w:spacing w:after="40"/>
            </w:pPr>
            <w:r/>
            <w:r>
              <w:rPr>
                <w:sz w:val="18"/>
              </w:rPr>
              <w:t>AC-4.1 à AC-4.9</w:t>
            </w:r>
          </w:p>
        </w:tc>
        <w:tc>
          <w:tcPr>
            <w:tcW w:type="dxa" w:w="3248"/>
            <w:shd w:val="clear" w:color="auto" w:fill="F4F7F9"/>
          </w:tcPr>
          <w:p>
            <w:pPr>
              <w:spacing w:after="40"/>
            </w:pPr>
            <w:r/>
            <w:r>
              <w:rPr>
                <w:sz w:val="18"/>
              </w:rPr>
              <w:t>Atomicité, reconstruction, versions, migrations</w:t>
            </w:r>
          </w:p>
        </w:tc>
        <w:tc>
          <w:tcPr>
            <w:tcW w:type="dxa" w:w="3248"/>
            <w:shd w:val="clear" w:color="auto" w:fill="F4F7F9"/>
          </w:tcPr>
          <w:p>
            <w:pPr>
              <w:spacing w:after="40"/>
            </w:pPr>
            <w:r/>
            <w:r>
              <w:rPr>
                <w:sz w:val="18"/>
              </w:rPr>
              <w:t>IV</w:t>
            </w:r>
          </w:p>
        </w:tc>
      </w:tr>
      <w:tr>
        <w:tc>
          <w:tcPr>
            <w:tcW w:type="dxa" w:w="3248"/>
          </w:tcPr>
          <w:p>
            <w:pPr>
              <w:spacing w:after="40"/>
            </w:pPr>
            <w:r/>
            <w:r>
              <w:rPr>
                <w:sz w:val="18"/>
              </w:rPr>
              <w:t>AC-5.1 à AC-5.8</w:t>
            </w:r>
          </w:p>
        </w:tc>
        <w:tc>
          <w:tcPr>
            <w:tcW w:type="dxa" w:w="3248"/>
          </w:tcPr>
          <w:p>
            <w:pPr>
              <w:spacing w:after="40"/>
            </w:pPr>
            <w:r/>
            <w:r>
              <w:rPr>
                <w:sz w:val="18"/>
              </w:rPr>
              <w:t>Pipeline, déterminisme, isolement, traçabilité</w:t>
            </w:r>
          </w:p>
        </w:tc>
        <w:tc>
          <w:tcPr>
            <w:tcW w:type="dxa" w:w="3248"/>
          </w:tcPr>
          <w:p>
            <w:pPr>
              <w:spacing w:after="40"/>
            </w:pPr>
            <w:r/>
            <w:r>
              <w:rPr>
                <w:sz w:val="18"/>
              </w:rPr>
              <w:t>V</w:t>
            </w:r>
          </w:p>
        </w:tc>
      </w:tr>
      <w:tr>
        <w:tc>
          <w:tcPr>
            <w:tcW w:type="dxa" w:w="3248"/>
            <w:shd w:val="clear" w:color="auto" w:fill="F4F7F9"/>
          </w:tcPr>
          <w:p>
            <w:pPr>
              <w:spacing w:after="40"/>
            </w:pPr>
            <w:r/>
            <w:r>
              <w:rPr>
                <w:sz w:val="18"/>
              </w:rPr>
              <w:t>AC-6.1 à AC-6.8</w:t>
            </w:r>
          </w:p>
        </w:tc>
        <w:tc>
          <w:tcPr>
            <w:tcW w:type="dxa" w:w="3248"/>
            <w:shd w:val="clear" w:color="auto" w:fill="F4F7F9"/>
          </w:tcPr>
          <w:p>
            <w:pPr>
              <w:spacing w:after="40"/>
            </w:pPr>
            <w:r/>
            <w:r>
              <w:rPr>
                <w:sz w:val="18"/>
              </w:rPr>
              <w:t>SSRF, contenu hostile, secrets, audit</w:t>
            </w:r>
          </w:p>
        </w:tc>
        <w:tc>
          <w:tcPr>
            <w:tcW w:type="dxa" w:w="3248"/>
            <w:shd w:val="clear" w:color="auto" w:fill="F4F7F9"/>
          </w:tcPr>
          <w:p>
            <w:pPr>
              <w:spacing w:after="40"/>
            </w:pPr>
            <w:r/>
            <w:r>
              <w:rPr>
                <w:sz w:val="18"/>
              </w:rPr>
              <w:t>VI</w:t>
            </w:r>
          </w:p>
        </w:tc>
      </w:tr>
      <w:tr>
        <w:tc>
          <w:tcPr>
            <w:tcW w:type="dxa" w:w="3248"/>
          </w:tcPr>
          <w:p>
            <w:pPr>
              <w:spacing w:after="40"/>
            </w:pPr>
            <w:r/>
            <w:r>
              <w:rPr>
                <w:sz w:val="18"/>
              </w:rPr>
              <w:t>AC-7.1 à AC-7.7</w:t>
            </w:r>
          </w:p>
        </w:tc>
        <w:tc>
          <w:tcPr>
            <w:tcW w:type="dxa" w:w="3248"/>
          </w:tcPr>
          <w:p>
            <w:pPr>
              <w:spacing w:after="40"/>
            </w:pPr>
            <w:r/>
            <w:r>
              <w:rPr>
                <w:sz w:val="18"/>
              </w:rPr>
              <w:t>Détection d'absence, diagnostic, reprise</w:t>
            </w:r>
          </w:p>
        </w:tc>
        <w:tc>
          <w:tcPr>
            <w:tcW w:type="dxa" w:w="3248"/>
          </w:tcPr>
          <w:p>
            <w:pPr>
              <w:spacing w:after="40"/>
            </w:pPr>
            <w:r/>
            <w:r>
              <w:rPr>
                <w:sz w:val="18"/>
              </w:rPr>
              <w:t>VII</w:t>
            </w:r>
          </w:p>
        </w:tc>
      </w:tr>
      <w:tr>
        <w:tc>
          <w:tcPr>
            <w:tcW w:type="dxa" w:w="3248"/>
            <w:shd w:val="clear" w:color="auto" w:fill="F4F7F9"/>
          </w:tcPr>
          <w:p>
            <w:pPr>
              <w:spacing w:after="40"/>
            </w:pPr>
            <w:r/>
            <w:r>
              <w:rPr>
                <w:sz w:val="18"/>
              </w:rPr>
              <w:t>AC-8.1 à AC-8.7</w:t>
            </w:r>
          </w:p>
        </w:tc>
        <w:tc>
          <w:tcPr>
            <w:tcW w:type="dxa" w:w="3248"/>
            <w:shd w:val="clear" w:color="auto" w:fill="F4F7F9"/>
          </w:tcPr>
          <w:p>
            <w:pPr>
              <w:spacing w:after="40"/>
            </w:pPr>
            <w:r/>
            <w:r>
              <w:rPr>
                <w:sz w:val="18"/>
              </w:rPr>
              <w:t>Couverture, déterminisme, fixtures, non-régression</w:t>
            </w:r>
          </w:p>
        </w:tc>
        <w:tc>
          <w:tcPr>
            <w:tcW w:type="dxa" w:w="3248"/>
            <w:shd w:val="clear" w:color="auto" w:fill="F4F7F9"/>
          </w:tcPr>
          <w:p>
            <w:pPr>
              <w:spacing w:after="40"/>
            </w:pPr>
            <w:r/>
            <w:r>
              <w:rPr>
                <w:sz w:val="18"/>
              </w:rPr>
              <w:t>VIII</w:t>
            </w:r>
          </w:p>
        </w:tc>
      </w:tr>
      <w:tr>
        <w:tc>
          <w:tcPr>
            <w:tcW w:type="dxa" w:w="3248"/>
          </w:tcPr>
          <w:p>
            <w:pPr>
              <w:spacing w:after="40"/>
            </w:pPr>
            <w:r/>
            <w:r>
              <w:rPr>
                <w:sz w:val="18"/>
              </w:rPr>
              <w:t>AC-9.1 à AC-9.6</w:t>
            </w:r>
          </w:p>
        </w:tc>
        <w:tc>
          <w:tcPr>
            <w:tcW w:type="dxa" w:w="3248"/>
          </w:tcPr>
          <w:p>
            <w:pPr>
              <w:spacing w:after="40"/>
            </w:pPr>
            <w:r/>
            <w:r>
              <w:rPr>
                <w:sz w:val="18"/>
              </w:rPr>
              <w:t>Gouvernance, dépréciation, survie du corpus</w:t>
            </w:r>
          </w:p>
        </w:tc>
        <w:tc>
          <w:tcPr>
            <w:tcW w:type="dxa" w:w="3248"/>
          </w:tcPr>
          <w:p>
            <w:pPr>
              <w:spacing w:after="40"/>
            </w:pPr>
            <w:r/>
            <w:r>
              <w:rPr>
                <w:sz w:val="18"/>
              </w:rPr>
              <w:t>IX</w:t>
            </w:r>
          </w:p>
        </w:tc>
      </w:tr>
    </w:tbl>
    <w:p/>
    <w:p>
      <w:pPr>
        <w:jc w:val="both"/>
      </w:pPr>
      <w:r>
        <w:t xml:space="preserve">Total : </w:t>
      </w:r>
      <w:r>
        <w:rPr>
          <w:b/>
        </w:rPr>
        <w:t>53 critères d'acceptation</w:t>
      </w:r>
      <w:r>
        <w:t>, tous reliés à des tests nommés par la table de couverture du Volume VIII, section 11.3.</w:t>
      </w:r>
    </w:p>
    <w:p>
      <w:pPr>
        <w:pStyle w:val="Heading1"/>
      </w:pPr>
      <w:r>
        <w:t>Annexe B — Index des invariants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Réf.</w:t>
            </w:r>
          </w:p>
        </w:tc>
        <w:tc>
          <w:tcPr>
            <w:tcW w:type="dxa" w:w="3248"/>
            <w:shd w:val="clear" w:color="auto" w:fill="0B3D5B"/>
          </w:tcPr>
          <w:p>
            <w:pPr>
              <w:spacing w:after="40"/>
            </w:pPr>
            <w:r/>
            <w:r>
              <w:rPr>
                <w:b/>
                <w:color w:val="FFFFFF"/>
                <w:sz w:val="18"/>
              </w:rPr>
              <w:t>Invariant</w:t>
            </w:r>
          </w:p>
        </w:tc>
        <w:tc>
          <w:tcPr>
            <w:tcW w:type="dxa" w:w="3248"/>
            <w:shd w:val="clear" w:color="auto" w:fill="0B3D5B"/>
          </w:tcPr>
          <w:p>
            <w:pPr>
              <w:spacing w:after="40"/>
            </w:pPr>
            <w:r/>
            <w:r>
              <w:rPr>
                <w:b/>
                <w:color w:val="FFFFFF"/>
                <w:sz w:val="18"/>
              </w:rPr>
              <w:t>Volume</w:t>
            </w:r>
          </w:p>
        </w:tc>
      </w:tr>
      <w:tr>
        <w:tc>
          <w:tcPr>
            <w:tcW w:type="dxa" w:w="3248"/>
          </w:tcPr>
          <w:p>
            <w:pPr>
              <w:spacing w:after="40"/>
            </w:pPr>
            <w:r/>
            <w:r>
              <w:rPr>
                <w:sz w:val="18"/>
              </w:rPr>
              <w:t>I-1</w:t>
            </w:r>
          </w:p>
        </w:tc>
        <w:tc>
          <w:tcPr>
            <w:tcW w:type="dxa" w:w="3248"/>
          </w:tcPr>
          <w:p>
            <w:pPr>
              <w:spacing w:after="40"/>
            </w:pPr>
            <w:r/>
            <w:r>
              <w:rPr>
                <w:sz w:val="18"/>
              </w:rPr>
              <w:t>Immuabilité du contenu stocké</w:t>
            </w:r>
          </w:p>
        </w:tc>
        <w:tc>
          <w:tcPr>
            <w:tcW w:type="dxa" w:w="3248"/>
          </w:tcPr>
          <w:p>
            <w:pPr>
              <w:spacing w:after="40"/>
            </w:pPr>
            <w:r/>
            <w:r>
              <w:rPr>
                <w:sz w:val="18"/>
              </w:rPr>
              <w:t>IV</w:t>
            </w:r>
          </w:p>
        </w:tc>
      </w:tr>
      <w:tr>
        <w:tc>
          <w:tcPr>
            <w:tcW w:type="dxa" w:w="3248"/>
            <w:shd w:val="clear" w:color="auto" w:fill="F4F7F9"/>
          </w:tcPr>
          <w:p>
            <w:pPr>
              <w:spacing w:after="40"/>
            </w:pPr>
            <w:r/>
            <w:r>
              <w:rPr>
                <w:sz w:val="18"/>
              </w:rPr>
              <w:t>I-2</w:t>
            </w:r>
          </w:p>
        </w:tc>
        <w:tc>
          <w:tcPr>
            <w:tcW w:type="dxa" w:w="3248"/>
            <w:shd w:val="clear" w:color="auto" w:fill="F4F7F9"/>
          </w:tcPr>
          <w:p>
            <w:pPr>
              <w:spacing w:after="40"/>
            </w:pPr>
            <w:r/>
            <w:r>
              <w:rPr>
                <w:sz w:val="18"/>
              </w:rPr>
              <w:t>Atomicité de l'écriture</w:t>
            </w:r>
          </w:p>
        </w:tc>
        <w:tc>
          <w:tcPr>
            <w:tcW w:type="dxa" w:w="3248"/>
            <w:shd w:val="clear" w:color="auto" w:fill="F4F7F9"/>
          </w:tcPr>
          <w:p>
            <w:pPr>
              <w:spacing w:after="40"/>
            </w:pPr>
            <w:r/>
            <w:r>
              <w:rPr>
                <w:sz w:val="18"/>
              </w:rPr>
              <w:t>IV</w:t>
            </w:r>
          </w:p>
        </w:tc>
      </w:tr>
      <w:tr>
        <w:tc>
          <w:tcPr>
            <w:tcW w:type="dxa" w:w="3248"/>
          </w:tcPr>
          <w:p>
            <w:pPr>
              <w:spacing w:after="40"/>
            </w:pPr>
            <w:r/>
            <w:r>
              <w:rPr>
                <w:sz w:val="18"/>
              </w:rPr>
              <w:t>I-3</w:t>
            </w:r>
          </w:p>
        </w:tc>
        <w:tc>
          <w:tcPr>
            <w:tcW w:type="dxa" w:w="3248"/>
          </w:tcPr>
          <w:p>
            <w:pPr>
              <w:spacing w:after="40"/>
            </w:pPr>
            <w:r/>
            <w:r>
              <w:rPr>
                <w:sz w:val="18"/>
              </w:rPr>
              <w:t>Vérifiabilité par empreinte</w:t>
            </w:r>
          </w:p>
        </w:tc>
        <w:tc>
          <w:tcPr>
            <w:tcW w:type="dxa" w:w="3248"/>
          </w:tcPr>
          <w:p>
            <w:pPr>
              <w:spacing w:after="40"/>
            </w:pPr>
            <w:r/>
            <w:r>
              <w:rPr>
                <w:sz w:val="18"/>
              </w:rPr>
              <w:t>IV</w:t>
            </w:r>
          </w:p>
        </w:tc>
      </w:tr>
      <w:tr>
        <w:tc>
          <w:tcPr>
            <w:tcW w:type="dxa" w:w="3248"/>
            <w:shd w:val="clear" w:color="auto" w:fill="F4F7F9"/>
          </w:tcPr>
          <w:p>
            <w:pPr>
              <w:spacing w:after="40"/>
            </w:pPr>
            <w:r/>
            <w:r>
              <w:rPr>
                <w:sz w:val="18"/>
              </w:rPr>
              <w:t>I-4</w:t>
            </w:r>
          </w:p>
        </w:tc>
        <w:tc>
          <w:tcPr>
            <w:tcW w:type="dxa" w:w="3248"/>
            <w:shd w:val="clear" w:color="auto" w:fill="F4F7F9"/>
          </w:tcPr>
          <w:p>
            <w:pPr>
              <w:spacing w:after="40"/>
            </w:pPr>
            <w:r/>
            <w:r>
              <w:rPr>
                <w:sz w:val="18"/>
              </w:rPr>
              <w:t>Auto-description du magasin</w:t>
            </w:r>
          </w:p>
        </w:tc>
        <w:tc>
          <w:tcPr>
            <w:tcW w:type="dxa" w:w="3248"/>
            <w:shd w:val="clear" w:color="auto" w:fill="F4F7F9"/>
          </w:tcPr>
          <w:p>
            <w:pPr>
              <w:spacing w:after="40"/>
            </w:pPr>
            <w:r/>
            <w:r>
              <w:rPr>
                <w:sz w:val="18"/>
              </w:rPr>
              <w:t>IV</w:t>
            </w:r>
          </w:p>
        </w:tc>
      </w:tr>
      <w:tr>
        <w:tc>
          <w:tcPr>
            <w:tcW w:type="dxa" w:w="3248"/>
          </w:tcPr>
          <w:p>
            <w:pPr>
              <w:spacing w:after="40"/>
            </w:pPr>
            <w:r/>
            <w:r>
              <w:rPr>
                <w:sz w:val="18"/>
              </w:rPr>
              <w:t>I-5</w:t>
            </w:r>
          </w:p>
        </w:tc>
        <w:tc>
          <w:tcPr>
            <w:tcW w:type="dxa" w:w="3248"/>
          </w:tcPr>
          <w:p>
            <w:pPr>
              <w:spacing w:after="40"/>
            </w:pPr>
            <w:r/>
            <w:r>
              <w:rPr>
                <w:sz w:val="18"/>
              </w:rPr>
              <w:t>Traçabilité de toute écriture</w:t>
            </w:r>
          </w:p>
        </w:tc>
        <w:tc>
          <w:tcPr>
            <w:tcW w:type="dxa" w:w="3248"/>
          </w:tcPr>
          <w:p>
            <w:pPr>
              <w:spacing w:after="40"/>
            </w:pPr>
            <w:r/>
            <w:r>
              <w:rPr>
                <w:sz w:val="18"/>
              </w:rPr>
              <w:t>IV</w:t>
            </w:r>
          </w:p>
        </w:tc>
      </w:tr>
      <w:tr>
        <w:tc>
          <w:tcPr>
            <w:tcW w:type="dxa" w:w="3248"/>
            <w:shd w:val="clear" w:color="auto" w:fill="F4F7F9"/>
          </w:tcPr>
          <w:p>
            <w:pPr>
              <w:spacing w:after="40"/>
            </w:pPr>
            <w:r/>
            <w:r>
              <w:rPr>
                <w:sz w:val="18"/>
              </w:rPr>
              <w:t>I-6</w:t>
            </w:r>
          </w:p>
        </w:tc>
        <w:tc>
          <w:tcPr>
            <w:tcW w:type="dxa" w:w="3248"/>
            <w:shd w:val="clear" w:color="auto" w:fill="F4F7F9"/>
          </w:tcPr>
          <w:p>
            <w:pPr>
              <w:spacing w:after="40"/>
            </w:pPr>
            <w:r/>
            <w:r>
              <w:rPr>
                <w:sz w:val="18"/>
              </w:rPr>
              <w:t>Non-destruction par les opérations courantes</w:t>
            </w:r>
          </w:p>
        </w:tc>
        <w:tc>
          <w:tcPr>
            <w:tcW w:type="dxa" w:w="3248"/>
            <w:shd w:val="clear" w:color="auto" w:fill="F4F7F9"/>
          </w:tcPr>
          <w:p>
            <w:pPr>
              <w:spacing w:after="40"/>
            </w:pPr>
            <w:r/>
            <w:r>
              <w:rPr>
                <w:sz w:val="18"/>
              </w:rPr>
              <w:t>IV</w:t>
            </w:r>
          </w:p>
        </w:tc>
      </w:tr>
      <w:tr>
        <w:tc>
          <w:tcPr>
            <w:tcW w:type="dxa" w:w="3248"/>
          </w:tcPr>
          <w:p>
            <w:pPr>
              <w:spacing w:after="40"/>
            </w:pPr>
            <w:r/>
            <w:r>
              <w:rPr>
                <w:sz w:val="18"/>
              </w:rPr>
              <w:t>I-7</w:t>
            </w:r>
          </w:p>
        </w:tc>
        <w:tc>
          <w:tcPr>
            <w:tcW w:type="dxa" w:w="3248"/>
          </w:tcPr>
          <w:p>
            <w:pPr>
              <w:spacing w:after="40"/>
            </w:pPr>
            <w:r/>
            <w:r>
              <w:rPr>
                <w:sz w:val="18"/>
              </w:rPr>
              <w:t>Portabilité de la disposition physique</w:t>
            </w:r>
          </w:p>
        </w:tc>
        <w:tc>
          <w:tcPr>
            <w:tcW w:type="dxa" w:w="3248"/>
          </w:tcPr>
          <w:p>
            <w:pPr>
              <w:spacing w:after="40"/>
            </w:pPr>
            <w:r/>
            <w:r>
              <w:rPr>
                <w:sz w:val="18"/>
              </w:rPr>
              <w:t>IV</w:t>
            </w:r>
          </w:p>
        </w:tc>
      </w:tr>
      <w:tr>
        <w:tc>
          <w:tcPr>
            <w:tcW w:type="dxa" w:w="3248"/>
            <w:shd w:val="clear" w:color="auto" w:fill="F4F7F9"/>
          </w:tcPr>
          <w:p>
            <w:pPr>
              <w:spacing w:after="40"/>
            </w:pPr>
            <w:r/>
            <w:r>
              <w:rPr>
                <w:sz w:val="18"/>
              </w:rPr>
              <w:t>R-1</w:t>
            </w:r>
          </w:p>
        </w:tc>
        <w:tc>
          <w:tcPr>
            <w:tcW w:type="dxa" w:w="3248"/>
            <w:shd w:val="clear" w:color="auto" w:fill="F4F7F9"/>
          </w:tcPr>
          <w:p>
            <w:pPr>
              <w:spacing w:after="40"/>
            </w:pPr>
            <w:r/>
            <w:r>
              <w:rPr>
                <w:sz w:val="18"/>
              </w:rPr>
              <w:t>Le pipeline n'écrit jamais dans le Content Store</w:t>
            </w:r>
          </w:p>
        </w:tc>
        <w:tc>
          <w:tcPr>
            <w:tcW w:type="dxa" w:w="3248"/>
            <w:shd w:val="clear" w:color="auto" w:fill="F4F7F9"/>
          </w:tcPr>
          <w:p>
            <w:pPr>
              <w:spacing w:after="40"/>
            </w:pPr>
            <w:r/>
            <w:r>
              <w:rPr>
                <w:sz w:val="18"/>
              </w:rPr>
              <w:t>V</w:t>
            </w:r>
          </w:p>
        </w:tc>
      </w:tr>
      <w:tr>
        <w:tc>
          <w:tcPr>
            <w:tcW w:type="dxa" w:w="3248"/>
          </w:tcPr>
          <w:p>
            <w:pPr>
              <w:spacing w:after="40"/>
            </w:pPr>
            <w:r/>
            <w:r>
              <w:rPr>
                <w:sz w:val="18"/>
              </w:rPr>
              <w:t>R-2</w:t>
            </w:r>
          </w:p>
        </w:tc>
        <w:tc>
          <w:tcPr>
            <w:tcW w:type="dxa" w:w="3248"/>
          </w:tcPr>
          <w:p>
            <w:pPr>
              <w:spacing w:after="40"/>
            </w:pPr>
            <w:r/>
            <w:r>
              <w:rPr>
                <w:sz w:val="18"/>
              </w:rPr>
              <w:t>Tout artefact dérivé est reconstructible</w:t>
            </w:r>
          </w:p>
        </w:tc>
        <w:tc>
          <w:tcPr>
            <w:tcW w:type="dxa" w:w="3248"/>
          </w:tcPr>
          <w:p>
            <w:pPr>
              <w:spacing w:after="40"/>
            </w:pPr>
            <w:r/>
            <w:r>
              <w:rPr>
                <w:sz w:val="18"/>
              </w:rPr>
              <w:t>V</w:t>
            </w:r>
          </w:p>
        </w:tc>
      </w:tr>
      <w:tr>
        <w:tc>
          <w:tcPr>
            <w:tcW w:type="dxa" w:w="3248"/>
            <w:shd w:val="clear" w:color="auto" w:fill="F4F7F9"/>
          </w:tcPr>
          <w:p>
            <w:pPr>
              <w:spacing w:after="40"/>
            </w:pPr>
            <w:r/>
            <w:r>
              <w:rPr>
                <w:sz w:val="18"/>
              </w:rPr>
              <w:t>R-3</w:t>
            </w:r>
          </w:p>
        </w:tc>
        <w:tc>
          <w:tcPr>
            <w:tcW w:type="dxa" w:w="3248"/>
            <w:shd w:val="clear" w:color="auto" w:fill="F4F7F9"/>
          </w:tcPr>
          <w:p>
            <w:pPr>
              <w:spacing w:after="40"/>
            </w:pPr>
            <w:r/>
            <w:r>
              <w:rPr>
                <w:sz w:val="18"/>
              </w:rPr>
              <w:t>Un échec de traitement n'affecte pas la collecte</w:t>
            </w:r>
          </w:p>
        </w:tc>
        <w:tc>
          <w:tcPr>
            <w:tcW w:type="dxa" w:w="3248"/>
            <w:shd w:val="clear" w:color="auto" w:fill="F4F7F9"/>
          </w:tcPr>
          <w:p>
            <w:pPr>
              <w:spacing w:after="40"/>
            </w:pPr>
            <w:r/>
            <w:r>
              <w:rPr>
                <w:sz w:val="18"/>
              </w:rPr>
              <w:t>V</w:t>
            </w:r>
          </w:p>
        </w:tc>
      </w:tr>
      <w:tr>
        <w:tc>
          <w:tcPr>
            <w:tcW w:type="dxa" w:w="3248"/>
          </w:tcPr>
          <w:p>
            <w:pPr>
              <w:spacing w:after="40"/>
            </w:pPr>
            <w:r/>
            <w:r>
              <w:rPr>
                <w:sz w:val="18"/>
              </w:rPr>
              <w:t>R-4</w:t>
            </w:r>
          </w:p>
        </w:tc>
        <w:tc>
          <w:tcPr>
            <w:tcW w:type="dxa" w:w="3248"/>
          </w:tcPr>
          <w:p>
            <w:pPr>
              <w:spacing w:after="40"/>
            </w:pPr>
            <w:r/>
            <w:r>
              <w:rPr>
                <w:sz w:val="18"/>
              </w:rPr>
              <w:t>Le pipeline n'interprète jamais le sens juridique</w:t>
            </w:r>
          </w:p>
        </w:tc>
        <w:tc>
          <w:tcPr>
            <w:tcW w:type="dxa" w:w="3248"/>
          </w:tcPr>
          <w:p>
            <w:pPr>
              <w:spacing w:after="40"/>
            </w:pPr>
            <w:r/>
            <w:r>
              <w:rPr>
                <w:sz w:val="18"/>
              </w:rPr>
              <w:t>V</w:t>
            </w:r>
          </w:p>
        </w:tc>
      </w:tr>
    </w:tbl>
    <w:p/>
    <w:p>
      <w:pPr>
        <w:pStyle w:val="Heading1"/>
      </w:pPr>
      <w:r>
        <w:t>Annexe C — Glossaire</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Terme</w:t>
            </w:r>
          </w:p>
        </w:tc>
        <w:tc>
          <w:tcPr>
            <w:tcW w:type="dxa" w:w="4872"/>
            <w:shd w:val="clear" w:color="auto" w:fill="0B3D5B"/>
          </w:tcPr>
          <w:p>
            <w:pPr>
              <w:spacing w:after="40"/>
            </w:pPr>
            <w:r/>
            <w:r>
              <w:rPr>
                <w:b/>
                <w:color w:val="FFFFFF"/>
                <w:sz w:val="18"/>
              </w:rPr>
              <w:t>Définition</w:t>
            </w:r>
          </w:p>
        </w:tc>
      </w:tr>
      <w:tr>
        <w:tc>
          <w:tcPr>
            <w:tcW w:type="dxa" w:w="4872"/>
          </w:tcPr>
          <w:p>
            <w:pPr>
              <w:spacing w:after="40"/>
            </w:pPr>
            <w:r/>
            <w:r>
              <w:rPr>
                <w:sz w:val="18"/>
              </w:rPr>
              <w:t>ADR</w:t>
            </w:r>
          </w:p>
        </w:tc>
        <w:tc>
          <w:tcPr>
            <w:tcW w:type="dxa" w:w="4872"/>
          </w:tcPr>
          <w:p>
            <w:pPr>
              <w:spacing w:after="40"/>
            </w:pPr>
            <w:r/>
            <w:r>
              <w:rPr>
                <w:sz w:val="18"/>
              </w:rPr>
              <w:t>Architecture Decision Record — décision consignée, immuable</w:t>
            </w:r>
          </w:p>
        </w:tc>
      </w:tr>
      <w:tr>
        <w:tc>
          <w:tcPr>
            <w:tcW w:type="dxa" w:w="4872"/>
            <w:shd w:val="clear" w:color="auto" w:fill="F4F7F9"/>
          </w:tcPr>
          <w:p>
            <w:pPr>
              <w:spacing w:after="40"/>
            </w:pPr>
            <w:r/>
            <w:r>
              <w:rPr>
                <w:sz w:val="18"/>
              </w:rPr>
              <w:t>Artefact dérivé</w:t>
            </w:r>
          </w:p>
        </w:tc>
        <w:tc>
          <w:tcPr>
            <w:tcW w:type="dxa" w:w="4872"/>
            <w:shd w:val="clear" w:color="auto" w:fill="F4F7F9"/>
          </w:tcPr>
          <w:p>
            <w:pPr>
              <w:spacing w:after="40"/>
            </w:pPr>
            <w:r/>
            <w:r>
              <w:rPr>
                <w:sz w:val="18"/>
              </w:rPr>
              <w:t>Produit du pipeline, toujours reconstructible</w:t>
            </w:r>
          </w:p>
        </w:tc>
      </w:tr>
      <w:tr>
        <w:tc>
          <w:tcPr>
            <w:tcW w:type="dxa" w:w="4872"/>
          </w:tcPr>
          <w:p>
            <w:pPr>
              <w:spacing w:after="40"/>
            </w:pPr>
            <w:r/>
            <w:r>
              <w:rPr>
                <w:sz w:val="18"/>
              </w:rPr>
              <w:t>Attente</w:t>
            </w:r>
          </w:p>
        </w:tc>
        <w:tc>
          <w:tcPr>
            <w:tcW w:type="dxa" w:w="4872"/>
          </w:tcPr>
          <w:p>
            <w:pPr>
              <w:spacing w:after="40"/>
            </w:pPr>
            <w:r/>
            <w:r>
              <w:rPr>
                <w:sz w:val="18"/>
              </w:rPr>
              <w:t>Comportement déclaré d'une source, servant de référence d'alerte</w:t>
            </w:r>
          </w:p>
        </w:tc>
      </w:tr>
      <w:tr>
        <w:tc>
          <w:tcPr>
            <w:tcW w:type="dxa" w:w="4872"/>
            <w:shd w:val="clear" w:color="auto" w:fill="F4F7F9"/>
          </w:tcPr>
          <w:p>
            <w:pPr>
              <w:spacing w:after="40"/>
            </w:pPr>
            <w:r/>
            <w:r>
              <w:rPr>
                <w:sz w:val="18"/>
              </w:rPr>
              <w:t>CAS</w:t>
            </w:r>
          </w:p>
        </w:tc>
        <w:tc>
          <w:tcPr>
            <w:tcW w:type="dxa" w:w="4872"/>
            <w:shd w:val="clear" w:color="auto" w:fill="F4F7F9"/>
          </w:tcPr>
          <w:p>
            <w:pPr>
              <w:spacing w:after="40"/>
            </w:pPr>
            <w:r/>
            <w:r>
              <w:rPr>
                <w:sz w:val="18"/>
              </w:rPr>
              <w:t>Content-Addressable Store — magasin adressé par empreinte</w:t>
            </w:r>
          </w:p>
        </w:tc>
      </w:tr>
      <w:tr>
        <w:tc>
          <w:tcPr>
            <w:tcW w:type="dxa" w:w="4872"/>
          </w:tcPr>
          <w:p>
            <w:pPr>
              <w:spacing w:after="40"/>
            </w:pPr>
            <w:r/>
            <w:r>
              <w:rPr>
                <w:sz w:val="18"/>
              </w:rPr>
              <w:t>Content Store</w:t>
            </w:r>
          </w:p>
        </w:tc>
        <w:tc>
          <w:tcPr>
            <w:tcW w:type="dxa" w:w="4872"/>
          </w:tcPr>
          <w:p>
            <w:pPr>
              <w:spacing w:after="40"/>
            </w:pPr>
            <w:r/>
            <w:r>
              <w:rPr>
                <w:sz w:val="18"/>
              </w:rPr>
              <w:t>Magasin des octets originaux, immuable</w:t>
            </w:r>
          </w:p>
        </w:tc>
      </w:tr>
      <w:tr>
        <w:tc>
          <w:tcPr>
            <w:tcW w:type="dxa" w:w="4872"/>
            <w:shd w:val="clear" w:color="auto" w:fill="F4F7F9"/>
          </w:tcPr>
          <w:p>
            <w:pPr>
              <w:spacing w:after="40"/>
            </w:pPr>
            <w:r/>
            <w:r>
              <w:rPr>
                <w:sz w:val="18"/>
              </w:rPr>
              <w:t>ContentObject</w:t>
            </w:r>
          </w:p>
        </w:tc>
        <w:tc>
          <w:tcPr>
            <w:tcW w:type="dxa" w:w="4872"/>
            <w:shd w:val="clear" w:color="auto" w:fill="F4F7F9"/>
          </w:tcPr>
          <w:p>
            <w:pPr>
              <w:spacing w:after="40"/>
            </w:pPr>
            <w:r/>
            <w:r>
              <w:rPr>
                <w:sz w:val="18"/>
              </w:rPr>
              <w:t>Suite d'octets identifiée par son empreinte</w:t>
            </w:r>
          </w:p>
        </w:tc>
      </w:tr>
      <w:tr>
        <w:tc>
          <w:tcPr>
            <w:tcW w:type="dxa" w:w="4872"/>
          </w:tcPr>
          <w:p>
            <w:pPr>
              <w:spacing w:after="40"/>
            </w:pPr>
            <w:r/>
            <w:r>
              <w:rPr>
                <w:sz w:val="18"/>
              </w:rPr>
              <w:t>DocumentRef</w:t>
            </w:r>
          </w:p>
        </w:tc>
        <w:tc>
          <w:tcPr>
            <w:tcW w:type="dxa" w:w="4872"/>
          </w:tcPr>
          <w:p>
            <w:pPr>
              <w:spacing w:after="40"/>
            </w:pPr>
            <w:r/>
            <w:r>
              <w:rPr>
                <w:sz w:val="18"/>
              </w:rPr>
              <w:t>Descripteur produit par un plugin lors de la découverte</w:t>
            </w:r>
          </w:p>
        </w:tc>
      </w:tr>
      <w:tr>
        <w:tc>
          <w:tcPr>
            <w:tcW w:type="dxa" w:w="4872"/>
            <w:shd w:val="clear" w:color="auto" w:fill="F4F7F9"/>
          </w:tcPr>
          <w:p>
            <w:pPr>
              <w:spacing w:after="40"/>
            </w:pPr>
            <w:r/>
            <w:r>
              <w:rPr>
                <w:sz w:val="18"/>
              </w:rPr>
              <w:t>FetchPlan</w:t>
            </w:r>
          </w:p>
        </w:tc>
        <w:tc>
          <w:tcPr>
            <w:tcW w:type="dxa" w:w="4872"/>
            <w:shd w:val="clear" w:color="auto" w:fill="F4F7F9"/>
          </w:tcPr>
          <w:p>
            <w:pPr>
              <w:spacing w:after="40"/>
            </w:pPr>
            <w:r/>
            <w:r>
              <w:rPr>
                <w:sz w:val="18"/>
              </w:rPr>
              <w:t>Instruction déclarative de récupération, exécutée par le Kernel</w:t>
            </w:r>
          </w:p>
        </w:tc>
      </w:tr>
      <w:tr>
        <w:tc>
          <w:tcPr>
            <w:tcW w:type="dxa" w:w="4872"/>
          </w:tcPr>
          <w:p>
            <w:pPr>
              <w:spacing w:after="40"/>
            </w:pPr>
            <w:r/>
            <w:r>
              <w:rPr>
                <w:sz w:val="18"/>
              </w:rPr>
              <w:t>Kernel</w:t>
            </w:r>
          </w:p>
        </w:tc>
        <w:tc>
          <w:tcPr>
            <w:tcW w:type="dxa" w:w="4872"/>
          </w:tcPr>
          <w:p>
            <w:pPr>
              <w:spacing w:after="40"/>
            </w:pPr>
            <w:r/>
            <w:r>
              <w:rPr>
                <w:sz w:val="18"/>
              </w:rPr>
              <w:t>Noyau du Framework, ignorant de toute source</w:t>
            </w:r>
          </w:p>
        </w:tc>
      </w:tr>
      <w:tr>
        <w:tc>
          <w:tcPr>
            <w:tcW w:type="dxa" w:w="4872"/>
            <w:shd w:val="clear" w:color="auto" w:fill="F4F7F9"/>
          </w:tcPr>
          <w:p>
            <w:pPr>
              <w:spacing w:after="40"/>
            </w:pPr>
            <w:r/>
            <w:r>
              <w:rPr>
                <w:sz w:val="18"/>
              </w:rPr>
              <w:t>nativeId</w:t>
            </w:r>
          </w:p>
        </w:tc>
        <w:tc>
          <w:tcPr>
            <w:tcW w:type="dxa" w:w="4872"/>
            <w:shd w:val="clear" w:color="auto" w:fill="F4F7F9"/>
          </w:tcPr>
          <w:p>
            <w:pPr>
              <w:spacing w:after="40"/>
            </w:pPr>
            <w:r/>
            <w:r>
              <w:rPr>
                <w:sz w:val="18"/>
              </w:rPr>
              <w:t>Identifiant stable d'un document dans sa source</w:t>
            </w:r>
          </w:p>
        </w:tc>
      </w:tr>
      <w:tr>
        <w:tc>
          <w:tcPr>
            <w:tcW w:type="dxa" w:w="4872"/>
          </w:tcPr>
          <w:p>
            <w:pPr>
              <w:spacing w:after="40"/>
            </w:pPr>
            <w:r/>
            <w:r>
              <w:rPr>
                <w:sz w:val="18"/>
              </w:rPr>
              <w:t>Palier</w:t>
            </w:r>
          </w:p>
        </w:tc>
        <w:tc>
          <w:tcPr>
            <w:tcW w:type="dxa" w:w="4872"/>
          </w:tcPr>
          <w:p>
            <w:pPr>
              <w:spacing w:after="40"/>
            </w:pPr>
            <w:r/>
            <w:r>
              <w:rPr>
                <w:sz w:val="18"/>
              </w:rPr>
              <w:t>Étape de la feuille de route, avec critères de sortie</w:t>
            </w:r>
          </w:p>
        </w:tc>
      </w:tr>
      <w:tr>
        <w:tc>
          <w:tcPr>
            <w:tcW w:type="dxa" w:w="4872"/>
            <w:shd w:val="clear" w:color="auto" w:fill="F4F7F9"/>
          </w:tcPr>
          <w:p>
            <w:pPr>
              <w:spacing w:after="40"/>
            </w:pPr>
            <w:r/>
            <w:r>
              <w:rPr>
                <w:sz w:val="18"/>
              </w:rPr>
              <w:t>Pierre tombale</w:t>
            </w:r>
          </w:p>
        </w:tc>
        <w:tc>
          <w:tcPr>
            <w:tcW w:type="dxa" w:w="4872"/>
            <w:shd w:val="clear" w:color="auto" w:fill="F4F7F9"/>
          </w:tcPr>
          <w:p>
            <w:pPr>
              <w:spacing w:after="40"/>
            </w:pPr>
            <w:r/>
            <w:r>
              <w:rPr>
                <w:sz w:val="18"/>
              </w:rPr>
              <w:t>Trace d'une suppression, conservée à la place du contenu</w:t>
            </w:r>
          </w:p>
        </w:tc>
      </w:tr>
      <w:tr>
        <w:tc>
          <w:tcPr>
            <w:tcW w:type="dxa" w:w="4872"/>
          </w:tcPr>
          <w:p>
            <w:pPr>
              <w:spacing w:after="40"/>
            </w:pPr>
            <w:r/>
            <w:r>
              <w:rPr>
                <w:sz w:val="18"/>
              </w:rPr>
              <w:t>Quarantaine</w:t>
            </w:r>
          </w:p>
        </w:tc>
        <w:tc>
          <w:tcPr>
            <w:tcW w:type="dxa" w:w="4872"/>
          </w:tcPr>
          <w:p>
            <w:pPr>
              <w:spacing w:after="40"/>
            </w:pPr>
            <w:r/>
            <w:r>
              <w:rPr>
                <w:sz w:val="18"/>
              </w:rPr>
              <w:t>Suspension d'une source après panne, sans perte de données</w:t>
            </w:r>
          </w:p>
        </w:tc>
      </w:tr>
      <w:tr>
        <w:tc>
          <w:tcPr>
            <w:tcW w:type="dxa" w:w="4872"/>
            <w:shd w:val="clear" w:color="auto" w:fill="F4F7F9"/>
          </w:tcPr>
          <w:p>
            <w:pPr>
              <w:spacing w:after="40"/>
            </w:pPr>
            <w:r/>
            <w:r>
              <w:rPr>
                <w:sz w:val="18"/>
              </w:rPr>
              <w:t>Version (document)</w:t>
            </w:r>
          </w:p>
        </w:tc>
        <w:tc>
          <w:tcPr>
            <w:tcW w:type="dxa" w:w="4872"/>
            <w:shd w:val="clear" w:color="auto" w:fill="F4F7F9"/>
          </w:tcPr>
          <w:p>
            <w:pPr>
              <w:spacing w:after="40"/>
            </w:pPr>
            <w:r/>
            <w:r>
              <w:rPr>
                <w:sz w:val="18"/>
              </w:rPr>
              <w:t>État daté du contenu d'un document</w:t>
            </w:r>
          </w:p>
        </w:tc>
      </w:tr>
    </w:tbl>
    <w:p/>
    <w:sectPr w:rsidR="00FC693F" w:rsidRPr="0006063C" w:rsidSect="00034616">
      <w:footerReference w:type="default" r:id="rId9"/>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LCF - Software Architecture Specification - VOLUME IX — Governance, Roadmap &amp; Decision Records - 0.9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3D5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3D5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6C8F"/>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B6C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