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3D5B"/>
          <w:sz w:val="56"/>
        </w:rPr>
        <w:t>Legal Collection Framework</w:t>
      </w:r>
    </w:p>
    <w:p>
      <w:pPr>
        <w:jc w:val="center"/>
      </w:pPr>
      <w:r>
        <w:rPr>
          <w:color w:val="1B6C8F"/>
          <w:sz w:val="28"/>
        </w:rPr>
        <w:t>Software Architecture Specification</w:t>
      </w:r>
    </w:p>
    <w:p/>
    <w:p>
      <w:pPr>
        <w:jc w:val="center"/>
      </w:pPr>
      <w:r>
        <w:rPr>
          <w:b/>
          <w:sz w:val="36"/>
        </w:rPr>
        <w:t>VOLUME VI — Security, Compliance &amp; Trust Chain</w:t>
      </w:r>
    </w:p>
    <w:p/>
    <w:p/>
    <w:p/>
    <w:p/>
    <w:p/>
    <w:p/>
    <w:tbl>
      <w:tblPr>
        <w:tblW w:type="auto" w:w="0"/>
        <w:jc w:val="center"/>
        <w:tblLook w:firstColumn="1" w:firstRow="1" w:lastColumn="0" w:lastRow="0" w:noHBand="0" w:noVBand="1" w:val="04A0"/>
      </w:tblPr>
      <w:tblGrid>
        <w:gridCol w:w="4872"/>
        <w:gridCol w:w="4872"/>
      </w:tblGrid>
      <w:tr>
        <w:tc>
          <w:tcPr>
            <w:tcW w:type="dxa" w:w="4872"/>
          </w:tcPr>
          <w:p>
            <w:r>
              <w:rPr>
                <w:b/>
                <w:sz w:val="20"/>
              </w:rPr>
              <w:t>Document</w:t>
            </w:r>
          </w:p>
        </w:tc>
        <w:tc>
          <w:tcPr>
            <w:tcW w:type="dxa" w:w="4872"/>
          </w:tcPr>
          <w:p>
            <w:r>
              <w:rPr>
                <w:sz w:val="20"/>
              </w:rPr>
              <w:t>Software Architecture Specification (SAS)</w:t>
            </w:r>
          </w:p>
        </w:tc>
      </w:tr>
      <w:tr>
        <w:tc>
          <w:tcPr>
            <w:tcW w:type="dxa" w:w="4872"/>
          </w:tcPr>
          <w:p>
            <w:r>
              <w:rPr>
                <w:b/>
                <w:sz w:val="20"/>
              </w:rPr>
              <w:t>Projet</w:t>
            </w:r>
          </w:p>
        </w:tc>
        <w:tc>
          <w:tcPr>
            <w:tcW w:type="dxa" w:w="4872"/>
          </w:tcPr>
          <w:p>
            <w:r>
              <w:rPr>
                <w:sz w:val="20"/>
              </w:rPr>
              <w:t>Legal Collection Framework - LCF</w:t>
            </w:r>
          </w:p>
        </w:tc>
      </w:tr>
      <w:tr>
        <w:tc>
          <w:tcPr>
            <w:tcW w:type="dxa" w:w="4872"/>
          </w:tcPr>
          <w:p>
            <w:r>
              <w:rPr>
                <w:b/>
                <w:sz w:val="20"/>
              </w:rPr>
              <w:t>Version</w:t>
            </w:r>
          </w:p>
        </w:tc>
        <w:tc>
          <w:tcPr>
            <w:tcW w:type="dxa" w:w="4872"/>
          </w:tcPr>
          <w:p>
            <w:r>
              <w:rPr>
                <w:sz w:val="20"/>
              </w:rPr>
              <w:t>0.6 (Draft)</w:t>
            </w:r>
          </w:p>
        </w:tc>
      </w:tr>
      <w:tr>
        <w:tc>
          <w:tcPr>
            <w:tcW w:type="dxa" w:w="4872"/>
          </w:tcPr>
          <w:p>
            <w:r>
              <w:rPr>
                <w:b/>
                <w:sz w:val="20"/>
              </w:rPr>
              <w:t>Statut</w:t>
            </w:r>
          </w:p>
        </w:tc>
        <w:tc>
          <w:tcPr>
            <w:tcW w:type="dxa" w:w="4872"/>
          </w:tcPr>
          <w:p>
            <w:r>
              <w:rPr>
                <w:sz w:val="20"/>
              </w:rPr>
              <w:t>Architecture de reference</w:t>
            </w:r>
          </w:p>
        </w:tc>
      </w:tr>
      <w:tr>
        <w:tc>
          <w:tcPr>
            <w:tcW w:type="dxa" w:w="4872"/>
          </w:tcPr>
          <w:p>
            <w:r>
              <w:rPr>
                <w:b/>
                <w:sz w:val="20"/>
              </w:rPr>
              <w:t>Auteur</w:t>
            </w:r>
          </w:p>
        </w:tc>
        <w:tc>
          <w:tcPr>
            <w:tcW w:type="dxa" w:w="4872"/>
          </w:tcPr>
          <w:p>
            <w:r>
              <w:rPr>
                <w:sz w:val="20"/>
              </w:rPr>
              <w:t>Chief Software Architect</w:t>
            </w:r>
          </w:p>
        </w:tc>
      </w:tr>
      <w:tr>
        <w:tc>
          <w:tcPr>
            <w:tcW w:type="dxa" w:w="4872"/>
          </w:tcPr>
          <w:p>
            <w:r>
              <w:rPr>
                <w:b/>
                <w:sz w:val="20"/>
              </w:rPr>
              <w:t>Referentiel</w:t>
            </w:r>
          </w:p>
        </w:tc>
        <w:tc>
          <w:tcPr>
            <w:tcW w:type="dxa" w:w="4872"/>
          </w:tcPr>
          <w:p>
            <w:r>
              <w:rPr>
                <w:sz w:val="20"/>
              </w:rPr>
              <w:t>arc42 / C4 Model / ISO-IEC-IEEE 42010</w:t>
            </w:r>
          </w:p>
        </w:tc>
      </w:tr>
      <w:tr>
        <w:tc>
          <w:tcPr>
            <w:tcW w:type="dxa" w:w="4872"/>
          </w:tcPr>
          <w:p>
            <w:r>
              <w:rPr>
                <w:b/>
                <w:sz w:val="20"/>
              </w:rPr>
              <w:t>Audience</w:t>
            </w:r>
          </w:p>
        </w:tc>
        <w:tc>
          <w:tcPr>
            <w:tcW w:type="dxa" w:w="4872"/>
          </w:tcPr>
          <w:p>
            <w:r>
              <w:rPr>
                <w:sz w:val="20"/>
              </w:rPr>
              <w:t>Architectes, developpeurs, equipes IA, mainteneurs</w:t>
            </w:r>
          </w:p>
        </w:tc>
      </w:tr>
    </w:tbl>
    <w:p>
      <w:r>
        <w:br w:type="page"/>
      </w:r>
    </w:p>
    <w:p>
      <w:pPr>
        <w:pStyle w:val="Heading1"/>
      </w:pPr>
      <w:r>
        <w:t>Préambule du Volume VI</w:t>
      </w:r>
    </w:p>
    <w:p>
      <w:pPr>
        <w:jc w:val="both"/>
      </w:pPr>
      <w:r>
        <w:t>Un collecteur documentaire présente un profil de risque singulier. Il ingère en continu des données arbitraires provenant de serveurs qu'il ne contrôle pas, il exécute du code de plugins écrits par des tiers, et il constitue un corpus dont la valeur repose entièrement sur la confiance qu'on peut lui accorder.</w:t>
      </w:r>
    </w:p>
    <w:p>
      <w:pPr>
        <w:jc w:val="both"/>
      </w:pPr>
      <w:r>
        <w:t>Trois surfaces de risque, trois natures différentes :</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Surface</w:t>
            </w:r>
          </w:p>
        </w:tc>
        <w:tc>
          <w:tcPr>
            <w:tcW w:type="dxa" w:w="3248"/>
            <w:shd w:val="clear" w:color="auto" w:fill="0B3D5B"/>
          </w:tcPr>
          <w:p>
            <w:pPr>
              <w:spacing w:after="40"/>
            </w:pPr>
            <w:r/>
            <w:r>
              <w:rPr>
                <w:b/>
                <w:color w:val="FFFFFF"/>
                <w:sz w:val="18"/>
              </w:rPr>
              <w:t>Risque</w:t>
            </w:r>
          </w:p>
        </w:tc>
        <w:tc>
          <w:tcPr>
            <w:tcW w:type="dxa" w:w="3248"/>
            <w:shd w:val="clear" w:color="auto" w:fill="0B3D5B"/>
          </w:tcPr>
          <w:p>
            <w:pPr>
              <w:spacing w:after="40"/>
            </w:pPr>
            <w:r/>
            <w:r>
              <w:rPr>
                <w:b/>
                <w:color w:val="FFFFFF"/>
                <w:sz w:val="18"/>
              </w:rPr>
              <w:t>Réponse architecturale</w:t>
            </w:r>
          </w:p>
        </w:tc>
      </w:tr>
      <w:tr>
        <w:tc>
          <w:tcPr>
            <w:tcW w:type="dxa" w:w="3248"/>
          </w:tcPr>
          <w:p>
            <w:pPr>
              <w:spacing w:after="40"/>
            </w:pPr>
            <w:r/>
            <w:r>
              <w:rPr>
                <w:sz w:val="18"/>
              </w:rPr>
              <w:t>Contenu entrant</w:t>
            </w:r>
          </w:p>
        </w:tc>
        <w:tc>
          <w:tcPr>
            <w:tcW w:type="dxa" w:w="3248"/>
          </w:tcPr>
          <w:p>
            <w:pPr>
              <w:spacing w:after="40"/>
            </w:pPr>
            <w:r/>
            <w:r>
              <w:rPr>
                <w:sz w:val="18"/>
              </w:rPr>
              <w:t>Charge malveillante, épuisement de ressources</w:t>
            </w:r>
          </w:p>
        </w:tc>
        <w:tc>
          <w:tcPr>
            <w:tcW w:type="dxa" w:w="3248"/>
          </w:tcPr>
          <w:p>
            <w:pPr>
              <w:spacing w:after="40"/>
            </w:pPr>
            <w:r/>
            <w:r>
              <w:rPr>
                <w:sz w:val="18"/>
              </w:rPr>
              <w:t>Traitement défensif, isolement</w:t>
            </w:r>
          </w:p>
        </w:tc>
      </w:tr>
      <w:tr>
        <w:tc>
          <w:tcPr>
            <w:tcW w:type="dxa" w:w="3248"/>
            <w:shd w:val="clear" w:color="auto" w:fill="F4F7F9"/>
          </w:tcPr>
          <w:p>
            <w:pPr>
              <w:spacing w:after="40"/>
            </w:pPr>
            <w:r/>
            <w:r>
              <w:rPr>
                <w:sz w:val="18"/>
              </w:rPr>
              <w:t>Code de plugin</w:t>
            </w:r>
          </w:p>
        </w:tc>
        <w:tc>
          <w:tcPr>
            <w:tcW w:type="dxa" w:w="3248"/>
            <w:shd w:val="clear" w:color="auto" w:fill="F4F7F9"/>
          </w:tcPr>
          <w:p>
            <w:pPr>
              <w:spacing w:after="40"/>
            </w:pPr>
            <w:r/>
            <w:r>
              <w:rPr>
                <w:sz w:val="18"/>
              </w:rPr>
              <w:t>Exécution non maîtrisée, exfiltration</w:t>
            </w:r>
          </w:p>
        </w:tc>
        <w:tc>
          <w:tcPr>
            <w:tcW w:type="dxa" w:w="3248"/>
            <w:shd w:val="clear" w:color="auto" w:fill="F4F7F9"/>
          </w:tcPr>
          <w:p>
            <w:pPr>
              <w:spacing w:after="40"/>
            </w:pPr>
            <w:r/>
            <w:r>
              <w:rPr>
                <w:sz w:val="18"/>
              </w:rPr>
              <w:t>Capacités, bac à sable, signature</w:t>
            </w:r>
          </w:p>
        </w:tc>
      </w:tr>
      <w:tr>
        <w:tc>
          <w:tcPr>
            <w:tcW w:type="dxa" w:w="3248"/>
          </w:tcPr>
          <w:p>
            <w:pPr>
              <w:spacing w:after="40"/>
            </w:pPr>
            <w:r/>
            <w:r>
              <w:rPr>
                <w:sz w:val="18"/>
              </w:rPr>
              <w:t>Corpus produit</w:t>
            </w:r>
          </w:p>
        </w:tc>
        <w:tc>
          <w:tcPr>
            <w:tcW w:type="dxa" w:w="3248"/>
          </w:tcPr>
          <w:p>
            <w:pPr>
              <w:spacing w:after="40"/>
            </w:pPr>
            <w:r/>
            <w:r>
              <w:rPr>
                <w:sz w:val="18"/>
              </w:rPr>
              <w:t>Altération indétectable, contestation</w:t>
            </w:r>
          </w:p>
        </w:tc>
        <w:tc>
          <w:tcPr>
            <w:tcW w:type="dxa" w:w="3248"/>
          </w:tcPr>
          <w:p>
            <w:pPr>
              <w:spacing w:after="40"/>
            </w:pPr>
            <w:r/>
            <w:r>
              <w:rPr>
                <w:sz w:val="18"/>
              </w:rPr>
              <w:t>Chaîne de confiance vérifiable</w:t>
            </w:r>
          </w:p>
        </w:tc>
      </w:tr>
    </w:tbl>
    <w:p/>
    <w:p>
      <w:pPr>
        <w:spacing w:before="120" w:after="200"/>
        <w:ind w:left="170"/>
        <w:shd w:val="clear" w:color="auto" w:fill="EAF2F6"/>
        <w:pBdr>
          <w:left w:val="single" w:sz="18" w:space="8" w:color="1B6C8F"/>
        </w:pBdr>
      </w:pPr>
      <w:r>
        <w:rPr>
          <w:i/>
          <w:sz w:val="20"/>
        </w:rPr>
        <w:t>Une remarque de méthode avant d'entrer dans le détail. Ce volume est un document d'architecture technique. Les sections relatives aux aspects juridiques décrivent les **mécanismes que le système doit fournir** pour se conformer à des exigences légales ; elles ne constituent pas un avis juridique et ne dispensent pas d'une analyse par un juriste compétent pour chaque juridiction de déploiement.</w:t>
      </w:r>
    </w:p>
    <w:p>
      <w:r>
        <w:br w:type="page"/>
      </w:r>
    </w:p>
    <w:p>
      <w:pPr>
        <w:pStyle w:val="Heading1"/>
      </w:pPr>
      <w:r>
        <w:t>Chapitre 1 — Modèle de menaces</w:t>
      </w:r>
    </w:p>
    <w:p>
      <w:pPr>
        <w:pStyle w:val="Heading2"/>
      </w:pPr>
      <w:r>
        <w:t>1.1 Frontières de confiance</w:t>
      </w:r>
    </w:p>
    <w:p>
      <w:pPr>
        <w:spacing w:before="120" w:after="200"/>
        <w:ind w:left="170"/>
        <w:shd w:val="clear" w:color="auto" w:fill="F2F5F7"/>
        <w:pBdr>
          <w:left w:val="single" w:sz="12" w:space="8" w:color="9FB3C0"/>
        </w:pBdr>
      </w:pPr>
      <w:r>
        <w:rPr>
          <w:rFonts w:ascii="Consolas" w:hAnsi="Consolas" w:eastAsia="Consolas"/>
          <w:sz w:val="17"/>
        </w:rPr>
        <w:t xml:space="preserve">   +====================================================================+</w:t>
        <w:br/>
      </w:r>
      <w:r>
        <w:rPr>
          <w:rFonts w:ascii="Consolas" w:hAnsi="Consolas" w:eastAsia="Consolas"/>
          <w:sz w:val="17"/>
        </w:rPr>
        <w:t xml:space="preserve">   |                     ZONE NON FIABLE (Internet)                     |</w:t>
        <w:br/>
      </w:r>
      <w:r>
        <w:rPr>
          <w:rFonts w:ascii="Consolas" w:hAnsi="Consolas" w:eastAsia="Consolas"/>
          <w:sz w:val="17"/>
        </w:rPr>
        <w:t xml:space="preserve">   |   Serveurs sources - contenu arbitraire - reponses hostiles        |</w:t>
        <w:br/>
      </w:r>
      <w:r>
        <w:rPr>
          <w:rFonts w:ascii="Consolas" w:hAnsi="Consolas" w:eastAsia="Consolas"/>
          <w:sz w:val="17"/>
        </w:rPr>
        <w:t xml:space="preserve">   +====================================================================+</w:t>
        <w:br/>
      </w:r>
      <w:r>
        <w:rPr>
          <w:rFonts w:ascii="Consolas" w:hAnsi="Consolas" w:eastAsia="Consolas"/>
          <w:sz w:val="17"/>
        </w:rPr>
        <w:t xml:space="preserve">              |  HTTP/HTTPS  -- FRONTIERE 1 --</w:t>
        <w:br/>
      </w:r>
      <w:r>
        <w:rPr>
          <w:rFonts w:ascii="Consolas" w:hAnsi="Consolas" w:eastAsia="Consolas"/>
          <w:sz w:val="17"/>
        </w:rPr>
        <w:t xml:space="preserve">              v</w:t>
        <w:br/>
      </w:r>
      <w:r>
        <w:rPr>
          <w:rFonts w:ascii="Consolas" w:hAnsi="Consolas" w:eastAsia="Consolas"/>
          <w:sz w:val="17"/>
        </w:rPr>
        <w:t xml:space="preserve">   +--------------------------------------------------------------------+</w:t>
        <w:br/>
      </w:r>
      <w:r>
        <w:rPr>
          <w:rFonts w:ascii="Consolas" w:hAnsi="Consolas" w:eastAsia="Consolas"/>
          <w:sz w:val="17"/>
        </w:rPr>
        <w:t xml:space="preserve">   |  ZONE SEMI-FIABLE : plugins + Download Manager                     |</w:t>
        <w:br/>
      </w:r>
      <w:r>
        <w:rPr>
          <w:rFonts w:ascii="Consolas" w:hAnsi="Consolas" w:eastAsia="Consolas"/>
          <w:sz w:val="17"/>
        </w:rPr>
        <w:t xml:space="preserve">   |  Code tiers, contenu non valide, capacites restreintes             |</w:t>
        <w:br/>
      </w:r>
      <w:r>
        <w:rPr>
          <w:rFonts w:ascii="Consolas" w:hAnsi="Consolas" w:eastAsia="Consolas"/>
          <w:sz w:val="17"/>
        </w:rPr>
        <w:t xml:space="preserve">   +--------------------------------------------------------------------+</w:t>
        <w:br/>
      </w:r>
      <w:r>
        <w:rPr>
          <w:rFonts w:ascii="Consolas" w:hAnsi="Consolas" w:eastAsia="Consolas"/>
          <w:sz w:val="17"/>
        </w:rPr>
        <w:t xml:space="preserve">              |  FetchPlan / DocumentRef  -- FRONTIERE 2 --</w:t>
        <w:br/>
      </w:r>
      <w:r>
        <w:rPr>
          <w:rFonts w:ascii="Consolas" w:hAnsi="Consolas" w:eastAsia="Consolas"/>
          <w:sz w:val="17"/>
        </w:rPr>
        <w:t xml:space="preserve">              v</w:t>
        <w:br/>
      </w:r>
      <w:r>
        <w:rPr>
          <w:rFonts w:ascii="Consolas" w:hAnsi="Consolas" w:eastAsia="Consolas"/>
          <w:sz w:val="17"/>
        </w:rPr>
        <w:t xml:space="preserve">   +--------------------------------------------------------------------+</w:t>
        <w:br/>
      </w:r>
      <w:r>
        <w:rPr>
          <w:rFonts w:ascii="Consolas" w:hAnsi="Consolas" w:eastAsia="Consolas"/>
          <w:sz w:val="17"/>
        </w:rPr>
        <w:t xml:space="preserve">   |  ZONE FIABLE : Kernel, Storage, Integrity                          |</w:t>
        <w:br/>
      </w:r>
      <w:r>
        <w:rPr>
          <w:rFonts w:ascii="Consolas" w:hAnsi="Consolas" w:eastAsia="Consolas"/>
          <w:sz w:val="17"/>
        </w:rPr>
        <w:t xml:space="preserve">   |  Code audite, invariants imposes                                   |</w:t>
        <w:br/>
      </w:r>
      <w:r>
        <w:rPr>
          <w:rFonts w:ascii="Consolas" w:hAnsi="Consolas" w:eastAsia="Consolas"/>
          <w:sz w:val="17"/>
        </w:rPr>
        <w:t xml:space="preserve">   +--------------------------------------------------------------------+</w:t>
        <w:br/>
      </w:r>
      <w:r>
        <w:rPr>
          <w:rFonts w:ascii="Consolas" w:hAnsi="Consolas" w:eastAsia="Consolas"/>
          <w:sz w:val="17"/>
        </w:rPr>
        <w:t xml:space="preserve">              |  Content Store en lecture seule  -- FRONTIERE 3 --</w:t>
        <w:br/>
      </w:r>
      <w:r>
        <w:rPr>
          <w:rFonts w:ascii="Consolas" w:hAnsi="Consolas" w:eastAsia="Consolas"/>
          <w:sz w:val="17"/>
        </w:rPr>
        <w:t xml:space="preserve">              v</w:t>
        <w:br/>
      </w:r>
      <w:r>
        <w:rPr>
          <w:rFonts w:ascii="Consolas" w:hAnsi="Consolas" w:eastAsia="Consolas"/>
          <w:sz w:val="17"/>
        </w:rPr>
        <w:t xml:space="preserve">   +--------------------------------------------------------------------+</w:t>
        <w:br/>
      </w:r>
      <w:r>
        <w:rPr>
          <w:rFonts w:ascii="Consolas" w:hAnsi="Consolas" w:eastAsia="Consolas"/>
          <w:sz w:val="17"/>
        </w:rPr>
        <w:t xml:space="preserve">   |  ZONE DE TRAITEMENT : pipeline, extracteurs, OCR                   |</w:t>
        <w:br/>
      </w:r>
      <w:r>
        <w:rPr>
          <w:rFonts w:ascii="Consolas" w:hAnsi="Consolas" w:eastAsia="Consolas"/>
          <w:sz w:val="17"/>
        </w:rPr>
        <w:t xml:space="preserve">   |  Traite des octets hostiles, isole du corpus                       |</w:t>
        <w:br/>
      </w:r>
      <w:r>
        <w:rPr>
          <w:rFonts w:ascii="Consolas" w:hAnsi="Consolas" w:eastAsia="Consolas"/>
          <w:sz w:val="17"/>
        </w:rPr>
        <w:t xml:space="preserve">   +--------------------------------------------------------------------+</w:t>
        <w:br/>
      </w:r>
      <w:r>
        <w:rPr>
          <w:rFonts w:ascii="Consolas" w:hAnsi="Consolas" w:eastAsia="Consolas"/>
          <w:sz w:val="17"/>
        </w:rPr>
        <w:t xml:space="preserve">              |  API en lecture seule  -- FRONTIERE 4 --</w:t>
        <w:br/>
      </w:r>
      <w:r>
        <w:rPr>
          <w:rFonts w:ascii="Consolas" w:hAnsi="Consolas" w:eastAsia="Consolas"/>
          <w:sz w:val="17"/>
        </w:rPr>
        <w:t xml:space="preserve">              v</w:t>
        <w:br/>
      </w:r>
      <w:r>
        <w:rPr>
          <w:rFonts w:ascii="Consolas" w:hAnsi="Consolas" w:eastAsia="Consolas"/>
          <w:sz w:val="17"/>
        </w:rPr>
        <w:t xml:space="preserve">   +--------------------------------------------------------------------+</w:t>
        <w:br/>
      </w:r>
      <w:r>
        <w:rPr>
          <w:rFonts w:ascii="Consolas" w:hAnsi="Consolas" w:eastAsia="Consolas"/>
          <w:sz w:val="17"/>
        </w:rPr>
        <w:t xml:space="preserve">   |  CONSOMMATEURS : recherche, IA, exports                            |</w:t>
        <w:br/>
      </w:r>
      <w:r>
        <w:rPr>
          <w:rFonts w:ascii="Consolas" w:hAnsi="Consolas" w:eastAsia="Consolas"/>
          <w:sz w:val="17"/>
        </w:rPr>
        <w:t xml:space="preserve">   +--------------------------------------------------------------------+</w:t>
      </w:r>
    </w:p>
    <w:p>
      <w:pPr>
        <w:jc w:val="both"/>
      </w:pPr>
      <w:r>
        <w:t>Chaque frontière impose une validation. Une donnée qui franchit une frontière sans être validée annule l'intérêt de la frontière.</w:t>
      </w:r>
    </w:p>
    <w:p>
      <w:pPr>
        <w:pStyle w:val="Heading2"/>
      </w:pPr>
      <w:r>
        <w:t>1.2 Analyse STRIDE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Catégorie</w:t>
            </w:r>
          </w:p>
        </w:tc>
        <w:tc>
          <w:tcPr>
            <w:tcW w:type="dxa" w:w="2436"/>
            <w:shd w:val="clear" w:color="auto" w:fill="0B3D5B"/>
          </w:tcPr>
          <w:p>
            <w:pPr>
              <w:spacing w:after="40"/>
            </w:pPr>
            <w:r/>
            <w:r>
              <w:rPr>
                <w:b/>
                <w:color w:val="FFFFFF"/>
                <w:sz w:val="18"/>
              </w:rPr>
              <w:t>Menace concrète</w:t>
            </w:r>
          </w:p>
        </w:tc>
        <w:tc>
          <w:tcPr>
            <w:tcW w:type="dxa" w:w="2436"/>
            <w:shd w:val="clear" w:color="auto" w:fill="0B3D5B"/>
          </w:tcPr>
          <w:p>
            <w:pPr>
              <w:spacing w:after="40"/>
            </w:pPr>
            <w:r/>
            <w:r>
              <w:rPr>
                <w:b/>
                <w:color w:val="FFFFFF"/>
                <w:sz w:val="18"/>
              </w:rPr>
              <w:t>Contre-mesure</w:t>
            </w:r>
          </w:p>
        </w:tc>
        <w:tc>
          <w:tcPr>
            <w:tcW w:type="dxa" w:w="2436"/>
            <w:shd w:val="clear" w:color="auto" w:fill="0B3D5B"/>
          </w:tcPr>
          <w:p>
            <w:pPr>
              <w:spacing w:after="40"/>
            </w:pPr>
            <w:r/>
            <w:r>
              <w:rPr>
                <w:b/>
                <w:color w:val="FFFFFF"/>
                <w:sz w:val="18"/>
              </w:rPr>
              <w:t>Vol.</w:t>
            </w:r>
          </w:p>
        </w:tc>
      </w:tr>
      <w:tr>
        <w:tc>
          <w:tcPr>
            <w:tcW w:type="dxa" w:w="2436"/>
          </w:tcPr>
          <w:p>
            <w:pPr>
              <w:spacing w:after="40"/>
            </w:pPr>
            <w:r/>
            <w:r>
              <w:rPr>
                <w:sz w:val="18"/>
              </w:rPr>
              <w:t>**S**poofing</w:t>
            </w:r>
          </w:p>
        </w:tc>
        <w:tc>
          <w:tcPr>
            <w:tcW w:type="dxa" w:w="2436"/>
          </w:tcPr>
          <w:p>
            <w:pPr>
              <w:spacing w:after="40"/>
            </w:pPr>
            <w:r/>
            <w:r>
              <w:rPr>
                <w:sz w:val="18"/>
              </w:rPr>
              <w:t>Une source usurpée sert du faux contenu</w:t>
            </w:r>
          </w:p>
        </w:tc>
        <w:tc>
          <w:tcPr>
            <w:tcW w:type="dxa" w:w="2436"/>
          </w:tcPr>
          <w:p>
            <w:pPr>
              <w:spacing w:after="40"/>
            </w:pPr>
            <w:r/>
            <w:r>
              <w:rPr>
                <w:sz w:val="18"/>
              </w:rPr>
              <w:t>TLS obligatoire, épinglage optionnel, URL canonique enregistrée</w:t>
            </w:r>
          </w:p>
        </w:tc>
        <w:tc>
          <w:tcPr>
            <w:tcW w:type="dxa" w:w="2436"/>
          </w:tcPr>
          <w:p>
            <w:pPr>
              <w:spacing w:after="40"/>
            </w:pPr>
            <w:r/>
            <w:r>
              <w:rPr>
                <w:sz w:val="18"/>
              </w:rPr>
              <w:t>VI-2</w:t>
            </w:r>
          </w:p>
        </w:tc>
      </w:tr>
      <w:tr>
        <w:tc>
          <w:tcPr>
            <w:tcW w:type="dxa" w:w="2436"/>
            <w:shd w:val="clear" w:color="auto" w:fill="F4F7F9"/>
          </w:tcPr>
          <w:p>
            <w:pPr>
              <w:spacing w:after="40"/>
            </w:pPr>
            <w:r/>
            <w:r>
              <w:rPr>
                <w:sz w:val="18"/>
              </w:rPr>
              <w:t>**T**ampering</w:t>
            </w:r>
          </w:p>
        </w:tc>
        <w:tc>
          <w:tcPr>
            <w:tcW w:type="dxa" w:w="2436"/>
            <w:shd w:val="clear" w:color="auto" w:fill="F4F7F9"/>
          </w:tcPr>
          <w:p>
            <w:pPr>
              <w:spacing w:after="40"/>
            </w:pPr>
            <w:r/>
            <w:r>
              <w:rPr>
                <w:sz w:val="18"/>
              </w:rPr>
              <w:t>Altération d'un fichier du magasin</w:t>
            </w:r>
          </w:p>
        </w:tc>
        <w:tc>
          <w:tcPr>
            <w:tcW w:type="dxa" w:w="2436"/>
            <w:shd w:val="clear" w:color="auto" w:fill="F4F7F9"/>
          </w:tcPr>
          <w:p>
            <w:pPr>
              <w:spacing w:after="40"/>
            </w:pPr>
            <w:r/>
            <w:r>
              <w:rPr>
                <w:sz w:val="18"/>
              </w:rPr>
              <w:t>Adressage par contenu, vérification périodique, journal en ajout seul</w:t>
            </w:r>
          </w:p>
        </w:tc>
        <w:tc>
          <w:tcPr>
            <w:tcW w:type="dxa" w:w="2436"/>
            <w:shd w:val="clear" w:color="auto" w:fill="F4F7F9"/>
          </w:tcPr>
          <w:p>
            <w:pPr>
              <w:spacing w:after="40"/>
            </w:pPr>
            <w:r/>
            <w:r>
              <w:rPr>
                <w:sz w:val="18"/>
              </w:rPr>
              <w:t>IV-7</w:t>
            </w:r>
          </w:p>
        </w:tc>
      </w:tr>
      <w:tr>
        <w:tc>
          <w:tcPr>
            <w:tcW w:type="dxa" w:w="2436"/>
          </w:tcPr>
          <w:p>
            <w:pPr>
              <w:spacing w:after="40"/>
            </w:pPr>
            <w:r/>
            <w:r>
              <w:rPr>
                <w:sz w:val="18"/>
              </w:rPr>
              <w:t>**R**epudiation</w:t>
            </w:r>
          </w:p>
        </w:tc>
        <w:tc>
          <w:tcPr>
            <w:tcW w:type="dxa" w:w="2436"/>
          </w:tcPr>
          <w:p>
            <w:pPr>
              <w:spacing w:after="40"/>
            </w:pPr>
            <w:r/>
            <w:r>
              <w:rPr>
                <w:sz w:val="18"/>
              </w:rPr>
              <w:t>« Ce document n'a jamais été publié ainsi »</w:t>
            </w:r>
          </w:p>
        </w:tc>
        <w:tc>
          <w:tcPr>
            <w:tcW w:type="dxa" w:w="2436"/>
          </w:tcPr>
          <w:p>
            <w:pPr>
              <w:spacing w:after="40"/>
            </w:pPr>
            <w:r/>
            <w:r>
              <w:rPr>
                <w:sz w:val="18"/>
              </w:rPr>
              <w:t>Journal d'audit inaltérable, horodatage, provenance complète</w:t>
            </w:r>
          </w:p>
        </w:tc>
        <w:tc>
          <w:tcPr>
            <w:tcW w:type="dxa" w:w="2436"/>
          </w:tcPr>
          <w:p>
            <w:pPr>
              <w:spacing w:after="40"/>
            </w:pPr>
            <w:r/>
            <w:r>
              <w:rPr>
                <w:sz w:val="18"/>
              </w:rPr>
              <w:t>VI-8</w:t>
            </w:r>
          </w:p>
        </w:tc>
      </w:tr>
      <w:tr>
        <w:tc>
          <w:tcPr>
            <w:tcW w:type="dxa" w:w="2436"/>
            <w:shd w:val="clear" w:color="auto" w:fill="F4F7F9"/>
          </w:tcPr>
          <w:p>
            <w:pPr>
              <w:spacing w:after="40"/>
            </w:pPr>
            <w:r/>
            <w:r>
              <w:rPr>
                <w:sz w:val="18"/>
              </w:rPr>
              <w:t>**I**nformation disclosure</w:t>
            </w:r>
          </w:p>
        </w:tc>
        <w:tc>
          <w:tcPr>
            <w:tcW w:type="dxa" w:w="2436"/>
            <w:shd w:val="clear" w:color="auto" w:fill="F4F7F9"/>
          </w:tcPr>
          <w:p>
            <w:pPr>
              <w:spacing w:after="40"/>
            </w:pPr>
            <w:r/>
            <w:r>
              <w:rPr>
                <w:sz w:val="18"/>
              </w:rPr>
              <w:t>Fuite de secrets par les journaux</w:t>
            </w:r>
          </w:p>
        </w:tc>
        <w:tc>
          <w:tcPr>
            <w:tcW w:type="dxa" w:w="2436"/>
            <w:shd w:val="clear" w:color="auto" w:fill="F4F7F9"/>
          </w:tcPr>
          <w:p>
            <w:pPr>
              <w:spacing w:after="40"/>
            </w:pPr>
            <w:r/>
            <w:r>
              <w:rPr>
                <w:sz w:val="18"/>
              </w:rPr>
              <w:t>Masquage systématique, secrets jamais sérialisés</w:t>
            </w:r>
          </w:p>
        </w:tc>
        <w:tc>
          <w:tcPr>
            <w:tcW w:type="dxa" w:w="2436"/>
            <w:shd w:val="clear" w:color="auto" w:fill="F4F7F9"/>
          </w:tcPr>
          <w:p>
            <w:pPr>
              <w:spacing w:after="40"/>
            </w:pPr>
            <w:r/>
            <w:r>
              <w:rPr>
                <w:sz w:val="18"/>
              </w:rPr>
              <w:t>VI-4</w:t>
            </w:r>
          </w:p>
        </w:tc>
      </w:tr>
      <w:tr>
        <w:tc>
          <w:tcPr>
            <w:tcW w:type="dxa" w:w="2436"/>
          </w:tcPr>
          <w:p>
            <w:pPr>
              <w:spacing w:after="40"/>
            </w:pPr>
            <w:r/>
            <w:r>
              <w:rPr>
                <w:sz w:val="18"/>
              </w:rPr>
              <w:t>**D**enial of service</w:t>
            </w:r>
          </w:p>
        </w:tc>
        <w:tc>
          <w:tcPr>
            <w:tcW w:type="dxa" w:w="2436"/>
          </w:tcPr>
          <w:p>
            <w:pPr>
              <w:spacing w:after="40"/>
            </w:pPr>
            <w:r/>
            <w:r>
              <w:rPr>
                <w:sz w:val="18"/>
              </w:rPr>
              <w:t>Bombe de décompression, PDF pathologique</w:t>
            </w:r>
          </w:p>
        </w:tc>
        <w:tc>
          <w:tcPr>
            <w:tcW w:type="dxa" w:w="2436"/>
          </w:tcPr>
          <w:p>
            <w:pPr>
              <w:spacing w:after="40"/>
            </w:pPr>
            <w:r/>
            <w:r>
              <w:rPr>
                <w:sz w:val="18"/>
              </w:rPr>
              <w:t>Plafonds durs, délais, isolement mémoire</w:t>
            </w:r>
          </w:p>
        </w:tc>
        <w:tc>
          <w:tcPr>
            <w:tcW w:type="dxa" w:w="2436"/>
          </w:tcPr>
          <w:p>
            <w:pPr>
              <w:spacing w:after="40"/>
            </w:pPr>
            <w:r/>
            <w:r>
              <w:rPr>
                <w:sz w:val="18"/>
              </w:rPr>
              <w:t>VI-3</w:t>
            </w:r>
          </w:p>
        </w:tc>
      </w:tr>
      <w:tr>
        <w:tc>
          <w:tcPr>
            <w:tcW w:type="dxa" w:w="2436"/>
            <w:shd w:val="clear" w:color="auto" w:fill="F4F7F9"/>
          </w:tcPr>
          <w:p>
            <w:pPr>
              <w:spacing w:after="40"/>
            </w:pPr>
            <w:r/>
            <w:r>
              <w:rPr>
                <w:sz w:val="18"/>
              </w:rPr>
              <w:t>**E**levation of privilege</w:t>
            </w:r>
          </w:p>
        </w:tc>
        <w:tc>
          <w:tcPr>
            <w:tcW w:type="dxa" w:w="2436"/>
            <w:shd w:val="clear" w:color="auto" w:fill="F4F7F9"/>
          </w:tcPr>
          <w:p>
            <w:pPr>
              <w:spacing w:after="40"/>
            </w:pPr>
            <w:r/>
            <w:r>
              <w:rPr>
                <w:sz w:val="18"/>
              </w:rPr>
              <w:t>Un plugin s'échappe de son bac à sable</w:t>
            </w:r>
          </w:p>
        </w:tc>
        <w:tc>
          <w:tcPr>
            <w:tcW w:type="dxa" w:w="2436"/>
            <w:shd w:val="clear" w:color="auto" w:fill="F4F7F9"/>
          </w:tcPr>
          <w:p>
            <w:pPr>
              <w:spacing w:after="40"/>
            </w:pPr>
            <w:r/>
            <w:r>
              <w:rPr>
                <w:sz w:val="18"/>
              </w:rPr>
              <w:t>Modèle de capacités, isolement L1–L3, signature</w:t>
            </w:r>
          </w:p>
        </w:tc>
        <w:tc>
          <w:tcPr>
            <w:tcW w:type="dxa" w:w="2436"/>
            <w:shd w:val="clear" w:color="auto" w:fill="F4F7F9"/>
          </w:tcPr>
          <w:p>
            <w:pPr>
              <w:spacing w:after="40"/>
            </w:pPr>
            <w:r/>
            <w:r>
              <w:rPr>
                <w:sz w:val="18"/>
              </w:rPr>
              <w:t>III-5</w:t>
            </w:r>
          </w:p>
        </w:tc>
      </w:tr>
    </w:tbl>
    <w:p/>
    <w:p>
      <w:pPr>
        <w:pStyle w:val="Heading2"/>
      </w:pPr>
      <w:r>
        <w:t>1.3 Ce qui est explicitement hors périmètre</w:t>
      </w:r>
    </w:p>
    <w:p>
      <w:pPr>
        <w:jc w:val="both"/>
      </w:pPr>
      <w:r>
        <w:t>Un modèle de menaces honnête énonce ce qu'il ne couvre pas.</w:t>
      </w:r>
    </w:p>
    <w:p>
      <w:pPr>
        <w:pStyle w:val="ListBullet"/>
        <w:spacing w:after="40"/>
      </w:pPr>
      <w:r>
        <w:t>La compromission de l'hôte lui-même (le système d'exploitation est supposé sain).</w:t>
      </w:r>
    </w:p>
    <w:p>
      <w:pPr>
        <w:pStyle w:val="ListBullet"/>
        <w:spacing w:after="40"/>
      </w:pPr>
      <w:r>
        <w:t>Un adversaire disposant d'un accès physique aux disques.</w:t>
      </w:r>
    </w:p>
    <w:p>
      <w:pPr>
        <w:pStyle w:val="ListBullet"/>
        <w:spacing w:after="40"/>
      </w:pPr>
      <w:r>
        <w:t>Un attaquant étatique interceptant et modifiant le trafic TLS avec des certificats valides.</w:t>
      </w:r>
    </w:p>
    <w:p>
      <w:pPr>
        <w:pStyle w:val="ListBullet"/>
        <w:spacing w:after="40"/>
      </w:pPr>
      <w:r>
        <w:t>La malveillance d'un opérateur disposant légitimement des droits d'administration.</w:t>
      </w:r>
    </w:p>
    <w:p>
      <w:pPr>
        <w:jc w:val="both"/>
      </w:pPr>
      <w:r>
        <w:t xml:space="preserve">Pour ces scénarios, le Framework fournit de la </w:t>
      </w:r>
      <w:r>
        <w:rPr>
          <w:b/>
        </w:rPr>
        <w:t>détection</w:t>
      </w:r>
      <w:r>
        <w:t xml:space="preserve"> — la vérification d'intégrité révélera l'altération — mais pas de la prévention.</w:t>
      </w:r>
    </w:p>
    <w:p>
      <w:r>
        <w:br w:type="page"/>
      </w:r>
    </w:p>
    <w:p>
      <w:pPr>
        <w:pStyle w:val="Heading1"/>
      </w:pPr>
      <w:r>
        <w:t>Chapitre 2 — Sécurité du réseau</w:t>
      </w:r>
    </w:p>
    <w:p>
      <w:pPr>
        <w:pStyle w:val="Heading2"/>
      </w:pPr>
      <w:r>
        <w:t>2.1 Politique TLS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Règle</w:t>
            </w:r>
          </w:p>
        </w:tc>
        <w:tc>
          <w:tcPr>
            <w:tcW w:type="dxa" w:w="3248"/>
            <w:shd w:val="clear" w:color="auto" w:fill="0B3D5B"/>
          </w:tcPr>
          <w:p>
            <w:pPr>
              <w:spacing w:after="40"/>
            </w:pPr>
            <w:r/>
            <w:r>
              <w:rPr>
                <w:b/>
                <w:color w:val="FFFFFF"/>
                <w:sz w:val="18"/>
              </w:rPr>
              <w:t>Valeur</w:t>
            </w:r>
          </w:p>
        </w:tc>
        <w:tc>
          <w:tcPr>
            <w:tcW w:type="dxa" w:w="3248"/>
            <w:shd w:val="clear" w:color="auto" w:fill="0B3D5B"/>
          </w:tcPr>
          <w:p>
            <w:pPr>
              <w:spacing w:after="40"/>
            </w:pPr>
            <w:r/>
            <w:r>
              <w:rPr>
                <w:b/>
                <w:color w:val="FFFFFF"/>
                <w:sz w:val="18"/>
              </w:rPr>
              <w:t>Dérogation</w:t>
            </w:r>
          </w:p>
        </w:tc>
      </w:tr>
      <w:tr>
        <w:tc>
          <w:tcPr>
            <w:tcW w:type="dxa" w:w="3248"/>
          </w:tcPr>
          <w:p>
            <w:pPr>
              <w:spacing w:after="40"/>
            </w:pPr>
            <w:r/>
            <w:r>
              <w:rPr>
                <w:sz w:val="18"/>
              </w:rPr>
              <w:t>TLS obligatoire</w:t>
            </w:r>
          </w:p>
        </w:tc>
        <w:tc>
          <w:tcPr>
            <w:tcW w:type="dxa" w:w="3248"/>
          </w:tcPr>
          <w:p>
            <w:pPr>
              <w:spacing w:after="40"/>
            </w:pPr>
            <w:r/>
            <w:r>
              <w:rPr>
                <w:sz w:val="18"/>
              </w:rPr>
              <w:t>Oui</w:t>
            </w:r>
          </w:p>
        </w:tc>
        <w:tc>
          <w:tcPr>
            <w:tcW w:type="dxa" w:w="3248"/>
          </w:tcPr>
          <w:p>
            <w:pPr>
              <w:spacing w:after="40"/>
            </w:pPr>
            <w:r/>
            <w:r>
              <w:rPr>
                <w:sz w:val="18"/>
              </w:rPr>
              <w:t>Autorisation explicite par source, journalisée à chaque requête</w:t>
            </w:r>
          </w:p>
        </w:tc>
      </w:tr>
      <w:tr>
        <w:tc>
          <w:tcPr>
            <w:tcW w:type="dxa" w:w="3248"/>
            <w:shd w:val="clear" w:color="auto" w:fill="F4F7F9"/>
          </w:tcPr>
          <w:p>
            <w:pPr>
              <w:spacing w:after="40"/>
            </w:pPr>
            <w:r/>
            <w:r>
              <w:rPr>
                <w:sz w:val="18"/>
              </w:rPr>
              <w:t>Version minimale</w:t>
            </w:r>
          </w:p>
        </w:tc>
        <w:tc>
          <w:tcPr>
            <w:tcW w:type="dxa" w:w="3248"/>
            <w:shd w:val="clear" w:color="auto" w:fill="F4F7F9"/>
          </w:tcPr>
          <w:p>
            <w:pPr>
              <w:spacing w:after="40"/>
            </w:pPr>
            <w:r/>
            <w:r>
              <w:rPr>
                <w:sz w:val="18"/>
              </w:rPr>
              <w:t>TLS 1.2</w:t>
            </w:r>
          </w:p>
        </w:tc>
        <w:tc>
          <w:tcPr>
            <w:tcW w:type="dxa" w:w="3248"/>
            <w:shd w:val="clear" w:color="auto" w:fill="F4F7F9"/>
          </w:tcPr>
          <w:p>
            <w:pPr>
              <w:spacing w:after="40"/>
            </w:pPr>
            <w:r/>
            <w:r>
              <w:rPr>
                <w:sz w:val="18"/>
              </w:rPr>
              <w:t>Aucune</w:t>
            </w:r>
          </w:p>
        </w:tc>
      </w:tr>
      <w:tr>
        <w:tc>
          <w:tcPr>
            <w:tcW w:type="dxa" w:w="3248"/>
          </w:tcPr>
          <w:p>
            <w:pPr>
              <w:spacing w:after="40"/>
            </w:pPr>
            <w:r/>
            <w:r>
              <w:rPr>
                <w:sz w:val="18"/>
              </w:rPr>
              <w:t>Vérification du certificat</w:t>
            </w:r>
          </w:p>
        </w:tc>
        <w:tc>
          <w:tcPr>
            <w:tcW w:type="dxa" w:w="3248"/>
          </w:tcPr>
          <w:p>
            <w:pPr>
              <w:spacing w:after="40"/>
            </w:pPr>
            <w:r/>
            <w:r>
              <w:rPr>
                <w:sz w:val="18"/>
              </w:rPr>
              <w:t>Toujours</w:t>
            </w:r>
          </w:p>
        </w:tc>
        <w:tc>
          <w:tcPr>
            <w:tcW w:type="dxa" w:w="3248"/>
          </w:tcPr>
          <w:p>
            <w:pPr>
              <w:spacing w:after="40"/>
            </w:pPr>
            <w:r/>
            <w:r>
              <w:rPr>
                <w:sz w:val="18"/>
              </w:rPr>
              <w:t>Aucune, sans exception</w:t>
            </w:r>
          </w:p>
        </w:tc>
      </w:tr>
      <w:tr>
        <w:tc>
          <w:tcPr>
            <w:tcW w:type="dxa" w:w="3248"/>
            <w:shd w:val="clear" w:color="auto" w:fill="F4F7F9"/>
          </w:tcPr>
          <w:p>
            <w:pPr>
              <w:spacing w:after="40"/>
            </w:pPr>
            <w:r/>
            <w:r>
              <w:rPr>
                <w:sz w:val="18"/>
              </w:rPr>
              <w:t>Épinglage de certificat</w:t>
            </w:r>
          </w:p>
        </w:tc>
        <w:tc>
          <w:tcPr>
            <w:tcW w:type="dxa" w:w="3248"/>
            <w:shd w:val="clear" w:color="auto" w:fill="F4F7F9"/>
          </w:tcPr>
          <w:p>
            <w:pPr>
              <w:spacing w:after="40"/>
            </w:pPr>
            <w:r/>
            <w:r>
              <w:rPr>
                <w:sz w:val="18"/>
              </w:rPr>
              <w:t>Optionnel, par source</w:t>
            </w:r>
          </w:p>
        </w:tc>
        <w:tc>
          <w:tcPr>
            <w:tcW w:type="dxa" w:w="3248"/>
            <w:shd w:val="clear" w:color="auto" w:fill="F4F7F9"/>
          </w:tcPr>
          <w:p>
            <w:pPr>
              <w:spacing w:after="40"/>
            </w:pPr>
            <w:r/>
            <w:r>
              <w:rPr>
                <w:sz w:val="18"/>
              </w:rPr>
              <w:t>Recommandé pour les sources critiques</w:t>
            </w:r>
          </w:p>
        </w:tc>
      </w:tr>
      <w:tr>
        <w:tc>
          <w:tcPr>
            <w:tcW w:type="dxa" w:w="3248"/>
          </w:tcPr>
          <w:p>
            <w:pPr>
              <w:spacing w:after="40"/>
            </w:pPr>
            <w:r/>
            <w:r>
              <w:rPr>
                <w:sz w:val="18"/>
              </w:rPr>
              <w:t>Redirections</w:t>
            </w:r>
          </w:p>
        </w:tc>
        <w:tc>
          <w:tcPr>
            <w:tcW w:type="dxa" w:w="3248"/>
          </w:tcPr>
          <w:p>
            <w:pPr>
              <w:spacing w:after="40"/>
            </w:pPr>
            <w:r/>
            <w:r>
              <w:rPr>
                <w:sz w:val="18"/>
              </w:rPr>
              <w:t>Maximum 5 sauts</w:t>
            </w:r>
          </w:p>
        </w:tc>
        <w:tc>
          <w:tcPr>
            <w:tcW w:type="dxa" w:w="3248"/>
          </w:tcPr>
          <w:p>
            <w:pPr>
              <w:spacing w:after="40"/>
            </w:pPr>
            <w:r/>
            <w:r>
              <w:rPr>
                <w:sz w:val="18"/>
              </w:rPr>
              <w:t>Jamais de HTTPS vers HTTP</w:t>
            </w:r>
          </w:p>
        </w:tc>
      </w:tr>
    </w:tbl>
    <w:p/>
    <w:p>
      <w:pPr>
        <w:jc w:val="both"/>
      </w:pPr>
      <w:r>
        <w:t xml:space="preserve">La dérogation HTTP existe parce que certains portails officiels ne servent encore qu'en clair, et qu'un refus catégorique reviendrait à ne pas collecter le document. Le compromis retenu : la collecte est possible, mais chaque document ainsi obtenu porte une marque </w:t>
      </w:r>
      <w:r>
        <w:rPr>
          <w:rFonts w:ascii="Consolas" w:hAnsi="Consolas"/>
          <w:color w:val="8B1A1A"/>
          <w:sz w:val="19"/>
        </w:rPr>
        <w:t>insecure_transport</w:t>
      </w:r>
      <w:r>
        <w:t xml:space="preserve"> dans ses métadonnées de provenance — l'information est conservée avec sa réserve, plutôt que perdue ou blanchie.</w:t>
      </w:r>
    </w:p>
    <w:p>
      <w:pPr>
        <w:pStyle w:val="Heading2"/>
      </w:pPr>
      <w:r>
        <w:t>2.2 Prévention de la falsification de requête côté serveur</w:t>
      </w:r>
    </w:p>
    <w:p>
      <w:pPr>
        <w:jc w:val="both"/>
      </w:pPr>
      <w:r>
        <w:t xml:space="preserve">Un </w:t>
      </w:r>
      <w:r>
        <w:rPr>
          <w:rFonts w:ascii="Consolas" w:hAnsi="Consolas"/>
          <w:color w:val="8B1A1A"/>
          <w:sz w:val="19"/>
        </w:rPr>
        <w:t>FetchPlan</w:t>
      </w:r>
      <w:r>
        <w:t xml:space="preserve"> contient une URL fournie par un plugin, elle-même souvent dérivée du contenu d'une page distante. C'est un vecteur direct de SSRF.</w:t>
      </w:r>
    </w:p>
    <w:p>
      <w:pPr>
        <w:spacing w:before="120" w:after="200"/>
        <w:ind w:left="170"/>
        <w:shd w:val="clear" w:color="auto" w:fill="F2F5F7"/>
        <w:pBdr>
          <w:left w:val="single" w:sz="12" w:space="8" w:color="9FB3C0"/>
        </w:pBdr>
      </w:pPr>
      <w:r>
        <w:rPr>
          <w:rFonts w:ascii="Consolas" w:hAnsi="Consolas" w:eastAsia="Consolas"/>
          <w:sz w:val="17"/>
        </w:rPr>
        <w:t>export function validateFetchTarget(url: string, caps: NetworkCapability): void {</w:t>
        <w:br/>
      </w:r>
      <w:r>
        <w:rPr>
          <w:rFonts w:ascii="Consolas" w:hAnsi="Consolas" w:eastAsia="Consolas"/>
          <w:sz w:val="17"/>
        </w:rPr>
        <w:t xml:space="preserve">  const u = new URL(url);</w:t>
        <w:br/>
      </w:r>
      <w:r>
        <w:rPr>
          <w:rFonts w:ascii="Consolas" w:hAnsi="Consolas" w:eastAsia="Consolas"/>
          <w:sz w:val="17"/>
        </w:rPr>
        <w:br/>
      </w:r>
      <w:r>
        <w:rPr>
          <w:rFonts w:ascii="Consolas" w:hAnsi="Consolas" w:eastAsia="Consolas"/>
          <w:sz w:val="17"/>
        </w:rPr>
        <w:t xml:space="preserve">  if (!["http:", "https:"].includes(u.protocol))</w:t>
        <w:br/>
      </w:r>
      <w:r>
        <w:rPr>
          <w:rFonts w:ascii="Consolas" w:hAnsi="Consolas" w:eastAsia="Consolas"/>
          <w:sz w:val="17"/>
        </w:rPr>
        <w:t xml:space="preserve">    throw new PolicyViolation("protocole interdit", u.protocol);</w:t>
        <w:br/>
      </w:r>
      <w:r>
        <w:rPr>
          <w:rFonts w:ascii="Consolas" w:hAnsi="Consolas" w:eastAsia="Consolas"/>
          <w:sz w:val="17"/>
        </w:rPr>
        <w:br/>
      </w:r>
      <w:r>
        <w:rPr>
          <w:rFonts w:ascii="Consolas" w:hAnsi="Consolas" w:eastAsia="Consolas"/>
          <w:sz w:val="17"/>
        </w:rPr>
        <w:t xml:space="preserve">  if (!caps.allowedHosts.includes(u.hostname))</w:t>
        <w:br/>
      </w:r>
      <w:r>
        <w:rPr>
          <w:rFonts w:ascii="Consolas" w:hAnsi="Consolas" w:eastAsia="Consolas"/>
          <w:sz w:val="17"/>
        </w:rPr>
        <w:t xml:space="preserve">    throw new CapabilityViolation("network.host", u.hostname);</w:t>
        <w:br/>
      </w:r>
      <w:r>
        <w:rPr>
          <w:rFonts w:ascii="Consolas" w:hAnsi="Consolas" w:eastAsia="Consolas"/>
          <w:sz w:val="17"/>
        </w:rPr>
        <w:br/>
      </w:r>
      <w:r>
        <w:rPr>
          <w:rFonts w:ascii="Consolas" w:hAnsi="Consolas" w:eastAsia="Consolas"/>
          <w:sz w:val="17"/>
        </w:rPr>
        <w:t xml:space="preserve">  // Resolution DNS puis controle des adresses : bloque le rebinding</w:t>
        <w:br/>
      </w:r>
      <w:r>
        <w:rPr>
          <w:rFonts w:ascii="Consolas" w:hAnsi="Consolas" w:eastAsia="Consolas"/>
          <w:sz w:val="17"/>
        </w:rPr>
        <w:t xml:space="preserve">  const addresses = resolveAll(u.hostname);</w:t>
        <w:br/>
      </w:r>
      <w:r>
        <w:rPr>
          <w:rFonts w:ascii="Consolas" w:hAnsi="Consolas" w:eastAsia="Consolas"/>
          <w:sz w:val="17"/>
        </w:rPr>
        <w:t xml:space="preserve">  for (const addr of addresses) {</w:t>
        <w:br/>
      </w:r>
      <w:r>
        <w:rPr>
          <w:rFonts w:ascii="Consolas" w:hAnsi="Consolas" w:eastAsia="Consolas"/>
          <w:sz w:val="17"/>
        </w:rPr>
        <w:t xml:space="preserve">    if (isPrivate(addr) || isLoopback(addr) || isLinkLocal(addr) ||</w:t>
        <w:br/>
      </w:r>
      <w:r>
        <w:rPr>
          <w:rFonts w:ascii="Consolas" w:hAnsi="Consolas" w:eastAsia="Consolas"/>
          <w:sz w:val="17"/>
        </w:rPr>
        <w:t xml:space="preserve">        isMulticast(addr) || isCloudMetadata(addr))</w:t>
        <w:br/>
      </w:r>
      <w:r>
        <w:rPr>
          <w:rFonts w:ascii="Consolas" w:hAnsi="Consolas" w:eastAsia="Consolas"/>
          <w:sz w:val="17"/>
        </w:rPr>
        <w:t xml:space="preserve">      throw new PolicyViolation("adresse interne interdite", addr);</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La connexion utilise l'adresse validee, pas une nouvelle resolution</w:t>
        <w:br/>
      </w:r>
      <w:r>
        <w:rPr>
          <w:rFonts w:ascii="Consolas" w:hAnsi="Consolas" w:eastAsia="Consolas"/>
          <w:sz w:val="17"/>
        </w:rPr>
        <w:t xml:space="preserve">  return connectTo(addresses[0], u);</w:t>
        <w:br/>
      </w:r>
      <w:r>
        <w:rPr>
          <w:rFonts w:ascii="Consolas" w:hAnsi="Consolas" w:eastAsia="Consolas"/>
          <w:sz w:val="17"/>
        </w:rPr>
        <w:t>}</w:t>
      </w:r>
    </w:p>
    <w:p>
      <w:pPr>
        <w:jc w:val="both"/>
      </w:pPr>
      <w:r>
        <w:t xml:space="preserve">Le dernier commentaire est le point décisif. Valider le nom d'hôte puis laisser le client HTTP résoudre à nouveau ouvre une fenêtre de *DNS rebinding* : la seconde résolution peut renvoyer </w:t>
      </w:r>
      <w:r>
        <w:rPr>
          <w:rFonts w:ascii="Consolas" w:hAnsi="Consolas"/>
          <w:color w:val="8B1A1A"/>
          <w:sz w:val="19"/>
        </w:rPr>
        <w:t>169.254.169.254</w:t>
      </w:r>
      <w:r>
        <w:t>. La connexion doit donc utiliser l'adresse déjà validée.</w:t>
      </w:r>
    </w:p>
    <w:p>
      <w:pPr>
        <w:jc w:val="both"/>
      </w:pPr>
      <w:r>
        <w:t xml:space="preserve">Plages systématiquement refusées : </w:t>
      </w:r>
      <w:r>
        <w:rPr>
          <w:rFonts w:ascii="Consolas" w:hAnsi="Consolas"/>
          <w:color w:val="8B1A1A"/>
          <w:sz w:val="19"/>
        </w:rPr>
        <w:t>127.0.0.0/8</w:t>
      </w:r>
      <w:r>
        <w:t xml:space="preserve">, </w:t>
      </w:r>
      <w:r>
        <w:rPr>
          <w:rFonts w:ascii="Consolas" w:hAnsi="Consolas"/>
          <w:color w:val="8B1A1A"/>
          <w:sz w:val="19"/>
        </w:rPr>
        <w:t>10.0.0.0/8</w:t>
      </w:r>
      <w:r>
        <w:t xml:space="preserve">, </w:t>
      </w:r>
      <w:r>
        <w:rPr>
          <w:rFonts w:ascii="Consolas" w:hAnsi="Consolas"/>
          <w:color w:val="8B1A1A"/>
          <w:sz w:val="19"/>
        </w:rPr>
        <w:t>172.16.0.0/12</w:t>
      </w:r>
      <w:r>
        <w:t xml:space="preserve">, </w:t>
      </w:r>
      <w:r>
        <w:rPr>
          <w:rFonts w:ascii="Consolas" w:hAnsi="Consolas"/>
          <w:color w:val="8B1A1A"/>
          <w:sz w:val="19"/>
        </w:rPr>
        <w:t>192.168.0.0/16</w:t>
      </w:r>
      <w:r>
        <w:t xml:space="preserve">, </w:t>
      </w:r>
      <w:r>
        <w:rPr>
          <w:rFonts w:ascii="Consolas" w:hAnsi="Consolas"/>
          <w:color w:val="8B1A1A"/>
          <w:sz w:val="19"/>
        </w:rPr>
        <w:t>169.254.0.0/16</w:t>
      </w:r>
      <w:r>
        <w:t xml:space="preserve">, </w:t>
      </w:r>
      <w:r>
        <w:rPr>
          <w:rFonts w:ascii="Consolas" w:hAnsi="Consolas"/>
          <w:color w:val="8B1A1A"/>
          <w:sz w:val="19"/>
        </w:rPr>
        <w:t>::1</w:t>
      </w:r>
      <w:r>
        <w:t xml:space="preserve">, </w:t>
      </w:r>
      <w:r>
        <w:rPr>
          <w:rFonts w:ascii="Consolas" w:hAnsi="Consolas"/>
          <w:color w:val="8B1A1A"/>
          <w:sz w:val="19"/>
        </w:rPr>
        <w:t>fc00::/7</w:t>
      </w:r>
      <w:r>
        <w:t xml:space="preserve">, </w:t>
      </w:r>
      <w:r>
        <w:rPr>
          <w:rFonts w:ascii="Consolas" w:hAnsi="Consolas"/>
          <w:color w:val="8B1A1A"/>
          <w:sz w:val="19"/>
        </w:rPr>
        <w:t>fe80::/10</w:t>
      </w:r>
      <w:r>
        <w:t>, ainsi que les points d'accès de métadonnées des principaux fournisseurs d'infrastructure.</w:t>
      </w:r>
    </w:p>
    <w:p>
      <w:pPr>
        <w:pStyle w:val="Heading2"/>
      </w:pPr>
      <w:r>
        <w:t>2.3 Bornes de requête</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Contrôle</w:t>
            </w:r>
          </w:p>
        </w:tc>
        <w:tc>
          <w:tcPr>
            <w:tcW w:type="dxa" w:w="3248"/>
            <w:shd w:val="clear" w:color="auto" w:fill="0B3D5B"/>
          </w:tcPr>
          <w:p>
            <w:pPr>
              <w:spacing w:after="40"/>
            </w:pPr>
            <w:r/>
            <w:r>
              <w:rPr>
                <w:b/>
                <w:color w:val="FFFFFF"/>
                <w:sz w:val="18"/>
              </w:rPr>
              <w:t>Défaut</w:t>
            </w:r>
          </w:p>
        </w:tc>
        <w:tc>
          <w:tcPr>
            <w:tcW w:type="dxa" w:w="3248"/>
            <w:shd w:val="clear" w:color="auto" w:fill="0B3D5B"/>
          </w:tcPr>
          <w:p>
            <w:pPr>
              <w:spacing w:after="40"/>
            </w:pPr>
            <w:r/>
            <w:r>
              <w:rPr>
                <w:b/>
                <w:color w:val="FFFFFF"/>
                <w:sz w:val="18"/>
              </w:rPr>
              <w:t>Motif</w:t>
            </w:r>
          </w:p>
        </w:tc>
      </w:tr>
      <w:tr>
        <w:tc>
          <w:tcPr>
            <w:tcW w:type="dxa" w:w="3248"/>
          </w:tcPr>
          <w:p>
            <w:pPr>
              <w:spacing w:after="40"/>
            </w:pPr>
            <w:r/>
            <w:r>
              <w:rPr>
                <w:sz w:val="18"/>
              </w:rPr>
              <w:t>Délai de connexion</w:t>
            </w:r>
          </w:p>
        </w:tc>
        <w:tc>
          <w:tcPr>
            <w:tcW w:type="dxa" w:w="3248"/>
          </w:tcPr>
          <w:p>
            <w:pPr>
              <w:spacing w:after="40"/>
            </w:pPr>
            <w:r/>
            <w:r>
              <w:rPr>
                <w:sz w:val="18"/>
              </w:rPr>
              <w:t>10 s</w:t>
            </w:r>
          </w:p>
        </w:tc>
        <w:tc>
          <w:tcPr>
            <w:tcW w:type="dxa" w:w="3248"/>
          </w:tcPr>
          <w:p>
            <w:pPr>
              <w:spacing w:after="40"/>
            </w:pPr>
            <w:r/>
            <w:r>
              <w:rPr>
                <w:sz w:val="18"/>
              </w:rPr>
            </w:r>
          </w:p>
        </w:tc>
      </w:tr>
      <w:tr>
        <w:tc>
          <w:tcPr>
            <w:tcW w:type="dxa" w:w="3248"/>
            <w:shd w:val="clear" w:color="auto" w:fill="F4F7F9"/>
          </w:tcPr>
          <w:p>
            <w:pPr>
              <w:spacing w:after="40"/>
            </w:pPr>
            <w:r/>
            <w:r>
              <w:rPr>
                <w:sz w:val="18"/>
              </w:rPr>
              <w:t>Délai total de requête</w:t>
            </w:r>
          </w:p>
        </w:tc>
        <w:tc>
          <w:tcPr>
            <w:tcW w:type="dxa" w:w="3248"/>
            <w:shd w:val="clear" w:color="auto" w:fill="F4F7F9"/>
          </w:tcPr>
          <w:p>
            <w:pPr>
              <w:spacing w:after="40"/>
            </w:pPr>
            <w:r/>
            <w:r>
              <w:rPr>
                <w:sz w:val="18"/>
              </w:rPr>
              <w:t>300 s</w:t>
            </w:r>
          </w:p>
        </w:tc>
        <w:tc>
          <w:tcPr>
            <w:tcW w:type="dxa" w:w="3248"/>
            <w:shd w:val="clear" w:color="auto" w:fill="F4F7F9"/>
          </w:tcPr>
          <w:p>
            <w:pPr>
              <w:spacing w:after="40"/>
            </w:pPr>
            <w:r/>
            <w:r>
              <w:rPr>
                <w:sz w:val="18"/>
              </w:rPr>
              <w:t>Certains PDF officiels sont volumineux</w:t>
            </w:r>
          </w:p>
        </w:tc>
      </w:tr>
      <w:tr>
        <w:tc>
          <w:tcPr>
            <w:tcW w:type="dxa" w:w="3248"/>
          </w:tcPr>
          <w:p>
            <w:pPr>
              <w:spacing w:after="40"/>
            </w:pPr>
            <w:r/>
            <w:r>
              <w:rPr>
                <w:sz w:val="18"/>
              </w:rPr>
              <w:t>Taille maximale de réponse</w:t>
            </w:r>
          </w:p>
        </w:tc>
        <w:tc>
          <w:tcPr>
            <w:tcW w:type="dxa" w:w="3248"/>
          </w:tcPr>
          <w:p>
            <w:pPr>
              <w:spacing w:after="40"/>
            </w:pPr>
            <w:r/>
            <w:r>
              <w:rPr>
                <w:sz w:val="18"/>
              </w:rPr>
              <w:t>200 Mio</w:t>
            </w:r>
          </w:p>
        </w:tc>
        <w:tc>
          <w:tcPr>
            <w:tcW w:type="dxa" w:w="3248"/>
          </w:tcPr>
          <w:p>
            <w:pPr>
              <w:spacing w:after="40"/>
            </w:pPr>
            <w:r/>
            <w:r>
              <w:rPr>
                <w:sz w:val="18"/>
              </w:rPr>
              <w:t>Configurable par source</w:t>
            </w:r>
          </w:p>
        </w:tc>
      </w:tr>
      <w:tr>
        <w:tc>
          <w:tcPr>
            <w:tcW w:type="dxa" w:w="3248"/>
            <w:shd w:val="clear" w:color="auto" w:fill="F4F7F9"/>
          </w:tcPr>
          <w:p>
            <w:pPr>
              <w:spacing w:after="40"/>
            </w:pPr>
            <w:r/>
            <w:r>
              <w:rPr>
                <w:sz w:val="18"/>
              </w:rPr>
              <w:t>Débit minimal</w:t>
            </w:r>
          </w:p>
        </w:tc>
        <w:tc>
          <w:tcPr>
            <w:tcW w:type="dxa" w:w="3248"/>
            <w:shd w:val="clear" w:color="auto" w:fill="F4F7F9"/>
          </w:tcPr>
          <w:p>
            <w:pPr>
              <w:spacing w:after="40"/>
            </w:pPr>
            <w:r/>
            <w:r>
              <w:rPr>
                <w:sz w:val="18"/>
              </w:rPr>
              <w:t>1 Kio/s sur 60 s</w:t>
            </w:r>
          </w:p>
        </w:tc>
        <w:tc>
          <w:tcPr>
            <w:tcW w:type="dxa" w:w="3248"/>
            <w:shd w:val="clear" w:color="auto" w:fill="F4F7F9"/>
          </w:tcPr>
          <w:p>
            <w:pPr>
              <w:spacing w:after="40"/>
            </w:pPr>
            <w:r/>
            <w:r>
              <w:rPr>
                <w:sz w:val="18"/>
              </w:rPr>
              <w:t>Contre l'attaque par ralentissement délibéré</w:t>
            </w:r>
          </w:p>
        </w:tc>
      </w:tr>
      <w:tr>
        <w:tc>
          <w:tcPr>
            <w:tcW w:type="dxa" w:w="3248"/>
          </w:tcPr>
          <w:p>
            <w:pPr>
              <w:spacing w:after="40"/>
            </w:pPr>
            <w:r/>
            <w:r>
              <w:rPr>
                <w:sz w:val="18"/>
              </w:rPr>
              <w:t>En-têtes maximum</w:t>
            </w:r>
          </w:p>
        </w:tc>
        <w:tc>
          <w:tcPr>
            <w:tcW w:type="dxa" w:w="3248"/>
          </w:tcPr>
          <w:p>
            <w:pPr>
              <w:spacing w:after="40"/>
            </w:pPr>
            <w:r/>
            <w:r>
              <w:rPr>
                <w:sz w:val="18"/>
              </w:rPr>
              <w:t>100, 8 Kio au total</w:t>
            </w:r>
          </w:p>
        </w:tc>
        <w:tc>
          <w:tcPr>
            <w:tcW w:type="dxa" w:w="3248"/>
          </w:tcPr>
          <w:p>
            <w:pPr>
              <w:spacing w:after="40"/>
            </w:pPr>
            <w:r/>
            <w:r>
              <w:rPr>
                <w:sz w:val="18"/>
              </w:rPr>
            </w:r>
          </w:p>
        </w:tc>
      </w:tr>
    </w:tbl>
    <w:p/>
    <w:p>
      <w:pPr>
        <w:jc w:val="both"/>
      </w:pPr>
      <w:r>
        <w:t>Le contrôle de débit minimal est important : un serveur hostile qui envoie un octet toutes les trente secondes immobiliserait indéfiniment un travailleur sans jamais déclencher un délai d'inactivité classique.</w:t>
      </w:r>
    </w:p>
    <w:p>
      <w:r>
        <w:br w:type="page"/>
      </w:r>
    </w:p>
    <w:p>
      <w:pPr>
        <w:pStyle w:val="Heading1"/>
      </w:pPr>
      <w:r>
        <w:t>Chapitre 3 — Traitement défensif du contenu</w:t>
      </w:r>
    </w:p>
    <w:p>
      <w:pPr>
        <w:pStyle w:val="Heading2"/>
      </w:pPr>
      <w:r>
        <w:t>3.1 Principe</w:t>
      </w:r>
    </w:p>
    <w:p>
      <w:pPr>
        <w:jc w:val="both"/>
      </w:pPr>
      <w:r>
        <w:t>Tout octet entrant est hostile jusqu'à preuve du contraire. Le Framework ne fait aucune hypothèse sur la bienveillance d'une source, y compris officielle : une source légitime peut avoir été compromise, ou servir un fichier corrompu sans malveillance.</w:t>
      </w:r>
    </w:p>
    <w:p>
      <w:pPr>
        <w:pStyle w:val="Heading2"/>
      </w:pPr>
      <w:r>
        <w:t>3.2 Archives</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Menace</w:t>
            </w:r>
          </w:p>
        </w:tc>
        <w:tc>
          <w:tcPr>
            <w:tcW w:type="dxa" w:w="4872"/>
            <w:shd w:val="clear" w:color="auto" w:fill="0B3D5B"/>
          </w:tcPr>
          <w:p>
            <w:pPr>
              <w:spacing w:after="40"/>
            </w:pPr>
            <w:r/>
            <w:r>
              <w:rPr>
                <w:b/>
                <w:color w:val="FFFFFF"/>
                <w:sz w:val="18"/>
              </w:rPr>
              <w:t>Contre-mesure</w:t>
            </w:r>
          </w:p>
        </w:tc>
      </w:tr>
      <w:tr>
        <w:tc>
          <w:tcPr>
            <w:tcW w:type="dxa" w:w="4872"/>
          </w:tcPr>
          <w:p>
            <w:pPr>
              <w:spacing w:after="40"/>
            </w:pPr>
            <w:r/>
            <w:r>
              <w:rPr>
                <w:sz w:val="18"/>
              </w:rPr>
              <w:t>Bombe de décompression</w:t>
            </w:r>
          </w:p>
        </w:tc>
        <w:tc>
          <w:tcPr>
            <w:tcW w:type="dxa" w:w="4872"/>
          </w:tcPr>
          <w:p>
            <w:pPr>
              <w:spacing w:after="40"/>
            </w:pPr>
            <w:r/>
            <w:r>
              <w:rPr>
                <w:sz w:val="18"/>
              </w:rPr>
              <w:t>Ratio maximal 100:1, taille décompressée plafonnée à 1 Gio</w:t>
            </w:r>
          </w:p>
        </w:tc>
      </w:tr>
      <w:tr>
        <w:tc>
          <w:tcPr>
            <w:tcW w:type="dxa" w:w="4872"/>
            <w:shd w:val="clear" w:color="auto" w:fill="F4F7F9"/>
          </w:tcPr>
          <w:p>
            <w:pPr>
              <w:spacing w:after="40"/>
            </w:pPr>
            <w:r/>
            <w:r>
              <w:rPr>
                <w:sz w:val="18"/>
              </w:rPr>
              <w:t>Zip-slip (`../../etc/passwd`)</w:t>
            </w:r>
          </w:p>
        </w:tc>
        <w:tc>
          <w:tcPr>
            <w:tcW w:type="dxa" w:w="4872"/>
            <w:shd w:val="clear" w:color="auto" w:fill="F4F7F9"/>
          </w:tcPr>
          <w:p>
            <w:pPr>
              <w:spacing w:after="40"/>
            </w:pPr>
            <w:r/>
            <w:r>
              <w:rPr>
                <w:sz w:val="18"/>
              </w:rPr>
              <w:t>Normalisation du chemin, rejet de tout `..` et de tout chemin absolu</w:t>
            </w:r>
          </w:p>
        </w:tc>
      </w:tr>
      <w:tr>
        <w:tc>
          <w:tcPr>
            <w:tcW w:type="dxa" w:w="4872"/>
          </w:tcPr>
          <w:p>
            <w:pPr>
              <w:spacing w:after="40"/>
            </w:pPr>
            <w:r/>
            <w:r>
              <w:rPr>
                <w:sz w:val="18"/>
              </w:rPr>
              <w:t>Imbrication profonde</w:t>
            </w:r>
          </w:p>
        </w:tc>
        <w:tc>
          <w:tcPr>
            <w:tcW w:type="dxa" w:w="4872"/>
          </w:tcPr>
          <w:p>
            <w:pPr>
              <w:spacing w:after="40"/>
            </w:pPr>
            <w:r/>
            <w:r>
              <w:rPr>
                <w:sz w:val="18"/>
              </w:rPr>
              <w:t>Profondeur maximale 1 : aucune archive dans une archive</w:t>
            </w:r>
          </w:p>
        </w:tc>
      </w:tr>
      <w:tr>
        <w:tc>
          <w:tcPr>
            <w:tcW w:type="dxa" w:w="4872"/>
            <w:shd w:val="clear" w:color="auto" w:fill="F4F7F9"/>
          </w:tcPr>
          <w:p>
            <w:pPr>
              <w:spacing w:after="40"/>
            </w:pPr>
            <w:r/>
            <w:r>
              <w:rPr>
                <w:sz w:val="18"/>
              </w:rPr>
              <w:t>Bombe par nombre d'entrées</w:t>
            </w:r>
          </w:p>
        </w:tc>
        <w:tc>
          <w:tcPr>
            <w:tcW w:type="dxa" w:w="4872"/>
            <w:shd w:val="clear" w:color="auto" w:fill="F4F7F9"/>
          </w:tcPr>
          <w:p>
            <w:pPr>
              <w:spacing w:after="40"/>
            </w:pPr>
            <w:r/>
            <w:r>
              <w:rPr>
                <w:sz w:val="18"/>
              </w:rPr>
              <w:t>Maximum 10 000 membres</w:t>
            </w:r>
          </w:p>
        </w:tc>
      </w:tr>
      <w:tr>
        <w:tc>
          <w:tcPr>
            <w:tcW w:type="dxa" w:w="4872"/>
          </w:tcPr>
          <w:p>
            <w:pPr>
              <w:spacing w:after="40"/>
            </w:pPr>
            <w:r/>
            <w:r>
              <w:rPr>
                <w:sz w:val="18"/>
              </w:rPr>
              <w:t>Liens symboliques</w:t>
            </w:r>
          </w:p>
        </w:tc>
        <w:tc>
          <w:tcPr>
            <w:tcW w:type="dxa" w:w="4872"/>
          </w:tcPr>
          <w:p>
            <w:pPr>
              <w:spacing w:after="40"/>
            </w:pPr>
            <w:r/>
            <w:r>
              <w:rPr>
                <w:sz w:val="18"/>
              </w:rPr>
              <w:t>Ignorés systématiquement</w:t>
            </w:r>
          </w:p>
        </w:tc>
      </w:tr>
    </w:tbl>
    <w:p/>
    <w:p>
      <w:pPr>
        <w:spacing w:before="120" w:after="200"/>
        <w:ind w:left="170"/>
        <w:shd w:val="clear" w:color="auto" w:fill="F2F5F7"/>
        <w:pBdr>
          <w:left w:val="single" w:sz="12" w:space="8" w:color="9FB3C0"/>
        </w:pBdr>
      </w:pPr>
      <w:r>
        <w:rPr>
          <w:rFonts w:ascii="Consolas" w:hAnsi="Consolas" w:eastAsia="Consolas"/>
          <w:sz w:val="17"/>
        </w:rPr>
        <w:t>function safeExtractMember(archive: ArchiveHandle, member: string): Buffer {</w:t>
        <w:br/>
      </w:r>
      <w:r>
        <w:rPr>
          <w:rFonts w:ascii="Consolas" w:hAnsi="Consolas" w:eastAsia="Consolas"/>
          <w:sz w:val="17"/>
        </w:rPr>
        <w:t xml:space="preserve">  const norm = path.normalize(member);</w:t>
        <w:br/>
      </w:r>
      <w:r>
        <w:rPr>
          <w:rFonts w:ascii="Consolas" w:hAnsi="Consolas" w:eastAsia="Consolas"/>
          <w:sz w:val="17"/>
        </w:rPr>
        <w:t xml:space="preserve">  if (norm.startsWith("..") || path.isAbsolute(norm))</w:t>
        <w:br/>
      </w:r>
      <w:r>
        <w:rPr>
          <w:rFonts w:ascii="Consolas" w:hAnsi="Consolas" w:eastAsia="Consolas"/>
          <w:sz w:val="17"/>
        </w:rPr>
        <w:t xml:space="preserve">    throw new SecurityViolation("chemin d'archive invalide", member);</w:t>
        <w:br/>
      </w:r>
      <w:r>
        <w:rPr>
          <w:rFonts w:ascii="Consolas" w:hAnsi="Consolas" w:eastAsia="Consolas"/>
          <w:sz w:val="17"/>
        </w:rPr>
        <w:br/>
      </w:r>
      <w:r>
        <w:rPr>
          <w:rFonts w:ascii="Consolas" w:hAnsi="Consolas" w:eastAsia="Consolas"/>
          <w:sz w:val="17"/>
        </w:rPr>
        <w:t xml:space="preserve">  const entry = archive.entry(norm);</w:t>
        <w:br/>
      </w:r>
      <w:r>
        <w:rPr>
          <w:rFonts w:ascii="Consolas" w:hAnsi="Consolas" w:eastAsia="Consolas"/>
          <w:sz w:val="17"/>
        </w:rPr>
        <w:t xml:space="preserve">  if (entry.uncompressedSize &gt; MAX_MEMBER_BYTES)</w:t>
        <w:br/>
      </w:r>
      <w:r>
        <w:rPr>
          <w:rFonts w:ascii="Consolas" w:hAnsi="Consolas" w:eastAsia="Consolas"/>
          <w:sz w:val="17"/>
        </w:rPr>
        <w:t xml:space="preserve">    throw new SecurityViolation("membre trop volumineux", norm);</w:t>
        <w:br/>
      </w:r>
      <w:r>
        <w:rPr>
          <w:rFonts w:ascii="Consolas" w:hAnsi="Consolas" w:eastAsia="Consolas"/>
          <w:sz w:val="17"/>
        </w:rPr>
        <w:t xml:space="preserve">  if (entry.uncompressedSize / Math.max(entry.compressedSize, 1) &gt; MAX_RATIO)</w:t>
        <w:br/>
      </w:r>
      <w:r>
        <w:rPr>
          <w:rFonts w:ascii="Consolas" w:hAnsi="Consolas" w:eastAsia="Consolas"/>
          <w:sz w:val="17"/>
        </w:rPr>
        <w:t xml:space="preserve">    throw new SecurityViolation("ratio de compression suspect", norm);</w:t>
        <w:br/>
      </w:r>
      <w:r>
        <w:rPr>
          <w:rFonts w:ascii="Consolas" w:hAnsi="Consolas" w:eastAsia="Consolas"/>
          <w:sz w:val="17"/>
        </w:rPr>
        <w:br/>
      </w:r>
      <w:r>
        <w:rPr>
          <w:rFonts w:ascii="Consolas" w:hAnsi="Consolas" w:eastAsia="Consolas"/>
          <w:sz w:val="17"/>
        </w:rPr>
        <w:t xml:space="preserve">  return archive.readWithLimit(norm, MAX_MEMBER_BYTES);   // plafond a la lecture</w:t>
        <w:br/>
      </w:r>
      <w:r>
        <w:rPr>
          <w:rFonts w:ascii="Consolas" w:hAnsi="Consolas" w:eastAsia="Consolas"/>
          <w:sz w:val="17"/>
        </w:rPr>
        <w:t>}</w:t>
      </w:r>
    </w:p>
    <w:p>
      <w:pPr>
        <w:jc w:val="both"/>
      </w:pPr>
      <w:r>
        <w:t>Le plafond est appliqué à la lecture et non seulement d'après l'en-tête déclaré : une archive malveillante annonce une petite taille et en délivre une énorme.</w:t>
      </w:r>
    </w:p>
    <w:p>
      <w:pPr>
        <w:pStyle w:val="Heading2"/>
      </w:pPr>
      <w:r>
        <w:t>3.3 XML</w:t>
      </w:r>
    </w:p>
    <w:p>
      <w:pPr>
        <w:spacing w:before="120" w:after="200"/>
        <w:ind w:left="170"/>
        <w:shd w:val="clear" w:color="auto" w:fill="F2F5F7"/>
        <w:pBdr>
          <w:left w:val="single" w:sz="12" w:space="8" w:color="9FB3C0"/>
        </w:pBdr>
      </w:pPr>
      <w:r>
        <w:rPr>
          <w:rFonts w:ascii="Consolas" w:hAnsi="Consolas" w:eastAsia="Consolas"/>
          <w:sz w:val="17"/>
        </w:rPr>
        <w:t>Configuration obligatoire de tout analyseur XML du Framework :</w:t>
        <w:br/>
      </w:r>
      <w:r>
        <w:rPr>
          <w:rFonts w:ascii="Consolas" w:hAnsi="Consolas" w:eastAsia="Consolas"/>
          <w:sz w:val="17"/>
        </w:rPr>
        <w:br/>
      </w:r>
      <w:r>
        <w:rPr>
          <w:rFonts w:ascii="Consolas" w:hAnsi="Consolas" w:eastAsia="Consolas"/>
          <w:sz w:val="17"/>
        </w:rPr>
        <w:t xml:space="preserve">  resolution des entites externes ...... DESACTIVEE</w:t>
        <w:br/>
      </w:r>
      <w:r>
        <w:rPr>
          <w:rFonts w:ascii="Consolas" w:hAnsi="Consolas" w:eastAsia="Consolas"/>
          <w:sz w:val="17"/>
        </w:rPr>
        <w:t xml:space="preserve">  chargement de DTD .................... DESACTIVE</w:t>
        <w:br/>
      </w:r>
      <w:r>
        <w:rPr>
          <w:rFonts w:ascii="Consolas" w:hAnsi="Consolas" w:eastAsia="Consolas"/>
          <w:sz w:val="17"/>
        </w:rPr>
        <w:t xml:space="preserve">  expansion des entites ................ DESACTIVEE</w:t>
        <w:br/>
      </w:r>
      <w:r>
        <w:rPr>
          <w:rFonts w:ascii="Consolas" w:hAnsi="Consolas" w:eastAsia="Consolas"/>
          <w:sz w:val="17"/>
        </w:rPr>
        <w:t xml:space="preserve">  XInclude ............................. DESACTIVE</w:t>
        <w:br/>
      </w:r>
      <w:r>
        <w:rPr>
          <w:rFonts w:ascii="Consolas" w:hAnsi="Consolas" w:eastAsia="Consolas"/>
          <w:sz w:val="17"/>
        </w:rPr>
        <w:t xml:space="preserve">  profondeur maximale .................. 100</w:t>
        <w:br/>
      </w:r>
      <w:r>
        <w:rPr>
          <w:rFonts w:ascii="Consolas" w:hAnsi="Consolas" w:eastAsia="Consolas"/>
          <w:sz w:val="17"/>
        </w:rPr>
        <w:t xml:space="preserve">  taille maximale ...................... 50 Mio</w:t>
      </w:r>
    </w:p>
    <w:p>
      <w:pPr>
        <w:jc w:val="both"/>
      </w:pPr>
      <w:r>
        <w:t>Ces réglages neutralisent XXE et l'expansion exponentielle d'entités (*billion laughs*). Ils sont vérifiés par un test de sécurité automatisé exécuté à chaque intégration continue, plutôt que laissés à la vigilance individuelle.</w:t>
      </w:r>
    </w:p>
    <w:p>
      <w:pPr>
        <w:pStyle w:val="Heading2"/>
      </w:pPr>
      <w:r>
        <w:t>3.4 PDF</w:t>
      </w:r>
    </w:p>
    <w:p>
      <w:pPr>
        <w:jc w:val="both"/>
      </w:pPr>
      <w:r>
        <w:t>Le PDF est un format exécutable déguisé en format documentaire.</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Menace</w:t>
            </w:r>
          </w:p>
        </w:tc>
        <w:tc>
          <w:tcPr>
            <w:tcW w:type="dxa" w:w="4872"/>
            <w:shd w:val="clear" w:color="auto" w:fill="0B3D5B"/>
          </w:tcPr>
          <w:p>
            <w:pPr>
              <w:spacing w:after="40"/>
            </w:pPr>
            <w:r/>
            <w:r>
              <w:rPr>
                <w:b/>
                <w:color w:val="FFFFFF"/>
                <w:sz w:val="18"/>
              </w:rPr>
              <w:t>Contre-mesure</w:t>
            </w:r>
          </w:p>
        </w:tc>
      </w:tr>
      <w:tr>
        <w:tc>
          <w:tcPr>
            <w:tcW w:type="dxa" w:w="4872"/>
          </w:tcPr>
          <w:p>
            <w:pPr>
              <w:spacing w:after="40"/>
            </w:pPr>
            <w:r/>
            <w:r>
              <w:rPr>
                <w:sz w:val="18"/>
              </w:rPr>
              <w:t>JavaScript embarqué</w:t>
            </w:r>
          </w:p>
        </w:tc>
        <w:tc>
          <w:tcPr>
            <w:tcW w:type="dxa" w:w="4872"/>
          </w:tcPr>
          <w:p>
            <w:pPr>
              <w:spacing w:after="40"/>
            </w:pPr>
            <w:r/>
            <w:r>
              <w:rPr>
                <w:sz w:val="18"/>
              </w:rPr>
              <w:t>Jamais exécuté ; l'extracteur n'a pas de moteur de script</w:t>
            </w:r>
          </w:p>
        </w:tc>
      </w:tr>
      <w:tr>
        <w:tc>
          <w:tcPr>
            <w:tcW w:type="dxa" w:w="4872"/>
            <w:shd w:val="clear" w:color="auto" w:fill="F4F7F9"/>
          </w:tcPr>
          <w:p>
            <w:pPr>
              <w:spacing w:after="40"/>
            </w:pPr>
            <w:r/>
            <w:r>
              <w:rPr>
                <w:sz w:val="18"/>
              </w:rPr>
              <w:t>Fichiers embarqués</w:t>
            </w:r>
          </w:p>
        </w:tc>
        <w:tc>
          <w:tcPr>
            <w:tcW w:type="dxa" w:w="4872"/>
            <w:shd w:val="clear" w:color="auto" w:fill="F4F7F9"/>
          </w:tcPr>
          <w:p>
            <w:pPr>
              <w:spacing w:after="40"/>
            </w:pPr>
            <w:r/>
            <w:r>
              <w:rPr>
                <w:sz w:val="18"/>
              </w:rPr>
              <w:t>Non extraits par défaut ; traités comme documents distincts si autorisé</w:t>
            </w:r>
          </w:p>
        </w:tc>
      </w:tr>
      <w:tr>
        <w:tc>
          <w:tcPr>
            <w:tcW w:type="dxa" w:w="4872"/>
          </w:tcPr>
          <w:p>
            <w:pPr>
              <w:spacing w:after="40"/>
            </w:pPr>
            <w:r/>
            <w:r>
              <w:rPr>
                <w:sz w:val="18"/>
              </w:rPr>
              <w:t>Références récursives</w:t>
            </w:r>
          </w:p>
        </w:tc>
        <w:tc>
          <w:tcPr>
            <w:tcW w:type="dxa" w:w="4872"/>
          </w:tcPr>
          <w:p>
            <w:pPr>
              <w:spacing w:after="40"/>
            </w:pPr>
            <w:r/>
            <w:r>
              <w:rPr>
                <w:sz w:val="18"/>
              </w:rPr>
              <w:t>Détection de cycles, profondeur plafonnée</w:t>
            </w:r>
          </w:p>
        </w:tc>
      </w:tr>
      <w:tr>
        <w:tc>
          <w:tcPr>
            <w:tcW w:type="dxa" w:w="4872"/>
            <w:shd w:val="clear" w:color="auto" w:fill="F4F7F9"/>
          </w:tcPr>
          <w:p>
            <w:pPr>
              <w:spacing w:after="40"/>
            </w:pPr>
            <w:r/>
            <w:r>
              <w:rPr>
                <w:sz w:val="18"/>
              </w:rPr>
              <w:t>Explosion de rendu</w:t>
            </w:r>
          </w:p>
        </w:tc>
        <w:tc>
          <w:tcPr>
            <w:tcW w:type="dxa" w:w="4872"/>
            <w:shd w:val="clear" w:color="auto" w:fill="F4F7F9"/>
          </w:tcPr>
          <w:p>
            <w:pPr>
              <w:spacing w:after="40"/>
            </w:pPr>
            <w:r/>
            <w:r>
              <w:rPr>
                <w:sz w:val="18"/>
              </w:rPr>
              <w:t>Délai par page, plafond mémoire, processus isolé</w:t>
            </w:r>
          </w:p>
        </w:tc>
      </w:tr>
      <w:tr>
        <w:tc>
          <w:tcPr>
            <w:tcW w:type="dxa" w:w="4872"/>
          </w:tcPr>
          <w:p>
            <w:pPr>
              <w:spacing w:after="40"/>
            </w:pPr>
            <w:r/>
            <w:r>
              <w:rPr>
                <w:sz w:val="18"/>
              </w:rPr>
              <w:t>Chiffrement</w:t>
            </w:r>
          </w:p>
        </w:tc>
        <w:tc>
          <w:tcPr>
            <w:tcW w:type="dxa" w:w="4872"/>
          </w:tcPr>
          <w:p>
            <w:pPr>
              <w:spacing w:after="40"/>
            </w:pPr>
            <w:r/>
            <w:r>
              <w:rPr>
                <w:sz w:val="18"/>
              </w:rPr>
              <w:t>Aucune tentative de contournement ; échec déterministe déclaré</w:t>
            </w:r>
          </w:p>
        </w:tc>
      </w:tr>
    </w:tbl>
    <w:p/>
    <w:p>
      <w:pPr>
        <w:jc w:val="both"/>
      </w:pPr>
      <w:r>
        <w:t>L'extraction PDF s'exécute dans un processus séparé, avec plafond mémoire et délai durs. Un PDF pathologique fait tomber ce processus, pas le pipeline.</w:t>
      </w:r>
    </w:p>
    <w:p>
      <w:pPr>
        <w:pStyle w:val="Heading2"/>
      </w:pPr>
      <w:r>
        <w:t>3.5 Chemins et noms de fichiers</w:t>
      </w:r>
    </w:p>
    <w:p>
      <w:pPr>
        <w:jc w:val="both"/>
      </w:pPr>
      <w:r>
        <w:t>Le Content Store étant adressé par empreinte, aucun nom fourni par une source n'atteint jamais le système de fichiers. C'est une propriété de sécurité, pas seulement de conception : toute une classe de vulnérabilités de traversée de répertoire est structurellement éliminée.</w:t>
      </w:r>
    </w:p>
    <w:p>
      <w:pPr>
        <w:jc w:val="both"/>
      </w:pPr>
      <w:r>
        <w:t xml:space="preserve">Les noms d'origine sont conservés comme </w:t>
      </w:r>
      <w:r>
        <w:rPr>
          <w:b/>
        </w:rPr>
        <w:t>métadonnées</w:t>
      </w:r>
      <w:r>
        <w:t>, jamais comme chemins.</w:t>
      </w:r>
    </w:p>
    <w:p>
      <w:r>
        <w:br w:type="page"/>
      </w:r>
    </w:p>
    <w:p>
      <w:pPr>
        <w:pStyle w:val="Heading1"/>
      </w:pPr>
      <w:r>
        <w:t>Chapitre 4 — Gestion des secrets</w:t>
      </w:r>
    </w:p>
    <w:p>
      <w:pPr>
        <w:pStyle w:val="Heading2"/>
      </w:pPr>
      <w:r>
        <w:t>4.1 Règles</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w:t>
            </w:r>
          </w:p>
        </w:tc>
        <w:tc>
          <w:tcPr>
            <w:tcW w:type="dxa" w:w="4872"/>
            <w:shd w:val="clear" w:color="auto" w:fill="0B3D5B"/>
          </w:tcPr>
          <w:p>
            <w:pPr>
              <w:spacing w:after="40"/>
            </w:pPr>
            <w:r/>
            <w:r>
              <w:rPr>
                <w:b/>
                <w:color w:val="FFFFFF"/>
                <w:sz w:val="18"/>
              </w:rPr>
              <w:t>Règle</w:t>
            </w:r>
          </w:p>
        </w:tc>
      </w:tr>
      <w:tr>
        <w:tc>
          <w:tcPr>
            <w:tcW w:type="dxa" w:w="4872"/>
          </w:tcPr>
          <w:p>
            <w:pPr>
              <w:spacing w:after="40"/>
            </w:pPr>
            <w:r/>
            <w:r>
              <w:rPr>
                <w:sz w:val="18"/>
              </w:rPr>
              <w:t>1</w:t>
            </w:r>
          </w:p>
        </w:tc>
        <w:tc>
          <w:tcPr>
            <w:tcW w:type="dxa" w:w="4872"/>
          </w:tcPr>
          <w:p>
            <w:pPr>
              <w:spacing w:after="40"/>
            </w:pPr>
            <w:r/>
            <w:r>
              <w:rPr>
                <w:sz w:val="18"/>
              </w:rPr>
              <w:t>Aucun secret dans un manifeste, une configuration versionnée ou un dépôt de code</w:t>
            </w:r>
          </w:p>
        </w:tc>
      </w:tr>
      <w:tr>
        <w:tc>
          <w:tcPr>
            <w:tcW w:type="dxa" w:w="4872"/>
            <w:shd w:val="clear" w:color="auto" w:fill="F4F7F9"/>
          </w:tcPr>
          <w:p>
            <w:pPr>
              <w:spacing w:after="40"/>
            </w:pPr>
            <w:r/>
            <w:r>
              <w:rPr>
                <w:sz w:val="18"/>
              </w:rPr>
              <w:t>2</w:t>
            </w:r>
          </w:p>
        </w:tc>
        <w:tc>
          <w:tcPr>
            <w:tcW w:type="dxa" w:w="4872"/>
            <w:shd w:val="clear" w:color="auto" w:fill="F4F7F9"/>
          </w:tcPr>
          <w:p>
            <w:pPr>
              <w:spacing w:after="40"/>
            </w:pPr>
            <w:r/>
            <w:r>
              <w:rPr>
                <w:sz w:val="18"/>
              </w:rPr>
              <w:t>Un secret n'est jamais journalisé, même en niveau de trace</w:t>
            </w:r>
          </w:p>
        </w:tc>
      </w:tr>
      <w:tr>
        <w:tc>
          <w:tcPr>
            <w:tcW w:type="dxa" w:w="4872"/>
          </w:tcPr>
          <w:p>
            <w:pPr>
              <w:spacing w:after="40"/>
            </w:pPr>
            <w:r/>
            <w:r>
              <w:rPr>
                <w:sz w:val="18"/>
              </w:rPr>
              <w:t>3</w:t>
            </w:r>
          </w:p>
        </w:tc>
        <w:tc>
          <w:tcPr>
            <w:tcW w:type="dxa" w:w="4872"/>
          </w:tcPr>
          <w:p>
            <w:pPr>
              <w:spacing w:after="40"/>
            </w:pPr>
            <w:r/>
            <w:r>
              <w:rPr>
                <w:sz w:val="18"/>
              </w:rPr>
              <w:t>Un secret n'est jamais sérialisé dans un événement, une trace ou un rapport d'erreur</w:t>
            </w:r>
          </w:p>
        </w:tc>
      </w:tr>
      <w:tr>
        <w:tc>
          <w:tcPr>
            <w:tcW w:type="dxa" w:w="4872"/>
            <w:shd w:val="clear" w:color="auto" w:fill="F4F7F9"/>
          </w:tcPr>
          <w:p>
            <w:pPr>
              <w:spacing w:after="40"/>
            </w:pPr>
            <w:r/>
            <w:r>
              <w:rPr>
                <w:sz w:val="18"/>
              </w:rPr>
              <w:t>4</w:t>
            </w:r>
          </w:p>
        </w:tc>
        <w:tc>
          <w:tcPr>
            <w:tcW w:type="dxa" w:w="4872"/>
            <w:shd w:val="clear" w:color="auto" w:fill="F4F7F9"/>
          </w:tcPr>
          <w:p>
            <w:pPr>
              <w:spacing w:after="40"/>
            </w:pPr>
            <w:r/>
            <w:r>
              <w:rPr>
                <w:sz w:val="18"/>
              </w:rPr>
              <w:t>Un plugin n'accède qu'aux secrets qu'il a déclarés dans son manifeste</w:t>
            </w:r>
          </w:p>
        </w:tc>
      </w:tr>
      <w:tr>
        <w:tc>
          <w:tcPr>
            <w:tcW w:type="dxa" w:w="4872"/>
          </w:tcPr>
          <w:p>
            <w:pPr>
              <w:spacing w:after="40"/>
            </w:pPr>
            <w:r/>
            <w:r>
              <w:rPr>
                <w:sz w:val="18"/>
              </w:rPr>
              <w:t>5</w:t>
            </w:r>
          </w:p>
        </w:tc>
        <w:tc>
          <w:tcPr>
            <w:tcW w:type="dxa" w:w="4872"/>
          </w:tcPr>
          <w:p>
            <w:pPr>
              <w:spacing w:after="40"/>
            </w:pPr>
            <w:r/>
            <w:r>
              <w:rPr>
                <w:sz w:val="18"/>
              </w:rPr>
              <w:t>La résolution est paresseuse : un secret non utilisé n'est jamais lu</w:t>
            </w:r>
          </w:p>
        </w:tc>
      </w:tr>
    </w:tbl>
    <w:p/>
    <w:p>
      <w:pPr>
        <w:pStyle w:val="Heading2"/>
      </w:pPr>
      <w:r>
        <w:t>4.2 Fournisseurs</w:t>
      </w:r>
    </w:p>
    <w:p>
      <w:pPr>
        <w:spacing w:before="120" w:after="200"/>
        <w:ind w:left="170"/>
        <w:shd w:val="clear" w:color="auto" w:fill="F2F5F7"/>
        <w:pBdr>
          <w:left w:val="single" w:sz="12" w:space="8" w:color="9FB3C0"/>
        </w:pBdr>
      </w:pPr>
      <w:r>
        <w:rPr>
          <w:rFonts w:ascii="Consolas" w:hAnsi="Consolas" w:eastAsia="Consolas"/>
          <w:sz w:val="17"/>
        </w:rPr>
        <w:t>export interface SecretProvider {</w:t>
        <w:br/>
      </w:r>
      <w:r>
        <w:rPr>
          <w:rFonts w:ascii="Consolas" w:hAnsi="Consolas" w:eastAsia="Consolas"/>
          <w:sz w:val="17"/>
        </w:rPr>
        <w:t xml:space="preserve">  readonly name: string;</w:t>
        <w:br/>
      </w:r>
      <w:r>
        <w:rPr>
          <w:rFonts w:ascii="Consolas" w:hAnsi="Consolas" w:eastAsia="Consolas"/>
          <w:sz w:val="17"/>
        </w:rPr>
        <w:t xml:space="preserve">  get(key: string): Promise&lt;SecretValue | null&gt;;</w:t>
        <w:br/>
      </w:r>
      <w:r>
        <w:rPr>
          <w:rFonts w:ascii="Consolas" w:hAnsi="Consolas" w:eastAsia="Consolas"/>
          <w:sz w:val="17"/>
        </w:rPr>
        <w:t>}</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Fournisseur</w:t>
            </w:r>
          </w:p>
        </w:tc>
        <w:tc>
          <w:tcPr>
            <w:tcW w:type="dxa" w:w="3248"/>
            <w:shd w:val="clear" w:color="auto" w:fill="0B3D5B"/>
          </w:tcPr>
          <w:p>
            <w:pPr>
              <w:spacing w:after="40"/>
            </w:pPr>
            <w:r/>
            <w:r>
              <w:rPr>
                <w:b/>
                <w:color w:val="FFFFFF"/>
                <w:sz w:val="18"/>
              </w:rPr>
              <w:t>Usage</w:t>
            </w:r>
          </w:p>
        </w:tc>
        <w:tc>
          <w:tcPr>
            <w:tcW w:type="dxa" w:w="3248"/>
            <w:shd w:val="clear" w:color="auto" w:fill="0B3D5B"/>
          </w:tcPr>
          <w:p>
            <w:pPr>
              <w:spacing w:after="40"/>
            </w:pPr>
            <w:r/>
            <w:r>
              <w:rPr>
                <w:b/>
                <w:color w:val="FFFFFF"/>
                <w:sz w:val="18"/>
              </w:rPr>
              <w:t>Remarque</w:t>
            </w:r>
          </w:p>
        </w:tc>
      </w:tr>
      <w:tr>
        <w:tc>
          <w:tcPr>
            <w:tcW w:type="dxa" w:w="3248"/>
          </w:tcPr>
          <w:p>
            <w:pPr>
              <w:spacing w:after="40"/>
            </w:pPr>
            <w:r/>
            <w:r>
              <w:rPr>
                <w:sz w:val="18"/>
              </w:rPr>
              <w:t>Variables d'environnement</w:t>
            </w:r>
          </w:p>
        </w:tc>
        <w:tc>
          <w:tcPr>
            <w:tcW w:type="dxa" w:w="3248"/>
          </w:tcPr>
          <w:p>
            <w:pPr>
              <w:spacing w:after="40"/>
            </w:pPr>
            <w:r/>
            <w:r>
              <w:rPr>
                <w:sz w:val="18"/>
              </w:rPr>
              <w:t>Défaut</w:t>
            </w:r>
          </w:p>
        </w:tc>
        <w:tc>
          <w:tcPr>
            <w:tcW w:type="dxa" w:w="3248"/>
          </w:tcPr>
          <w:p>
            <w:pPr>
              <w:spacing w:after="40"/>
            </w:pPr>
            <w:r/>
            <w:r>
              <w:rPr>
                <w:sz w:val="18"/>
              </w:rPr>
              <w:t>Simple ; visible dans la table des processus</w:t>
            </w:r>
          </w:p>
        </w:tc>
      </w:tr>
      <w:tr>
        <w:tc>
          <w:tcPr>
            <w:tcW w:type="dxa" w:w="3248"/>
            <w:shd w:val="clear" w:color="auto" w:fill="F4F7F9"/>
          </w:tcPr>
          <w:p>
            <w:pPr>
              <w:spacing w:after="40"/>
            </w:pPr>
            <w:r/>
            <w:r>
              <w:rPr>
                <w:sz w:val="18"/>
              </w:rPr>
              <w:t>Fichier chiffré</w:t>
            </w:r>
          </w:p>
        </w:tc>
        <w:tc>
          <w:tcPr>
            <w:tcW w:type="dxa" w:w="3248"/>
            <w:shd w:val="clear" w:color="auto" w:fill="F4F7F9"/>
          </w:tcPr>
          <w:p>
            <w:pPr>
              <w:spacing w:after="40"/>
            </w:pPr>
            <w:r/>
            <w:r>
              <w:rPr>
                <w:sz w:val="18"/>
              </w:rPr>
              <w:t>Poste isolé</w:t>
            </w:r>
          </w:p>
        </w:tc>
        <w:tc>
          <w:tcPr>
            <w:tcW w:type="dxa" w:w="3248"/>
            <w:shd w:val="clear" w:color="auto" w:fill="F4F7F9"/>
          </w:tcPr>
          <w:p>
            <w:pPr>
              <w:spacing w:after="40"/>
            </w:pPr>
            <w:r/>
            <w:r>
              <w:rPr>
                <w:sz w:val="18"/>
              </w:rPr>
              <w:t>Clé maître fournie au démarrage</w:t>
            </w:r>
          </w:p>
        </w:tc>
      </w:tr>
      <w:tr>
        <w:tc>
          <w:tcPr>
            <w:tcW w:type="dxa" w:w="3248"/>
          </w:tcPr>
          <w:p>
            <w:pPr>
              <w:spacing w:after="40"/>
            </w:pPr>
            <w:r/>
            <w:r>
              <w:rPr>
                <w:sz w:val="18"/>
              </w:rPr>
              <w:t>Gestionnaire du système</w:t>
            </w:r>
          </w:p>
        </w:tc>
        <w:tc>
          <w:tcPr>
            <w:tcW w:type="dxa" w:w="3248"/>
          </w:tcPr>
          <w:p>
            <w:pPr>
              <w:spacing w:after="40"/>
            </w:pPr>
            <w:r/>
            <w:r>
              <w:rPr>
                <w:sz w:val="18"/>
              </w:rPr>
              <w:t>Poste de développement</w:t>
            </w:r>
          </w:p>
        </w:tc>
        <w:tc>
          <w:tcPr>
            <w:tcW w:type="dxa" w:w="3248"/>
          </w:tcPr>
          <w:p>
            <w:pPr>
              <w:spacing w:after="40"/>
            </w:pPr>
            <w:r/>
            <w:r>
              <w:rPr>
                <w:sz w:val="18"/>
              </w:rPr>
              <w:t>Trousseau du système d'exploitation</w:t>
            </w:r>
          </w:p>
        </w:tc>
      </w:tr>
      <w:tr>
        <w:tc>
          <w:tcPr>
            <w:tcW w:type="dxa" w:w="3248"/>
            <w:shd w:val="clear" w:color="auto" w:fill="F4F7F9"/>
          </w:tcPr>
          <w:p>
            <w:pPr>
              <w:spacing w:after="40"/>
            </w:pPr>
            <w:r/>
            <w:r>
              <w:rPr>
                <w:sz w:val="18"/>
              </w:rPr>
              <w:t>Coffre externe</w:t>
            </w:r>
          </w:p>
        </w:tc>
        <w:tc>
          <w:tcPr>
            <w:tcW w:type="dxa" w:w="3248"/>
            <w:shd w:val="clear" w:color="auto" w:fill="F4F7F9"/>
          </w:tcPr>
          <w:p>
            <w:pPr>
              <w:spacing w:after="40"/>
            </w:pPr>
            <w:r/>
            <w:r>
              <w:rPr>
                <w:sz w:val="18"/>
              </w:rPr>
              <w:t>Production</w:t>
            </w:r>
          </w:p>
        </w:tc>
        <w:tc>
          <w:tcPr>
            <w:tcW w:type="dxa" w:w="3248"/>
            <w:shd w:val="clear" w:color="auto" w:fill="F4F7F9"/>
          </w:tcPr>
          <w:p>
            <w:pPr>
              <w:spacing w:after="40"/>
            </w:pPr>
            <w:r/>
            <w:r>
              <w:rPr>
                <w:sz w:val="18"/>
              </w:rPr>
              <w:t>Rotation, audit, révocation</w:t>
            </w:r>
          </w:p>
        </w:tc>
      </w:tr>
    </w:tbl>
    <w:p/>
    <w:p>
      <w:pPr>
        <w:pStyle w:val="Heading2"/>
      </w:pPr>
      <w:r>
        <w:t>4.3 Le type SecretValue</w:t>
      </w:r>
    </w:p>
    <w:p>
      <w:pPr>
        <w:jc w:val="both"/>
      </w:pPr>
      <w:r>
        <w:t>Un secret n'est pas une chaîne de caractères. C'est un type dédié dont la conversion en texte est piégée.</w:t>
      </w:r>
    </w:p>
    <w:p>
      <w:pPr>
        <w:spacing w:before="120" w:after="200"/>
        <w:ind w:left="170"/>
        <w:shd w:val="clear" w:color="auto" w:fill="F2F5F7"/>
        <w:pBdr>
          <w:left w:val="single" w:sz="12" w:space="8" w:color="9FB3C0"/>
        </w:pBdr>
      </w:pPr>
      <w:r>
        <w:rPr>
          <w:rFonts w:ascii="Consolas" w:hAnsi="Consolas" w:eastAsia="Consolas"/>
          <w:sz w:val="17"/>
        </w:rPr>
        <w:t>export class SecretValue {</w:t>
        <w:br/>
      </w:r>
      <w:r>
        <w:rPr>
          <w:rFonts w:ascii="Consolas" w:hAnsi="Consolas" w:eastAsia="Consolas"/>
          <w:sz w:val="17"/>
        </w:rPr>
        <w:t xml:space="preserve">  #value: string;</w:t>
        <w:br/>
      </w:r>
      <w:r>
        <w:rPr>
          <w:rFonts w:ascii="Consolas" w:hAnsi="Consolas" w:eastAsia="Consolas"/>
          <w:sz w:val="17"/>
        </w:rPr>
        <w:br/>
      </w:r>
      <w:r>
        <w:rPr>
          <w:rFonts w:ascii="Consolas" w:hAnsi="Consolas" w:eastAsia="Consolas"/>
          <w:sz w:val="17"/>
        </w:rPr>
        <w:t xml:space="preserve">  /** Seul point d'usage legitime. */</w:t>
        <w:br/>
      </w:r>
      <w:r>
        <w:rPr>
          <w:rFonts w:ascii="Consolas" w:hAnsi="Consolas" w:eastAsia="Consolas"/>
          <w:sz w:val="17"/>
        </w:rPr>
        <w:t xml:space="preserve">  use&lt;T&gt;(fn: (plain: string) =&gt; T): T { return fn(this.#value); }</w:t>
        <w:br/>
      </w:r>
      <w:r>
        <w:rPr>
          <w:rFonts w:ascii="Consolas" w:hAnsi="Consolas" w:eastAsia="Consolas"/>
          <w:sz w:val="17"/>
        </w:rPr>
        <w:br/>
      </w:r>
      <w:r>
        <w:rPr>
          <w:rFonts w:ascii="Consolas" w:hAnsi="Consolas" w:eastAsia="Consolas"/>
          <w:sz w:val="17"/>
        </w:rPr>
        <w:t xml:space="preserve">  toString(): string   { return "[REDACTED]"; }</w:t>
        <w:br/>
      </w:r>
      <w:r>
        <w:rPr>
          <w:rFonts w:ascii="Consolas" w:hAnsi="Consolas" w:eastAsia="Consolas"/>
          <w:sz w:val="17"/>
        </w:rPr>
        <w:t xml:space="preserve">  toJSON(): string     { return "[REDACTED]"; }</w:t>
        <w:br/>
      </w:r>
      <w:r>
        <w:rPr>
          <w:rFonts w:ascii="Consolas" w:hAnsi="Consolas" w:eastAsia="Consolas"/>
          <w:sz w:val="17"/>
        </w:rPr>
        <w:t xml:space="preserve">  [Symbol.for("nodejs.util.inspect.custom")]() { return "[REDACTED]"; }</w:t>
        <w:br/>
      </w:r>
      <w:r>
        <w:rPr>
          <w:rFonts w:ascii="Consolas" w:hAnsi="Consolas" w:eastAsia="Consolas"/>
          <w:sz w:val="17"/>
        </w:rPr>
        <w:t>}</w:t>
      </w:r>
    </w:p>
    <w:p>
      <w:pPr>
        <w:jc w:val="both"/>
      </w:pPr>
      <w:r>
        <w:t xml:space="preserve">Cette conception rend la fuite accidentelle très difficile : une interpolation dans un message de journal, une sérialisation JSON, un affichage de débogage produisent tous </w:t>
      </w:r>
      <w:r>
        <w:rPr>
          <w:rFonts w:ascii="Consolas" w:hAnsi="Consolas"/>
          <w:color w:val="8B1A1A"/>
          <w:sz w:val="19"/>
        </w:rPr>
        <w:t>[REDACTED]</w:t>
      </w:r>
      <w:r>
        <w:t xml:space="preserve">. Le secret ne s'obtient qu'en appelant explicitement </w:t>
      </w:r>
      <w:r>
        <w:rPr>
          <w:rFonts w:ascii="Consolas" w:hAnsi="Consolas"/>
          <w:color w:val="8B1A1A"/>
          <w:sz w:val="19"/>
        </w:rPr>
        <w:t>use()</w:t>
      </w:r>
      <w:r>
        <w:t>, ce qui est visible en revue de code et détectable par analyse statique.</w:t>
      </w:r>
    </w:p>
    <w:p>
      <w:pPr>
        <w:pStyle w:val="Heading2"/>
      </w:pPr>
      <w:r>
        <w:t>4.4 Filtrage de sortie</w:t>
      </w:r>
    </w:p>
    <w:p>
      <w:pPr>
        <w:jc w:val="both"/>
      </w:pPr>
      <w:r>
        <w:t>En complément, un filtre s'applique à tout ce qui sort du système — journaux, messages d'erreur, traces :</w:t>
      </w:r>
    </w:p>
    <w:p>
      <w:pPr>
        <w:spacing w:before="120" w:after="200"/>
        <w:ind w:left="170"/>
        <w:shd w:val="clear" w:color="auto" w:fill="F2F5F7"/>
        <w:pBdr>
          <w:left w:val="single" w:sz="12" w:space="8" w:color="9FB3C0"/>
        </w:pBdr>
      </w:pPr>
      <w:r>
        <w:rPr>
          <w:rFonts w:ascii="Consolas" w:hAnsi="Consolas" w:eastAsia="Consolas"/>
          <w:sz w:val="17"/>
        </w:rPr>
        <w:t>const PATTERNS = [</w:t>
        <w:br/>
      </w:r>
      <w:r>
        <w:rPr>
          <w:rFonts w:ascii="Consolas" w:hAnsi="Consolas" w:eastAsia="Consolas"/>
          <w:sz w:val="17"/>
        </w:rPr>
        <w:t xml:space="preserve">  /\bBearer\s+[A-Za-z0-9._~+/-]{20,}/gi,</w:t>
        <w:br/>
      </w:r>
      <w:r>
        <w:rPr>
          <w:rFonts w:ascii="Consolas" w:hAnsi="Consolas" w:eastAsia="Consolas"/>
          <w:sz w:val="17"/>
        </w:rPr>
        <w:t xml:space="preserve">  /\b[A-Za-z0-9_-]{32,}\b/g,                     // jetons opaques</w:t>
        <w:br/>
      </w:r>
      <w:r>
        <w:rPr>
          <w:rFonts w:ascii="Consolas" w:hAnsi="Consolas" w:eastAsia="Consolas"/>
          <w:sz w:val="17"/>
        </w:rPr>
        <w:t xml:space="preserve">  /(password|passwd|secret|token|api[_-]?key)\s*[:=]\s*\S+/gi,</w:t>
        <w:br/>
      </w:r>
      <w:r>
        <w:rPr>
          <w:rFonts w:ascii="Consolas" w:hAnsi="Consolas" w:eastAsia="Consolas"/>
          <w:sz w:val="17"/>
        </w:rPr>
        <w:t xml:space="preserve">  /https?:\/\/[^:]+:[^@]+@/g,                    // identifiants dans une URL</w:t>
        <w:br/>
      </w:r>
      <w:r>
        <w:rPr>
          <w:rFonts w:ascii="Consolas" w:hAnsi="Consolas" w:eastAsia="Consolas"/>
          <w:sz w:val="17"/>
        </w:rPr>
        <w:t>];</w:t>
      </w:r>
    </w:p>
    <w:p>
      <w:pPr>
        <w:jc w:val="both"/>
      </w:pPr>
      <w:r>
        <w:t>Défense en profondeur assumée : le typage empêche la fuite par conception, le filtre rattrape ce qui aurait échappé au typage.</w:t>
      </w:r>
    </w:p>
    <w:p>
      <w:r>
        <w:br w:type="page"/>
      </w:r>
    </w:p>
    <w:p>
      <w:pPr>
        <w:pStyle w:val="Heading1"/>
      </w:pPr>
      <w:r>
        <w:t>Chapitre 5 — Chaîne d'approvisionnement</w:t>
      </w:r>
    </w:p>
    <w:p>
      <w:pPr>
        <w:pStyle w:val="Heading2"/>
      </w:pPr>
      <w:r>
        <w:t>5.1 Le risque</w:t>
      </w:r>
    </w:p>
    <w:p>
      <w:pPr>
        <w:jc w:val="both"/>
      </w:pPr>
      <w:r>
        <w:t>Un plugin est du code arbitraire s'exécutant avec les droits du Framework. C'est le vecteur d'attaque le plus direct du système.</w:t>
      </w:r>
    </w:p>
    <w:p>
      <w:pPr>
        <w:pStyle w:val="Heading2"/>
      </w:pPr>
      <w:r>
        <w:t>5.2 Niveaux de confiance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B3D5B"/>
          </w:tcPr>
          <w:p>
            <w:pPr>
              <w:spacing w:after="40"/>
            </w:pPr>
            <w:r/>
            <w:r>
              <w:rPr>
                <w:b/>
                <w:color w:val="FFFFFF"/>
                <w:sz w:val="18"/>
              </w:rPr>
              <w:t>Niveau</w:t>
            </w:r>
          </w:p>
        </w:tc>
        <w:tc>
          <w:tcPr>
            <w:tcW w:type="dxa" w:w="2436"/>
            <w:shd w:val="clear" w:color="auto" w:fill="0B3D5B"/>
          </w:tcPr>
          <w:p>
            <w:pPr>
              <w:spacing w:after="40"/>
            </w:pPr>
            <w:r/>
            <w:r>
              <w:rPr>
                <w:b/>
                <w:color w:val="FFFFFF"/>
                <w:sz w:val="18"/>
              </w:rPr>
              <w:t>Origine</w:t>
            </w:r>
          </w:p>
        </w:tc>
        <w:tc>
          <w:tcPr>
            <w:tcW w:type="dxa" w:w="2436"/>
            <w:shd w:val="clear" w:color="auto" w:fill="0B3D5B"/>
          </w:tcPr>
          <w:p>
            <w:pPr>
              <w:spacing w:after="40"/>
            </w:pPr>
            <w:r/>
            <w:r>
              <w:rPr>
                <w:b/>
                <w:color w:val="FFFFFF"/>
                <w:sz w:val="18"/>
              </w:rPr>
              <w:t>Exigences</w:t>
            </w:r>
          </w:p>
        </w:tc>
        <w:tc>
          <w:tcPr>
            <w:tcW w:type="dxa" w:w="2436"/>
            <w:shd w:val="clear" w:color="auto" w:fill="0B3D5B"/>
          </w:tcPr>
          <w:p>
            <w:pPr>
              <w:spacing w:after="40"/>
            </w:pPr>
            <w:r/>
            <w:r>
              <w:rPr>
                <w:b/>
                <w:color w:val="FFFFFF"/>
                <w:sz w:val="18"/>
              </w:rPr>
              <w:t>Isolement</w:t>
            </w:r>
          </w:p>
        </w:tc>
      </w:tr>
      <w:tr>
        <w:tc>
          <w:tcPr>
            <w:tcW w:type="dxa" w:w="2436"/>
          </w:tcPr>
          <w:p>
            <w:pPr>
              <w:spacing w:after="40"/>
            </w:pPr>
            <w:r/>
            <w:r>
              <w:rPr>
                <w:sz w:val="18"/>
              </w:rPr>
              <w:t>T0 — Interne</w:t>
            </w:r>
          </w:p>
        </w:tc>
        <w:tc>
          <w:tcPr>
            <w:tcW w:type="dxa" w:w="2436"/>
          </w:tcPr>
          <w:p>
            <w:pPr>
              <w:spacing w:after="40"/>
            </w:pPr>
            <w:r/>
            <w:r>
              <w:rPr>
                <w:sz w:val="18"/>
              </w:rPr>
              <w:t>Développé et audité par l'équipe</w:t>
            </w:r>
          </w:p>
        </w:tc>
        <w:tc>
          <w:tcPr>
            <w:tcW w:type="dxa" w:w="2436"/>
          </w:tcPr>
          <w:p>
            <w:pPr>
              <w:spacing w:after="40"/>
            </w:pPr>
            <w:r/>
            <w:r>
              <w:rPr>
                <w:sz w:val="18"/>
              </w:rPr>
              <w:t>Revue de code</w:t>
            </w:r>
          </w:p>
        </w:tc>
        <w:tc>
          <w:tcPr>
            <w:tcW w:type="dxa" w:w="2436"/>
          </w:tcPr>
          <w:p>
            <w:pPr>
              <w:spacing w:after="40"/>
            </w:pPr>
            <w:r/>
            <w:r>
              <w:rPr>
                <w:sz w:val="18"/>
              </w:rPr>
              <w:t>L1</w:t>
            </w:r>
          </w:p>
        </w:tc>
      </w:tr>
      <w:tr>
        <w:tc>
          <w:tcPr>
            <w:tcW w:type="dxa" w:w="2436"/>
            <w:shd w:val="clear" w:color="auto" w:fill="F4F7F9"/>
          </w:tcPr>
          <w:p>
            <w:pPr>
              <w:spacing w:after="40"/>
            </w:pPr>
            <w:r/>
            <w:r>
              <w:rPr>
                <w:sz w:val="18"/>
              </w:rPr>
              <w:t>T1 — Vérifié</w:t>
            </w:r>
          </w:p>
        </w:tc>
        <w:tc>
          <w:tcPr>
            <w:tcW w:type="dxa" w:w="2436"/>
            <w:shd w:val="clear" w:color="auto" w:fill="F4F7F9"/>
          </w:tcPr>
          <w:p>
            <w:pPr>
              <w:spacing w:after="40"/>
            </w:pPr>
            <w:r/>
            <w:r>
              <w:rPr>
                <w:sz w:val="18"/>
              </w:rPr>
              <w:t>Tiers, audité, signé</w:t>
            </w:r>
          </w:p>
        </w:tc>
        <w:tc>
          <w:tcPr>
            <w:tcW w:type="dxa" w:w="2436"/>
            <w:shd w:val="clear" w:color="auto" w:fill="F4F7F9"/>
          </w:tcPr>
          <w:p>
            <w:pPr>
              <w:spacing w:after="40"/>
            </w:pPr>
            <w:r/>
            <w:r>
              <w:rPr>
                <w:sz w:val="18"/>
              </w:rPr>
              <w:t>Signature + rapport de conformité</w:t>
            </w:r>
          </w:p>
        </w:tc>
        <w:tc>
          <w:tcPr>
            <w:tcW w:type="dxa" w:w="2436"/>
            <w:shd w:val="clear" w:color="auto" w:fill="F4F7F9"/>
          </w:tcPr>
          <w:p>
            <w:pPr>
              <w:spacing w:after="40"/>
            </w:pPr>
            <w:r/>
            <w:r>
              <w:rPr>
                <w:sz w:val="18"/>
              </w:rPr>
              <w:t>L1 ou L2</w:t>
            </w:r>
          </w:p>
        </w:tc>
      </w:tr>
      <w:tr>
        <w:tc>
          <w:tcPr>
            <w:tcW w:type="dxa" w:w="2436"/>
          </w:tcPr>
          <w:p>
            <w:pPr>
              <w:spacing w:after="40"/>
            </w:pPr>
            <w:r/>
            <w:r>
              <w:rPr>
                <w:sz w:val="18"/>
              </w:rPr>
              <w:t>T2 — Communautaire</w:t>
            </w:r>
          </w:p>
        </w:tc>
        <w:tc>
          <w:tcPr>
            <w:tcW w:type="dxa" w:w="2436"/>
          </w:tcPr>
          <w:p>
            <w:pPr>
              <w:spacing w:after="40"/>
            </w:pPr>
            <w:r/>
            <w:r>
              <w:rPr>
                <w:sz w:val="18"/>
              </w:rPr>
              <w:t>Registre public</w:t>
            </w:r>
          </w:p>
        </w:tc>
        <w:tc>
          <w:tcPr>
            <w:tcW w:type="dxa" w:w="2436"/>
          </w:tcPr>
          <w:p>
            <w:pPr>
              <w:spacing w:after="40"/>
            </w:pPr>
            <w:r/>
            <w:r>
              <w:rPr>
                <w:sz w:val="18"/>
              </w:rPr>
              <w:t>Signature + conformité + isolement</w:t>
            </w:r>
          </w:p>
        </w:tc>
        <w:tc>
          <w:tcPr>
            <w:tcW w:type="dxa" w:w="2436"/>
          </w:tcPr>
          <w:p>
            <w:pPr>
              <w:spacing w:after="40"/>
            </w:pPr>
            <w:r/>
            <w:r>
              <w:rPr>
                <w:sz w:val="18"/>
              </w:rPr>
              <w:t>L2</w:t>
            </w:r>
          </w:p>
        </w:tc>
      </w:tr>
      <w:tr>
        <w:tc>
          <w:tcPr>
            <w:tcW w:type="dxa" w:w="2436"/>
            <w:shd w:val="clear" w:color="auto" w:fill="F4F7F9"/>
          </w:tcPr>
          <w:p>
            <w:pPr>
              <w:spacing w:after="40"/>
            </w:pPr>
            <w:r/>
            <w:r>
              <w:rPr>
                <w:sz w:val="18"/>
              </w:rPr>
              <w:t>T3 — Inconnu</w:t>
            </w:r>
          </w:p>
        </w:tc>
        <w:tc>
          <w:tcPr>
            <w:tcW w:type="dxa" w:w="2436"/>
            <w:shd w:val="clear" w:color="auto" w:fill="F4F7F9"/>
          </w:tcPr>
          <w:p>
            <w:pPr>
              <w:spacing w:after="40"/>
            </w:pPr>
            <w:r/>
            <w:r>
              <w:rPr>
                <w:sz w:val="18"/>
              </w:rPr>
              <w:t>Source arbitraire</w:t>
            </w:r>
          </w:p>
        </w:tc>
        <w:tc>
          <w:tcPr>
            <w:tcW w:type="dxa" w:w="2436"/>
            <w:shd w:val="clear" w:color="auto" w:fill="F4F7F9"/>
          </w:tcPr>
          <w:p>
            <w:pPr>
              <w:spacing w:after="40"/>
            </w:pPr>
            <w:r/>
            <w:r>
              <w:rPr>
                <w:sz w:val="18"/>
              </w:rPr>
              <w:t>Refusé par défaut</w:t>
            </w:r>
          </w:p>
        </w:tc>
        <w:tc>
          <w:tcPr>
            <w:tcW w:type="dxa" w:w="2436"/>
            <w:shd w:val="clear" w:color="auto" w:fill="F4F7F9"/>
          </w:tcPr>
          <w:p>
            <w:pPr>
              <w:spacing w:after="40"/>
            </w:pPr>
            <w:r/>
            <w:r>
              <w:rPr>
                <w:sz w:val="18"/>
              </w:rPr>
              <w:t>L3 si forcé</w:t>
            </w:r>
          </w:p>
        </w:tc>
      </w:tr>
    </w:tbl>
    <w:p/>
    <w:p>
      <w:pPr>
        <w:jc w:val="both"/>
      </w:pPr>
      <w:r>
        <w:t>Le niveau exigé est une décision d'exploitation :</w:t>
      </w:r>
    </w:p>
    <w:p>
      <w:pPr>
        <w:spacing w:before="120" w:after="200"/>
        <w:ind w:left="170"/>
        <w:shd w:val="clear" w:color="auto" w:fill="F2F5F7"/>
        <w:pBdr>
          <w:left w:val="single" w:sz="12" w:space="8" w:color="9FB3C0"/>
        </w:pBdr>
      </w:pPr>
      <w:r>
        <w:rPr>
          <w:rFonts w:ascii="Consolas" w:hAnsi="Consolas" w:eastAsia="Consolas"/>
          <w:sz w:val="17"/>
        </w:rPr>
        <w:t>plugins:</w:t>
        <w:br/>
      </w:r>
      <w:r>
        <w:rPr>
          <w:rFonts w:ascii="Consolas" w:hAnsi="Consolas" w:eastAsia="Consolas"/>
          <w:sz w:val="17"/>
        </w:rPr>
        <w:t xml:space="preserve">  minimumTrustLevel: T1</w:t>
        <w:br/>
      </w:r>
      <w:r>
        <w:rPr>
          <w:rFonts w:ascii="Consolas" w:hAnsi="Consolas" w:eastAsia="Consolas"/>
          <w:sz w:val="17"/>
        </w:rPr>
        <w:t xml:space="preserve">  requireSignature: true</w:t>
        <w:br/>
      </w:r>
      <w:r>
        <w:rPr>
          <w:rFonts w:ascii="Consolas" w:hAnsi="Consolas" w:eastAsia="Consolas"/>
          <w:sz w:val="17"/>
        </w:rPr>
        <w:t xml:space="preserve">  requireConformanceReport: true</w:t>
        <w:br/>
      </w:r>
      <w:r>
        <w:rPr>
          <w:rFonts w:ascii="Consolas" w:hAnsi="Consolas" w:eastAsia="Consolas"/>
          <w:sz w:val="17"/>
        </w:rPr>
        <w:t xml:space="preserve">  isolation: worker            # L2</w:t>
        <w:br/>
      </w:r>
      <w:r>
        <w:rPr>
          <w:rFonts w:ascii="Consolas" w:hAnsi="Consolas" w:eastAsia="Consolas"/>
          <w:sz w:val="17"/>
        </w:rPr>
        <w:t xml:space="preserve">  allowUnsignedInDevelopment: true</w:t>
      </w:r>
    </w:p>
    <w:p>
      <w:pPr>
        <w:pStyle w:val="Heading2"/>
      </w:pPr>
      <w:r>
        <w:t>5.3 Signature de paquet</w:t>
      </w:r>
    </w:p>
    <w:p>
      <w:pPr>
        <w:spacing w:before="120" w:after="200"/>
        <w:ind w:left="170"/>
        <w:shd w:val="clear" w:color="auto" w:fill="F2F5F7"/>
        <w:pBdr>
          <w:left w:val="single" w:sz="12" w:space="8" w:color="9FB3C0"/>
        </w:pBdr>
      </w:pPr>
      <w:r>
        <w:rPr>
          <w:rFonts w:ascii="Consolas" w:hAnsi="Consolas" w:eastAsia="Consolas"/>
          <w:sz w:val="17"/>
        </w:rPr>
        <w:t>mon-plugin.lcfp</w:t>
        <w:br/>
      </w:r>
      <w:r>
        <w:rPr>
          <w:rFonts w:ascii="Consolas" w:hAnsi="Consolas" w:eastAsia="Consolas"/>
          <w:sz w:val="17"/>
        </w:rPr>
        <w:t xml:space="preserve">  ├── lcf-plugin.json</w:t>
        <w:br/>
      </w:r>
      <w:r>
        <w:rPr>
          <w:rFonts w:ascii="Consolas" w:hAnsi="Consolas" w:eastAsia="Consolas"/>
          <w:sz w:val="17"/>
        </w:rPr>
        <w:t xml:space="preserve">  ├── dist/</w:t>
        <w:br/>
      </w:r>
      <w:r>
        <w:rPr>
          <w:rFonts w:ascii="Consolas" w:hAnsi="Consolas" w:eastAsia="Consolas"/>
          <w:sz w:val="17"/>
        </w:rPr>
        <w:t xml:space="preserve">  ├── conformance-report.json</w:t>
        <w:br/>
      </w:r>
      <w:r>
        <w:rPr>
          <w:rFonts w:ascii="Consolas" w:hAnsi="Consolas" w:eastAsia="Consolas"/>
          <w:sz w:val="17"/>
        </w:rPr>
        <w:t xml:space="preserve">  └── SIGNATURE</w:t>
        <w:br/>
      </w:r>
      <w:r>
        <w:rPr>
          <w:rFonts w:ascii="Consolas" w:hAnsi="Consolas" w:eastAsia="Consolas"/>
          <w:sz w:val="17"/>
        </w:rPr>
        <w:t xml:space="preserve">        algorithm : ed25519</w:t>
        <w:br/>
      </w:r>
      <w:r>
        <w:rPr>
          <w:rFonts w:ascii="Consolas" w:hAnsi="Consolas" w:eastAsia="Consolas"/>
          <w:sz w:val="17"/>
        </w:rPr>
        <w:t xml:space="preserve">        publicKey : &lt;cle publique du signataire&gt;</w:t>
        <w:br/>
      </w:r>
      <w:r>
        <w:rPr>
          <w:rFonts w:ascii="Consolas" w:hAnsi="Consolas" w:eastAsia="Consolas"/>
          <w:sz w:val="17"/>
        </w:rPr>
        <w:t xml:space="preserve">        signature : &lt;signature de sha256 du contenu du paquet&gt;</w:t>
        <w:br/>
      </w:r>
      <w:r>
        <w:rPr>
          <w:rFonts w:ascii="Consolas" w:hAnsi="Consolas" w:eastAsia="Consolas"/>
          <w:sz w:val="17"/>
        </w:rPr>
        <w:t xml:space="preserve">        signedAt  : 2026-08-01T12:00:00Z</w:t>
      </w:r>
    </w:p>
    <w:p>
      <w:pPr>
        <w:jc w:val="both"/>
      </w:pPr>
      <w:r>
        <w:t xml:space="preserve">Vérification au chargement : recalcul de l'empreinte du paquet, vérification de la signature, contrôle de la clé publique contre le magasin de confiance configuré. Un échec produit un </w:t>
      </w:r>
      <w:r>
        <w:rPr>
          <w:rFonts w:ascii="Consolas" w:hAnsi="Consolas"/>
          <w:color w:val="8B1A1A"/>
          <w:sz w:val="19"/>
        </w:rPr>
        <w:t>PluginRejected</w:t>
      </w:r>
      <w:r>
        <w:t xml:space="preserve"> avant toute évaluation de code.</w:t>
      </w:r>
    </w:p>
    <w:p>
      <w:pPr>
        <w:pStyle w:val="Heading2"/>
      </w:pPr>
      <w:r>
        <w:t>5.4 Dépendances</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Contrôle</w:t>
            </w:r>
          </w:p>
        </w:tc>
        <w:tc>
          <w:tcPr>
            <w:tcW w:type="dxa" w:w="4872"/>
            <w:shd w:val="clear" w:color="auto" w:fill="0B3D5B"/>
          </w:tcPr>
          <w:p>
            <w:pPr>
              <w:spacing w:after="40"/>
            </w:pPr>
            <w:r/>
            <w:r>
              <w:rPr>
                <w:b/>
                <w:color w:val="FFFFFF"/>
                <w:sz w:val="18"/>
              </w:rPr>
              <w:t>Application</w:t>
            </w:r>
          </w:p>
        </w:tc>
      </w:tr>
      <w:tr>
        <w:tc>
          <w:tcPr>
            <w:tcW w:type="dxa" w:w="4872"/>
          </w:tcPr>
          <w:p>
            <w:pPr>
              <w:spacing w:after="40"/>
            </w:pPr>
            <w:r/>
            <w:r>
              <w:rPr>
                <w:sz w:val="18"/>
              </w:rPr>
              <w:t>Fichier de verrouillage obligatoire</w:t>
            </w:r>
          </w:p>
        </w:tc>
        <w:tc>
          <w:tcPr>
            <w:tcW w:type="dxa" w:w="4872"/>
          </w:tcPr>
          <w:p>
            <w:pPr>
              <w:spacing w:after="40"/>
            </w:pPr>
            <w:r/>
            <w:r>
              <w:rPr>
                <w:sz w:val="18"/>
              </w:rPr>
              <w:t>Aucune installation sans versions figées</w:t>
            </w:r>
          </w:p>
        </w:tc>
      </w:tr>
      <w:tr>
        <w:tc>
          <w:tcPr>
            <w:tcW w:type="dxa" w:w="4872"/>
            <w:shd w:val="clear" w:color="auto" w:fill="F4F7F9"/>
          </w:tcPr>
          <w:p>
            <w:pPr>
              <w:spacing w:after="40"/>
            </w:pPr>
            <w:r/>
            <w:r>
              <w:rPr>
                <w:sz w:val="18"/>
              </w:rPr>
              <w:t>Analyse de vulnérabilités</w:t>
            </w:r>
          </w:p>
        </w:tc>
        <w:tc>
          <w:tcPr>
            <w:tcW w:type="dxa" w:w="4872"/>
            <w:shd w:val="clear" w:color="auto" w:fill="F4F7F9"/>
          </w:tcPr>
          <w:p>
            <w:pPr>
              <w:spacing w:after="40"/>
            </w:pPr>
            <w:r/>
            <w:r>
              <w:rPr>
                <w:sz w:val="18"/>
              </w:rPr>
              <w:t>En intégration continue, blocage sur sévérité élevée</w:t>
            </w:r>
          </w:p>
        </w:tc>
      </w:tr>
      <w:tr>
        <w:tc>
          <w:tcPr>
            <w:tcW w:type="dxa" w:w="4872"/>
          </w:tcPr>
          <w:p>
            <w:pPr>
              <w:spacing w:after="40"/>
            </w:pPr>
            <w:r/>
            <w:r>
              <w:rPr>
                <w:sz w:val="18"/>
              </w:rPr>
              <w:t>Nomenclature logicielle (SBOM)</w:t>
            </w:r>
          </w:p>
        </w:tc>
        <w:tc>
          <w:tcPr>
            <w:tcW w:type="dxa" w:w="4872"/>
          </w:tcPr>
          <w:p>
            <w:pPr>
              <w:spacing w:after="40"/>
            </w:pPr>
            <w:r/>
            <w:r>
              <w:rPr>
                <w:sz w:val="18"/>
              </w:rPr>
              <w:t>Générée à chaque publication, format CycloneDX</w:t>
            </w:r>
          </w:p>
        </w:tc>
      </w:tr>
      <w:tr>
        <w:tc>
          <w:tcPr>
            <w:tcW w:type="dxa" w:w="4872"/>
            <w:shd w:val="clear" w:color="auto" w:fill="F4F7F9"/>
          </w:tcPr>
          <w:p>
            <w:pPr>
              <w:spacing w:after="40"/>
            </w:pPr>
            <w:r/>
            <w:r>
              <w:rPr>
                <w:sz w:val="18"/>
              </w:rPr>
              <w:t>Budget de dépendances du noyau</w:t>
            </w:r>
          </w:p>
        </w:tc>
        <w:tc>
          <w:tcPr>
            <w:tcW w:type="dxa" w:w="4872"/>
            <w:shd w:val="clear" w:color="auto" w:fill="F4F7F9"/>
          </w:tcPr>
          <w:p>
            <w:pPr>
              <w:spacing w:after="40"/>
            </w:pPr>
            <w:r/>
            <w:r>
              <w:rPr>
                <w:sz w:val="18"/>
              </w:rPr>
              <w:t>Objectif : moins de 20 dépendances directes</w:t>
            </w:r>
          </w:p>
        </w:tc>
      </w:tr>
      <w:tr>
        <w:tc>
          <w:tcPr>
            <w:tcW w:type="dxa" w:w="4872"/>
          </w:tcPr>
          <w:p>
            <w:pPr>
              <w:spacing w:after="40"/>
            </w:pPr>
            <w:r/>
            <w:r>
              <w:rPr>
                <w:sz w:val="18"/>
              </w:rPr>
              <w:t>Aucun script d'installation</w:t>
            </w:r>
          </w:p>
        </w:tc>
        <w:tc>
          <w:tcPr>
            <w:tcW w:type="dxa" w:w="4872"/>
          </w:tcPr>
          <w:p>
            <w:pPr>
              <w:spacing w:after="40"/>
            </w:pPr>
            <w:r/>
            <w:r>
              <w:rPr>
                <w:sz w:val="18"/>
              </w:rPr>
              <w:t>`--ignore-scripts` imposé</w:t>
            </w:r>
          </w:p>
        </w:tc>
      </w:tr>
    </w:tbl>
    <w:p/>
    <w:p>
      <w:pPr>
        <w:jc w:val="both"/>
      </w:pPr>
      <w:r>
        <w:t>Le budget de dépendances du noyau est une décision d'architecture à part entière : sur quinze ans, chaque dépendance est un engagement de maintenance et une surface d'attaque. Le noyau privilégie la bibliothèque standard, même au prix de davantage de code écrit.</w:t>
      </w:r>
    </w:p>
    <w:p>
      <w:r>
        <w:br w:type="page"/>
      </w:r>
    </w:p>
    <w:p>
      <w:pPr>
        <w:pStyle w:val="Heading1"/>
      </w:pPr>
      <w:r>
        <w:t>Chapitre 6 — Contrôle d'accès</w:t>
      </w:r>
    </w:p>
    <w:p>
      <w:pPr>
        <w:pStyle w:val="Heading2"/>
      </w:pPr>
      <w:r>
        <w:t>6.1 Modèle</w:t>
      </w:r>
    </w:p>
    <w:p>
      <w:pPr>
        <w:jc w:val="both"/>
      </w:pPr>
      <w:r>
        <w:t xml:space="preserve">Le Framework ne gère pas d'utilisateurs. Il gère des </w:t>
      </w:r>
      <w:r>
        <w:rPr>
          <w:b/>
        </w:rPr>
        <w:t>jetons</w:t>
      </w:r>
      <w:r>
        <w:t xml:space="preserve"> portant des portées. L'authentification des personnes, quand elle est nécessaire, relève d'un mandataire en amont.</w:t>
      </w:r>
    </w:p>
    <w:p>
      <w:pPr>
        <w:spacing w:before="120" w:after="200"/>
        <w:ind w:left="170"/>
        <w:shd w:val="clear" w:color="auto" w:fill="F2F5F7"/>
        <w:pBdr>
          <w:left w:val="single" w:sz="12" w:space="8" w:color="9FB3C0"/>
        </w:pBdr>
      </w:pPr>
      <w:r>
        <w:rPr>
          <w:rFonts w:ascii="Consolas" w:hAnsi="Consolas" w:eastAsia="Consolas"/>
          <w:sz w:val="17"/>
        </w:rPr>
        <w:t>export type Scope =</w:t>
        <w:br/>
      </w:r>
      <w:r>
        <w:rPr>
          <w:rFonts w:ascii="Consolas" w:hAnsi="Consolas" w:eastAsia="Consolas"/>
          <w:sz w:val="17"/>
        </w:rPr>
        <w:t xml:space="preserve">  | "sources:read"   | "sources:write"</w:t>
        <w:br/>
      </w:r>
      <w:r>
        <w:rPr>
          <w:rFonts w:ascii="Consolas" w:hAnsi="Consolas" w:eastAsia="Consolas"/>
          <w:sz w:val="17"/>
        </w:rPr>
        <w:t xml:space="preserve">  | "runs:read"      | "runs:trigger"</w:t>
        <w:br/>
      </w:r>
      <w:r>
        <w:rPr>
          <w:rFonts w:ascii="Consolas" w:hAnsi="Consolas" w:eastAsia="Consolas"/>
          <w:sz w:val="17"/>
        </w:rPr>
        <w:t xml:space="preserve">  | "documents:read" | "documents:content"</w:t>
        <w:br/>
      </w:r>
      <w:r>
        <w:rPr>
          <w:rFonts w:ascii="Consolas" w:hAnsi="Consolas" w:eastAsia="Consolas"/>
          <w:sz w:val="17"/>
        </w:rPr>
        <w:t xml:space="preserve">  | "events:subscribe"</w:t>
        <w:br/>
      </w:r>
      <w:r>
        <w:rPr>
          <w:rFonts w:ascii="Consolas" w:hAnsi="Consolas" w:eastAsia="Consolas"/>
          <w:sz w:val="17"/>
        </w:rPr>
        <w:t xml:space="preserve">  | "admin";</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Rôle type</w:t>
            </w:r>
          </w:p>
        </w:tc>
        <w:tc>
          <w:tcPr>
            <w:tcW w:type="dxa" w:w="3248"/>
            <w:shd w:val="clear" w:color="auto" w:fill="0B3D5B"/>
          </w:tcPr>
          <w:p>
            <w:pPr>
              <w:spacing w:after="40"/>
            </w:pPr>
            <w:r/>
            <w:r>
              <w:rPr>
                <w:b/>
                <w:color w:val="FFFFFF"/>
                <w:sz w:val="18"/>
              </w:rPr>
              <w:t>Portées</w:t>
            </w:r>
          </w:p>
        </w:tc>
        <w:tc>
          <w:tcPr>
            <w:tcW w:type="dxa" w:w="3248"/>
            <w:shd w:val="clear" w:color="auto" w:fill="0B3D5B"/>
          </w:tcPr>
          <w:p>
            <w:pPr>
              <w:spacing w:after="40"/>
            </w:pPr>
            <w:r/>
            <w:r>
              <w:rPr>
                <w:b/>
                <w:color w:val="FFFFFF"/>
                <w:sz w:val="18"/>
              </w:rPr>
              <w:t>Usage</w:t>
            </w:r>
          </w:p>
        </w:tc>
      </w:tr>
      <w:tr>
        <w:tc>
          <w:tcPr>
            <w:tcW w:type="dxa" w:w="3248"/>
          </w:tcPr>
          <w:p>
            <w:pPr>
              <w:spacing w:after="40"/>
            </w:pPr>
            <w:r/>
            <w:r>
              <w:rPr>
                <w:sz w:val="18"/>
              </w:rPr>
              <w:t>Lecteur</w:t>
            </w:r>
          </w:p>
        </w:tc>
        <w:tc>
          <w:tcPr>
            <w:tcW w:type="dxa" w:w="3248"/>
          </w:tcPr>
          <w:p>
            <w:pPr>
              <w:spacing w:after="40"/>
            </w:pPr>
            <w:r/>
            <w:r>
              <w:rPr>
                <w:sz w:val="18"/>
              </w:rPr>
              <w:t>`documents:read`, `sources:read`</w:t>
            </w:r>
          </w:p>
        </w:tc>
        <w:tc>
          <w:tcPr>
            <w:tcW w:type="dxa" w:w="3248"/>
          </w:tcPr>
          <w:p>
            <w:pPr>
              <w:spacing w:after="40"/>
            </w:pPr>
            <w:r/>
            <w:r>
              <w:rPr>
                <w:sz w:val="18"/>
              </w:rPr>
              <w:t>Interface de consultation</w:t>
            </w:r>
          </w:p>
        </w:tc>
      </w:tr>
      <w:tr>
        <w:tc>
          <w:tcPr>
            <w:tcW w:type="dxa" w:w="3248"/>
            <w:shd w:val="clear" w:color="auto" w:fill="F4F7F9"/>
          </w:tcPr>
          <w:p>
            <w:pPr>
              <w:spacing w:after="40"/>
            </w:pPr>
            <w:r/>
            <w:r>
              <w:rPr>
                <w:sz w:val="18"/>
              </w:rPr>
              <w:t>Consommateur</w:t>
            </w:r>
          </w:p>
        </w:tc>
        <w:tc>
          <w:tcPr>
            <w:tcW w:type="dxa" w:w="3248"/>
            <w:shd w:val="clear" w:color="auto" w:fill="F4F7F9"/>
          </w:tcPr>
          <w:p>
            <w:pPr>
              <w:spacing w:after="40"/>
            </w:pPr>
            <w:r/>
            <w:r>
              <w:rPr>
                <w:sz w:val="18"/>
              </w:rPr>
              <w:t>+ `documents:content`, `events:subscribe`</w:t>
            </w:r>
          </w:p>
        </w:tc>
        <w:tc>
          <w:tcPr>
            <w:tcW w:type="dxa" w:w="3248"/>
            <w:shd w:val="clear" w:color="auto" w:fill="F4F7F9"/>
          </w:tcPr>
          <w:p>
            <w:pPr>
              <w:spacing w:after="40"/>
            </w:pPr>
            <w:r/>
            <w:r>
              <w:rPr>
                <w:sz w:val="18"/>
              </w:rPr>
              <w:t>Pipeline aval, indexation</w:t>
            </w:r>
          </w:p>
        </w:tc>
      </w:tr>
      <w:tr>
        <w:tc>
          <w:tcPr>
            <w:tcW w:type="dxa" w:w="3248"/>
          </w:tcPr>
          <w:p>
            <w:pPr>
              <w:spacing w:after="40"/>
            </w:pPr>
            <w:r/>
            <w:r>
              <w:rPr>
                <w:sz w:val="18"/>
              </w:rPr>
              <w:t>Opérateur</w:t>
            </w:r>
          </w:p>
        </w:tc>
        <w:tc>
          <w:tcPr>
            <w:tcW w:type="dxa" w:w="3248"/>
          </w:tcPr>
          <w:p>
            <w:pPr>
              <w:spacing w:after="40"/>
            </w:pPr>
            <w:r/>
            <w:r>
              <w:rPr>
                <w:sz w:val="18"/>
              </w:rPr>
              <w:t>+ `runs:trigger`, `runs:read`</w:t>
            </w:r>
          </w:p>
        </w:tc>
        <w:tc>
          <w:tcPr>
            <w:tcW w:type="dxa" w:w="3248"/>
          </w:tcPr>
          <w:p>
            <w:pPr>
              <w:spacing w:after="40"/>
            </w:pPr>
            <w:r/>
            <w:r>
              <w:rPr>
                <w:sz w:val="18"/>
              </w:rPr>
              <w:t>Exploitation</w:t>
            </w:r>
          </w:p>
        </w:tc>
      </w:tr>
      <w:tr>
        <w:tc>
          <w:tcPr>
            <w:tcW w:type="dxa" w:w="3248"/>
            <w:shd w:val="clear" w:color="auto" w:fill="F4F7F9"/>
          </w:tcPr>
          <w:p>
            <w:pPr>
              <w:spacing w:after="40"/>
            </w:pPr>
            <w:r/>
            <w:r>
              <w:rPr>
                <w:sz w:val="18"/>
              </w:rPr>
              <w:t>Administrateur</w:t>
            </w:r>
          </w:p>
        </w:tc>
        <w:tc>
          <w:tcPr>
            <w:tcW w:type="dxa" w:w="3248"/>
            <w:shd w:val="clear" w:color="auto" w:fill="F4F7F9"/>
          </w:tcPr>
          <w:p>
            <w:pPr>
              <w:spacing w:after="40"/>
            </w:pPr>
            <w:r/>
            <w:r>
              <w:rPr>
                <w:sz w:val="18"/>
              </w:rPr>
              <w:t>`admin`</w:t>
            </w:r>
          </w:p>
        </w:tc>
        <w:tc>
          <w:tcPr>
            <w:tcW w:type="dxa" w:w="3248"/>
            <w:shd w:val="clear" w:color="auto" w:fill="F4F7F9"/>
          </w:tcPr>
          <w:p>
            <w:pPr>
              <w:spacing w:after="40"/>
            </w:pPr>
            <w:r/>
            <w:r>
              <w:rPr>
                <w:sz w:val="18"/>
              </w:rPr>
              <w:t>Configuration, purge</w:t>
            </w:r>
          </w:p>
        </w:tc>
      </w:tr>
    </w:tbl>
    <w:p/>
    <w:p>
      <w:pPr>
        <w:pStyle w:val="Heading2"/>
      </w:pPr>
      <w:r>
        <w:t>6.2 Règles imposées</w:t>
      </w:r>
    </w:p>
    <w:p>
      <w:pPr>
        <w:pStyle w:val="ListBullet"/>
        <w:spacing w:after="40"/>
      </w:pPr>
      <w:r>
        <w:t xml:space="preserve">L'API HTTP est </w:t>
      </w:r>
      <w:r>
        <w:rPr>
          <w:b/>
        </w:rPr>
        <w:t>par défaut liée à `127.0.0.1`</w:t>
      </w:r>
      <w:r>
        <w:t>. L'exposer publiquement est une action délibérée de configuration.</w:t>
      </w:r>
    </w:p>
    <w:p>
      <w:pPr>
        <w:pStyle w:val="ListBullet"/>
        <w:spacing w:after="40"/>
      </w:pPr>
      <w:r>
        <w:t>Aucune écriture sur le corpus par l'API, quelle que soit la portée : le corpus n'est modifiable que par une collecte.</w:t>
      </w:r>
    </w:p>
    <w:p>
      <w:pPr>
        <w:pStyle w:val="ListBullet"/>
        <w:spacing w:after="40"/>
      </w:pPr>
      <w:r>
        <w:t xml:space="preserve">La portée </w:t>
      </w:r>
      <w:r>
        <w:rPr>
          <w:rFonts w:ascii="Consolas" w:hAnsi="Consolas"/>
          <w:color w:val="8B1A1A"/>
          <w:sz w:val="19"/>
        </w:rPr>
        <w:t>admin</w:t>
      </w:r>
      <w:r>
        <w:t xml:space="preserve"> ne peut pas être accordée à un jeton à longue durée de vie ; durée maximale : 24 heures.</w:t>
      </w:r>
    </w:p>
    <w:p>
      <w:pPr>
        <w:pStyle w:val="ListBullet"/>
        <w:spacing w:after="40"/>
      </w:pPr>
      <w:r>
        <w:t>Toute opération destructive (</w:t>
      </w:r>
      <w:r>
        <w:rPr>
          <w:rFonts w:ascii="Consolas" w:hAnsi="Consolas"/>
          <w:color w:val="8B1A1A"/>
          <w:sz w:val="19"/>
        </w:rPr>
        <w:t>purge</w:t>
      </w:r>
      <w:r>
        <w:t xml:space="preserve">, </w:t>
      </w:r>
      <w:r>
        <w:rPr>
          <w:rFonts w:ascii="Consolas" w:hAnsi="Consolas"/>
          <w:color w:val="8B1A1A"/>
          <w:sz w:val="19"/>
        </w:rPr>
        <w:t>prune</w:t>
      </w:r>
      <w:r>
        <w:t xml:space="preserve">, </w:t>
      </w:r>
      <w:r>
        <w:rPr>
          <w:rFonts w:ascii="Consolas" w:hAnsi="Consolas"/>
          <w:color w:val="8B1A1A"/>
          <w:sz w:val="19"/>
        </w:rPr>
        <w:t>gc --confirm</w:t>
      </w:r>
      <w:r>
        <w:t>) est refusée via HTTP, et n'existe qu'en ligne de commande, sur la machine hôte.</w:t>
      </w:r>
    </w:p>
    <w:p>
      <w:pPr>
        <w:spacing w:before="120" w:after="200"/>
        <w:ind w:left="170"/>
        <w:shd w:val="clear" w:color="auto" w:fill="EAF2F6"/>
        <w:pBdr>
          <w:left w:val="single" w:sz="18" w:space="8" w:color="1B6C8F"/>
        </w:pBdr>
      </w:pPr>
      <w:r>
        <w:rPr>
          <w:i/>
          <w:sz w:val="20"/>
        </w:rPr>
        <w:t>Ce dernier point est une contrainte volontairement inconfortable. Une opération irréversible ne doit pas être accessible à distance derrière un jeton qui peut fuir. Le coût — devoir se connecter à la machine — est exactement la friction souhaitée.</w:t>
      </w:r>
    </w:p>
    <w:p>
      <w:r>
        <w:br w:type="page"/>
      </w:r>
    </w:p>
    <w:p>
      <w:pPr>
        <w:pStyle w:val="Heading1"/>
      </w:pPr>
      <w:r>
        <w:t>Chapitre 7 — Collecte responsable</w:t>
      </w:r>
    </w:p>
    <w:p>
      <w:pPr>
        <w:pStyle w:val="Heading2"/>
      </w:pPr>
      <w:r>
        <w:t>7.1 Position</w:t>
      </w:r>
    </w:p>
    <w:p>
      <w:pPr>
        <w:jc w:val="both"/>
      </w:pPr>
      <w:r>
        <w:t>Le Framework est conçu pour collecter des documents publics auprès de sources officielles. Sa conception doit rendre le comportement respectueux plus simple que le comportement agressif.</w:t>
      </w:r>
    </w:p>
    <w:p>
      <w:pPr>
        <w:pStyle w:val="Heading2"/>
      </w:pPr>
      <w:r>
        <w:t>7.2 Mesures imposées par défaut</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Mesure</w:t>
            </w:r>
          </w:p>
        </w:tc>
        <w:tc>
          <w:tcPr>
            <w:tcW w:type="dxa" w:w="3248"/>
            <w:shd w:val="clear" w:color="auto" w:fill="0B3D5B"/>
          </w:tcPr>
          <w:p>
            <w:pPr>
              <w:spacing w:after="40"/>
            </w:pPr>
            <w:r/>
            <w:r>
              <w:rPr>
                <w:b/>
                <w:color w:val="FFFFFF"/>
                <w:sz w:val="18"/>
              </w:rPr>
              <w:t>Défaut</w:t>
            </w:r>
          </w:p>
        </w:tc>
        <w:tc>
          <w:tcPr>
            <w:tcW w:type="dxa" w:w="3248"/>
            <w:shd w:val="clear" w:color="auto" w:fill="0B3D5B"/>
          </w:tcPr>
          <w:p>
            <w:pPr>
              <w:spacing w:after="40"/>
            </w:pPr>
            <w:r/>
            <w:r>
              <w:rPr>
                <w:b/>
                <w:color w:val="FFFFFF"/>
                <w:sz w:val="18"/>
              </w:rPr>
              <w:t>Modifiable</w:t>
            </w:r>
          </w:p>
        </w:tc>
      </w:tr>
      <w:tr>
        <w:tc>
          <w:tcPr>
            <w:tcW w:type="dxa" w:w="3248"/>
          </w:tcPr>
          <w:p>
            <w:pPr>
              <w:spacing w:after="40"/>
            </w:pPr>
            <w:r/>
            <w:r>
              <w:rPr>
                <w:sz w:val="18"/>
              </w:rPr>
              <w:t>Respect de `robots.txt`</w:t>
            </w:r>
          </w:p>
        </w:tc>
        <w:tc>
          <w:tcPr>
            <w:tcW w:type="dxa" w:w="3248"/>
          </w:tcPr>
          <w:p>
            <w:pPr>
              <w:spacing w:after="40"/>
            </w:pPr>
            <w:r/>
            <w:r>
              <w:rPr>
                <w:sz w:val="18"/>
              </w:rPr>
              <w:t>Activé</w:t>
            </w:r>
          </w:p>
        </w:tc>
        <w:tc>
          <w:tcPr>
            <w:tcW w:type="dxa" w:w="3248"/>
          </w:tcPr>
          <w:p>
            <w:pPr>
              <w:spacing w:after="40"/>
            </w:pPr>
            <w:r/>
            <w:r>
              <w:rPr>
                <w:sz w:val="18"/>
              </w:rPr>
              <w:t>Par source, décision journalisée</w:t>
            </w:r>
          </w:p>
        </w:tc>
      </w:tr>
      <w:tr>
        <w:tc>
          <w:tcPr>
            <w:tcW w:type="dxa" w:w="3248"/>
            <w:shd w:val="clear" w:color="auto" w:fill="F4F7F9"/>
          </w:tcPr>
          <w:p>
            <w:pPr>
              <w:spacing w:after="40"/>
            </w:pPr>
            <w:r/>
            <w:r>
              <w:rPr>
                <w:sz w:val="18"/>
              </w:rPr>
              <w:t>Délai de politesse</w:t>
            </w:r>
          </w:p>
        </w:tc>
        <w:tc>
          <w:tcPr>
            <w:tcW w:type="dxa" w:w="3248"/>
            <w:shd w:val="clear" w:color="auto" w:fill="F4F7F9"/>
          </w:tcPr>
          <w:p>
            <w:pPr>
              <w:spacing w:after="40"/>
            </w:pPr>
            <w:r/>
            <w:r>
              <w:rPr>
                <w:sz w:val="18"/>
              </w:rPr>
              <w:t>1 000 ms entre requêtes vers un même hôte</w:t>
            </w:r>
          </w:p>
        </w:tc>
        <w:tc>
          <w:tcPr>
            <w:tcW w:type="dxa" w:w="3248"/>
            <w:shd w:val="clear" w:color="auto" w:fill="F4F7F9"/>
          </w:tcPr>
          <w:p>
            <w:pPr>
              <w:spacing w:after="40"/>
            </w:pPr>
            <w:r/>
            <w:r>
              <w:rPr>
                <w:sz w:val="18"/>
              </w:rPr>
              <w:t>Oui, plancher 100 ms</w:t>
            </w:r>
          </w:p>
        </w:tc>
      </w:tr>
      <w:tr>
        <w:tc>
          <w:tcPr>
            <w:tcW w:type="dxa" w:w="3248"/>
          </w:tcPr>
          <w:p>
            <w:pPr>
              <w:spacing w:after="40"/>
            </w:pPr>
            <w:r/>
            <w:r>
              <w:rPr>
                <w:sz w:val="18"/>
              </w:rPr>
              <w:t>Requêtes simultanées par hôte</w:t>
            </w:r>
          </w:p>
        </w:tc>
        <w:tc>
          <w:tcPr>
            <w:tcW w:type="dxa" w:w="3248"/>
          </w:tcPr>
          <w:p>
            <w:pPr>
              <w:spacing w:after="40"/>
            </w:pPr>
            <w:r/>
            <w:r>
              <w:rPr>
                <w:sz w:val="18"/>
              </w:rPr>
              <w:t>2</w:t>
            </w:r>
          </w:p>
        </w:tc>
        <w:tc>
          <w:tcPr>
            <w:tcW w:type="dxa" w:w="3248"/>
          </w:tcPr>
          <w:p>
            <w:pPr>
              <w:spacing w:after="40"/>
            </w:pPr>
            <w:r/>
            <w:r>
              <w:rPr>
                <w:sz w:val="18"/>
              </w:rPr>
              <w:t>Oui, plafond 10</w:t>
            </w:r>
          </w:p>
        </w:tc>
      </w:tr>
      <w:tr>
        <w:tc>
          <w:tcPr>
            <w:tcW w:type="dxa" w:w="3248"/>
            <w:shd w:val="clear" w:color="auto" w:fill="F4F7F9"/>
          </w:tcPr>
          <w:p>
            <w:pPr>
              <w:spacing w:after="40"/>
            </w:pPr>
            <w:r/>
            <w:r>
              <w:rPr>
                <w:sz w:val="18"/>
              </w:rPr>
              <w:t>En-tête `User-Agent` identifiant</w:t>
            </w:r>
          </w:p>
        </w:tc>
        <w:tc>
          <w:tcPr>
            <w:tcW w:type="dxa" w:w="3248"/>
            <w:shd w:val="clear" w:color="auto" w:fill="F4F7F9"/>
          </w:tcPr>
          <w:p>
            <w:pPr>
              <w:spacing w:after="40"/>
            </w:pPr>
            <w:r/>
            <w:r>
              <w:rPr>
                <w:sz w:val="18"/>
              </w:rPr>
              <w:t>Obligatoire</w:t>
            </w:r>
          </w:p>
        </w:tc>
        <w:tc>
          <w:tcPr>
            <w:tcW w:type="dxa" w:w="3248"/>
            <w:shd w:val="clear" w:color="auto" w:fill="F4F7F9"/>
          </w:tcPr>
          <w:p>
            <w:pPr>
              <w:spacing w:after="40"/>
            </w:pPr>
            <w:r/>
            <w:r>
              <w:rPr>
                <w:sz w:val="18"/>
              </w:rPr>
              <w:t>Contenu configurable, présence non</w:t>
            </w:r>
          </w:p>
        </w:tc>
      </w:tr>
      <w:tr>
        <w:tc>
          <w:tcPr>
            <w:tcW w:type="dxa" w:w="3248"/>
          </w:tcPr>
          <w:p>
            <w:pPr>
              <w:spacing w:after="40"/>
            </w:pPr>
            <w:r/>
            <w:r>
              <w:rPr>
                <w:sz w:val="18"/>
              </w:rPr>
              <w:t>Adresse de contact</w:t>
            </w:r>
          </w:p>
        </w:tc>
        <w:tc>
          <w:tcPr>
            <w:tcW w:type="dxa" w:w="3248"/>
          </w:tcPr>
          <w:p>
            <w:pPr>
              <w:spacing w:after="40"/>
            </w:pPr>
            <w:r/>
            <w:r>
              <w:rPr>
                <w:sz w:val="18"/>
              </w:rPr>
              <w:t>Obligatoire en configuration</w:t>
            </w:r>
          </w:p>
        </w:tc>
        <w:tc>
          <w:tcPr>
            <w:tcW w:type="dxa" w:w="3248"/>
          </w:tcPr>
          <w:p>
            <w:pPr>
              <w:spacing w:after="40"/>
            </w:pPr>
            <w:r/>
            <w:r>
              <w:rPr>
                <w:sz w:val="18"/>
              </w:rPr>
              <w:t>Non</w:t>
            </w:r>
          </w:p>
        </w:tc>
      </w:tr>
      <w:tr>
        <w:tc>
          <w:tcPr>
            <w:tcW w:type="dxa" w:w="3248"/>
            <w:shd w:val="clear" w:color="auto" w:fill="F4F7F9"/>
          </w:tcPr>
          <w:p>
            <w:pPr>
              <w:spacing w:after="40"/>
            </w:pPr>
            <w:r/>
            <w:r>
              <w:rPr>
                <w:sz w:val="18"/>
              </w:rPr>
              <w:t>Respect de `Retry-After`</w:t>
            </w:r>
          </w:p>
        </w:tc>
        <w:tc>
          <w:tcPr>
            <w:tcW w:type="dxa" w:w="3248"/>
            <w:shd w:val="clear" w:color="auto" w:fill="F4F7F9"/>
          </w:tcPr>
          <w:p>
            <w:pPr>
              <w:spacing w:after="40"/>
            </w:pPr>
            <w:r/>
            <w:r>
              <w:rPr>
                <w:sz w:val="18"/>
              </w:rPr>
              <w:t>Toujours</w:t>
            </w:r>
          </w:p>
        </w:tc>
        <w:tc>
          <w:tcPr>
            <w:tcW w:type="dxa" w:w="3248"/>
            <w:shd w:val="clear" w:color="auto" w:fill="F4F7F9"/>
          </w:tcPr>
          <w:p>
            <w:pPr>
              <w:spacing w:after="40"/>
            </w:pPr>
            <w:r/>
            <w:r>
              <w:rPr>
                <w:sz w:val="18"/>
              </w:rPr>
              <w:t>Non</w:t>
            </w:r>
          </w:p>
        </w:tc>
      </w:tr>
      <w:tr>
        <w:tc>
          <w:tcPr>
            <w:tcW w:type="dxa" w:w="3248"/>
          </w:tcPr>
          <w:p>
            <w:pPr>
              <w:spacing w:after="40"/>
            </w:pPr>
            <w:r/>
            <w:r>
              <w:rPr>
                <w:sz w:val="18"/>
              </w:rPr>
              <w:t>Repli exponentiel sur 429/503</w:t>
            </w:r>
          </w:p>
        </w:tc>
        <w:tc>
          <w:tcPr>
            <w:tcW w:type="dxa" w:w="3248"/>
          </w:tcPr>
          <w:p>
            <w:pPr>
              <w:spacing w:after="40"/>
            </w:pPr>
            <w:r/>
            <w:r>
              <w:rPr>
                <w:sz w:val="18"/>
              </w:rPr>
              <w:t>Toujours</w:t>
            </w:r>
          </w:p>
        </w:tc>
        <w:tc>
          <w:tcPr>
            <w:tcW w:type="dxa" w:w="3248"/>
          </w:tcPr>
          <w:p>
            <w:pPr>
              <w:spacing w:after="40"/>
            </w:pPr>
            <w:r/>
            <w:r>
              <w:rPr>
                <w:sz w:val="18"/>
              </w:rPr>
              <w:t>Non</w:t>
            </w:r>
          </w:p>
        </w:tc>
      </w:tr>
    </w:tbl>
    <w:p/>
    <w:p>
      <w:pPr>
        <w:spacing w:before="120" w:after="200"/>
        <w:ind w:left="170"/>
        <w:shd w:val="clear" w:color="auto" w:fill="F2F5F7"/>
        <w:pBdr>
          <w:left w:val="single" w:sz="12" w:space="8" w:color="9FB3C0"/>
        </w:pBdr>
      </w:pPr>
      <w:r>
        <w:rPr>
          <w:rFonts w:ascii="Consolas" w:hAnsi="Consolas" w:eastAsia="Consolas"/>
          <w:sz w:val="17"/>
        </w:rPr>
        <w:t>User-Agent: LCF/1.0 (Legal Collection Framework; +https://exemple.org/lcf; contact@exemple.org)</w:t>
      </w:r>
    </w:p>
    <w:p>
      <w:pPr>
        <w:jc w:val="both"/>
      </w:pPr>
      <w:r>
        <w:t>L'obligation d'une adresse de contact n'est pas cosmétique : elle permet à l'administrateur d'une source de signaler un problème plutôt que de bloquer aveuglément une plage d'adresses. Un collecteur anonyme finit toujours par être bloqué.</w:t>
      </w:r>
    </w:p>
    <w:p>
      <w:pPr>
        <w:pStyle w:val="Heading2"/>
      </w:pPr>
      <w:r>
        <w:t>7.3 Fenêtres de collecte</w:t>
      </w:r>
    </w:p>
    <w:p>
      <w:pPr>
        <w:spacing w:before="120" w:after="200"/>
        <w:ind w:left="170"/>
        <w:shd w:val="clear" w:color="auto" w:fill="F2F5F7"/>
        <w:pBdr>
          <w:left w:val="single" w:sz="12" w:space="8" w:color="9FB3C0"/>
        </w:pBdr>
      </w:pPr>
      <w:r>
        <w:rPr>
          <w:rFonts w:ascii="Consolas" w:hAnsi="Consolas" w:eastAsia="Consolas"/>
          <w:sz w:val="17"/>
        </w:rPr>
        <w:t>schedule:</w:t>
        <w:br/>
      </w:r>
      <w:r>
        <w:rPr>
          <w:rFonts w:ascii="Consolas" w:hAnsi="Consolas" w:eastAsia="Consolas"/>
          <w:sz w:val="17"/>
        </w:rPr>
        <w:t xml:space="preserve">  defaultCron: "0 3 * * *"</w:t>
        <w:br/>
      </w:r>
      <w:r>
        <w:rPr>
          <w:rFonts w:ascii="Consolas" w:hAnsi="Consolas" w:eastAsia="Consolas"/>
          <w:sz w:val="17"/>
        </w:rPr>
        <w:t xml:space="preserve">  timezone: "UTC"</w:t>
        <w:br/>
      </w:r>
      <w:r>
        <w:rPr>
          <w:rFonts w:ascii="Consolas" w:hAnsi="Consolas" w:eastAsia="Consolas"/>
          <w:sz w:val="17"/>
        </w:rPr>
        <w:t xml:space="preserve">  blackoutWindows:</w:t>
        <w:br/>
      </w:r>
      <w:r>
        <w:rPr>
          <w:rFonts w:ascii="Consolas" w:hAnsi="Consolas" w:eastAsia="Consolas"/>
          <w:sz w:val="17"/>
        </w:rPr>
        <w:t xml:space="preserve">    - { days: ["mon-fri"], from: "08:00", to: "18:00", tz: "local" }</w:t>
      </w:r>
    </w:p>
    <w:p>
      <w:pPr>
        <w:jc w:val="both"/>
      </w:pPr>
      <w:r>
        <w:t>Les fenêtres d'exclusion permettent d'éviter les heures ouvrables de la source, période où la charge sur ses serveurs importe le plus.</w:t>
      </w:r>
    </w:p>
    <w:p>
      <w:pPr>
        <w:pStyle w:val="Heading2"/>
      </w:pPr>
      <w:r>
        <w:t>7.4 Ce que le Framework ne fera pas</w:t>
      </w:r>
    </w:p>
    <w:p>
      <w:pPr>
        <w:jc w:val="both"/>
      </w:pPr>
      <w:r>
        <w:t>Ces exclusions sont des décisions d'architecture, pas des options manquantes :</w:t>
      </w:r>
    </w:p>
    <w:p>
      <w:pPr>
        <w:pStyle w:val="ListBullet"/>
        <w:spacing w:after="40"/>
      </w:pPr>
      <w:r>
        <w:t>aucun contournement de CAPTCHA ;</w:t>
      </w:r>
    </w:p>
    <w:p>
      <w:pPr>
        <w:pStyle w:val="ListBullet"/>
        <w:spacing w:after="40"/>
      </w:pPr>
      <w:r>
        <w:t>aucune rotation d'identité destinée à échapper à une limitation ;</w:t>
      </w:r>
    </w:p>
    <w:p>
      <w:pPr>
        <w:pStyle w:val="ListBullet"/>
        <w:spacing w:after="40"/>
      </w:pPr>
      <w:r>
        <w:t>aucun contournement d'authentification ou de paywall ;</w:t>
      </w:r>
    </w:p>
    <w:p>
      <w:pPr>
        <w:pStyle w:val="ListBullet"/>
        <w:spacing w:after="40"/>
      </w:pPr>
      <w:r>
        <w:t>aucune usurpation d'agent utilisateur visant à dissimuler la nature du collecteur ;</w:t>
      </w:r>
    </w:p>
    <w:p>
      <w:pPr>
        <w:pStyle w:val="ListBullet"/>
        <w:spacing w:after="40"/>
      </w:pPr>
      <w:r>
        <w:t>aucune collecte distribuée destinée à masquer un volume de requêtes.</w:t>
      </w:r>
    </w:p>
    <w:p>
      <w:pPr>
        <w:jc w:val="both"/>
      </w:pPr>
      <w:r>
        <w:t>Un système capable de collecter agressivement finit par être utilisé agressivement. L'absence de ces capacités est la garantie.</w:t>
      </w:r>
    </w:p>
    <w:p>
      <w:r>
        <w:br w:type="page"/>
      </w:r>
    </w:p>
    <w:p>
      <w:pPr>
        <w:pStyle w:val="Heading1"/>
      </w:pPr>
      <w:r>
        <w:t>Chapitre 8 — Chaîne de confiance et preuve</w:t>
      </w:r>
    </w:p>
    <w:p>
      <w:pPr>
        <w:pStyle w:val="Heading2"/>
      </w:pPr>
      <w:r>
        <w:t>8.1 Le problème</w:t>
      </w:r>
    </w:p>
    <w:p>
      <w:pPr>
        <w:jc w:val="both"/>
      </w:pPr>
      <w:r>
        <w:t>Un corpus documentaire n'a de valeur que si l'on peut établir, des années plus tard, que le document conservé est bien celui qui a été publié, et qu'il n'a pas été altéré depuis.</w:t>
      </w:r>
    </w:p>
    <w:p>
      <w:pPr>
        <w:pStyle w:val="Heading2"/>
      </w:pPr>
      <w:r>
        <w:t>8.2 Éléments de la chaîne</w:t>
      </w:r>
    </w:p>
    <w:p>
      <w:pPr>
        <w:spacing w:before="120" w:after="200"/>
        <w:ind w:left="170"/>
        <w:shd w:val="clear" w:color="auto" w:fill="F2F5F7"/>
        <w:pBdr>
          <w:left w:val="single" w:sz="12" w:space="8" w:color="9FB3C0"/>
        </w:pBdr>
      </w:pPr>
      <w:r>
        <w:rPr>
          <w:rFonts w:ascii="Consolas" w:hAnsi="Consolas" w:eastAsia="Consolas"/>
          <w:sz w:val="17"/>
        </w:rPr>
        <w:t xml:space="preserve">   Publication par la source</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Collecte  -&gt; horodatage, URL, en-tetes HTTP, empreinte du contenu</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Stockage  -&gt; adressage par contenu, descripteur auto-portant</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Journal d'audit en ajout seul  -&gt; chainage cryptographique</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Horodatage externe (optionnel)  -&gt; ancrage temporel independant</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Verification a la demande, a tout moment</w:t>
      </w:r>
    </w:p>
    <w:p>
      <w:pPr>
        <w:pStyle w:val="Heading2"/>
      </w:pPr>
      <w:r>
        <w:t>8.3 Journal en ajout seul</w:t>
      </w:r>
    </w:p>
    <w:p>
      <w:pPr>
        <w:spacing w:before="120" w:after="200"/>
        <w:ind w:left="170"/>
        <w:shd w:val="clear" w:color="auto" w:fill="F2F5F7"/>
        <w:pBdr>
          <w:left w:val="single" w:sz="12" w:space="8" w:color="9FB3C0"/>
        </w:pBdr>
      </w:pPr>
      <w:r>
        <w:rPr>
          <w:rFonts w:ascii="Consolas" w:hAnsi="Consolas" w:eastAsia="Consolas"/>
          <w:sz w:val="17"/>
        </w:rPr>
        <w:t>CREATE TABLE audit_log (</w:t>
        <w:br/>
      </w:r>
      <w:r>
        <w:rPr>
          <w:rFonts w:ascii="Consolas" w:hAnsi="Consolas" w:eastAsia="Consolas"/>
          <w:sz w:val="17"/>
        </w:rPr>
        <w:t xml:space="preserve">  seq            INTEGER PRIMARY KEY AUTOINCREMENT,</w:t>
        <w:br/>
      </w:r>
      <w:r>
        <w:rPr>
          <w:rFonts w:ascii="Consolas" w:hAnsi="Consolas" w:eastAsia="Consolas"/>
          <w:sz w:val="17"/>
        </w:rPr>
        <w:t xml:space="preserve">  occurred_at    TEXT NOT NULL,</w:t>
        <w:br/>
      </w:r>
      <w:r>
        <w:rPr>
          <w:rFonts w:ascii="Consolas" w:hAnsi="Consolas" w:eastAsia="Consolas"/>
          <w:sz w:val="17"/>
        </w:rPr>
        <w:t xml:space="preserve">  actor          TEXT NOT NULL,      -- 'system' | 'run:&lt;id&gt;' | 'user:&lt;id&gt;'</w:t>
        <w:br/>
      </w:r>
      <w:r>
        <w:rPr>
          <w:rFonts w:ascii="Consolas" w:hAnsi="Consolas" w:eastAsia="Consolas"/>
          <w:sz w:val="17"/>
        </w:rPr>
        <w:t xml:space="preserve">  action         TEXT NOT NULL,</w:t>
        <w:br/>
      </w:r>
      <w:r>
        <w:rPr>
          <w:rFonts w:ascii="Consolas" w:hAnsi="Consolas" w:eastAsia="Consolas"/>
          <w:sz w:val="17"/>
        </w:rPr>
        <w:t xml:space="preserve">  subject_type   TEXT NOT NULL,</w:t>
        <w:br/>
      </w:r>
      <w:r>
        <w:rPr>
          <w:rFonts w:ascii="Consolas" w:hAnsi="Consolas" w:eastAsia="Consolas"/>
          <w:sz w:val="17"/>
        </w:rPr>
        <w:t xml:space="preserve">  subject_id     TEXT NOT NULL,</w:t>
        <w:br/>
      </w:r>
      <w:r>
        <w:rPr>
          <w:rFonts w:ascii="Consolas" w:hAnsi="Consolas" w:eastAsia="Consolas"/>
          <w:sz w:val="17"/>
        </w:rPr>
        <w:t xml:space="preserve">  details_json   TEXT NOT NULL,</w:t>
        <w:br/>
      </w:r>
      <w:r>
        <w:rPr>
          <w:rFonts w:ascii="Consolas" w:hAnsi="Consolas" w:eastAsia="Consolas"/>
          <w:sz w:val="17"/>
        </w:rPr>
        <w:t xml:space="preserve">  prev_hash      TEXT NOT NULL,      -- empreinte de l'entree precedente</w:t>
        <w:br/>
      </w:r>
      <w:r>
        <w:rPr>
          <w:rFonts w:ascii="Consolas" w:hAnsi="Consolas" w:eastAsia="Consolas"/>
          <w:sz w:val="17"/>
        </w:rPr>
        <w:t xml:space="preserve">  entry_hash     TEXT NOT NULL       -- sha256 de cette entree + prev_hash</w:t>
        <w:br/>
      </w:r>
      <w:r>
        <w:rPr>
          <w:rFonts w:ascii="Consolas" w:hAnsi="Consolas" w:eastAsia="Consolas"/>
          <w:sz w:val="17"/>
        </w:rPr>
        <w:t>);</w:t>
      </w:r>
    </w:p>
    <w:p>
      <w:pPr>
        <w:spacing w:before="120" w:after="200"/>
        <w:ind w:left="170"/>
        <w:shd w:val="clear" w:color="auto" w:fill="F2F5F7"/>
        <w:pBdr>
          <w:left w:val="single" w:sz="12" w:space="8" w:color="9FB3C0"/>
        </w:pBdr>
      </w:pPr>
      <w:r>
        <w:rPr>
          <w:rFonts w:ascii="Consolas" w:hAnsi="Consolas" w:eastAsia="Consolas"/>
          <w:sz w:val="17"/>
        </w:rPr>
        <w:t>entry_hash = sha256( seq ‖ occurred_at ‖ actor ‖ action ‖</w:t>
        <w:br/>
      </w:r>
      <w:r>
        <w:rPr>
          <w:rFonts w:ascii="Consolas" w:hAnsi="Consolas" w:eastAsia="Consolas"/>
          <w:sz w:val="17"/>
        </w:rPr>
        <w:t xml:space="preserve">                     subject_type ‖ subject_id ‖ details_json ‖ prev_hash )</w:t>
      </w:r>
    </w:p>
    <w:p>
      <w:pPr>
        <w:jc w:val="both"/>
      </w:pPr>
      <w:r>
        <w:t>Le chaînage rend toute modification rétroactive détectable : altérer une entrée invalide toutes les empreintes suivantes. Un attaquant devrait recalculer l'intégralité de la chaîne — et si la chaîne est ancrée périodiquement à l'extérieur (8.4), même cela ne suffit pas.</w:t>
      </w:r>
    </w:p>
    <w:p>
      <w:pPr>
        <w:spacing w:before="120" w:after="200"/>
        <w:ind w:left="170"/>
        <w:shd w:val="clear" w:color="auto" w:fill="F2F5F7"/>
        <w:pBdr>
          <w:left w:val="single" w:sz="12" w:space="8" w:color="9FB3C0"/>
        </w:pBdr>
      </w:pPr>
      <w:r>
        <w:rPr>
          <w:rFonts w:ascii="Consolas" w:hAnsi="Consolas" w:eastAsia="Consolas"/>
          <w:sz w:val="17"/>
        </w:rPr>
        <w:t>lcf audit verify</w:t>
        <w:br/>
      </w:r>
      <w:r>
        <w:rPr>
          <w:rFonts w:ascii="Consolas" w:hAnsi="Consolas" w:eastAsia="Consolas"/>
          <w:sz w:val="17"/>
        </w:rPr>
        <w:br/>
      </w:r>
      <w:r>
        <w:rPr>
          <w:rFonts w:ascii="Consolas" w:hAnsi="Consolas" w:eastAsia="Consolas"/>
          <w:sz w:val="17"/>
        </w:rPr>
        <w:t>Entrees        : 4 291 887</w:t>
        <w:br/>
      </w:r>
      <w:r>
        <w:rPr>
          <w:rFonts w:ascii="Consolas" w:hAnsi="Consolas" w:eastAsia="Consolas"/>
          <w:sz w:val="17"/>
        </w:rPr>
        <w:t>Chaine         : intacte de seq=1 a seq=4291887</w:t>
        <w:br/>
      </w:r>
      <w:r>
        <w:rPr>
          <w:rFonts w:ascii="Consolas" w:hAnsi="Consolas" w:eastAsia="Consolas"/>
          <w:sz w:val="17"/>
        </w:rPr>
        <w:t>Ancres         : 412 (derniere : 2026-08-30T00:00:00Z)</w:t>
        <w:br/>
      </w:r>
      <w:r>
        <w:rPr>
          <w:rFonts w:ascii="Consolas" w:hAnsi="Consolas" w:eastAsia="Consolas"/>
          <w:sz w:val="17"/>
        </w:rPr>
        <w:t>Anomalies      : aucune</w:t>
      </w:r>
    </w:p>
    <w:p>
      <w:pPr>
        <w:pStyle w:val="Heading2"/>
      </w:pPr>
      <w:r>
        <w:t>8.4 Ancrage externe</w:t>
      </w:r>
    </w:p>
    <w:p>
      <w:pPr>
        <w:jc w:val="both"/>
      </w:pPr>
      <w:r>
        <w:t>Optionnel, activé pour les déploiements où la valeur probante importe. À intervalle régulier, l'empreinte de tête du journal est publiée dans un support indépendant : autorité d'horodatage RFC 3161, dépôt public, ou tout registre inaltérable.</w:t>
      </w:r>
    </w:p>
    <w:p>
      <w:pPr>
        <w:jc w:val="both"/>
      </w:pPr>
      <w:r>
        <w:t>L'effet est net : à partir de l'instant de l'ancrage, il devient impossible de réécrire l'histoire du corpus sans que la divergence soit démontrable par un tiers.</w:t>
      </w:r>
    </w:p>
    <w:p>
      <w:pPr>
        <w:pStyle w:val="Heading2"/>
      </w:pPr>
      <w:r>
        <w:t>8.5 Attestation de document</w:t>
      </w:r>
    </w:p>
    <w:p>
      <w:pPr>
        <w:spacing w:before="120" w:after="200"/>
        <w:ind w:left="170"/>
        <w:shd w:val="clear" w:color="auto" w:fill="F2F5F7"/>
        <w:pBdr>
          <w:left w:val="single" w:sz="12" w:space="8" w:color="9FB3C0"/>
        </w:pBdr>
      </w:pPr>
      <w:r>
        <w:rPr>
          <w:rFonts w:ascii="Consolas" w:hAnsi="Consolas" w:eastAsia="Consolas"/>
          <w:sz w:val="17"/>
        </w:rPr>
        <w:t>lcf attest --document 9f2c...ab71 --version 3</w:t>
        <w:br/>
      </w:r>
      <w:r>
        <w:rPr>
          <w:rFonts w:ascii="Consolas" w:hAnsi="Consolas" w:eastAsia="Consolas"/>
          <w:sz w:val="17"/>
        </w:rPr>
        <w:br/>
      </w:r>
      <w:r>
        <w:rPr>
          <w:rFonts w:ascii="Consolas" w:hAnsi="Consolas" w:eastAsia="Consolas"/>
          <w:sz w:val="17"/>
        </w:rPr>
        <w:t>ATTESTATION DE COLLECTE</w:t>
        <w:br/>
      </w:r>
      <w:r>
        <w:rPr>
          <w:rFonts w:ascii="Consolas" w:hAnsi="Consolas" w:eastAsia="Consolas"/>
          <w:sz w:val="17"/>
        </w:rPr>
        <w:t>-----------------------------------------------------------------</w:t>
        <w:br/>
      </w:r>
      <w:r>
        <w:rPr>
          <w:rFonts w:ascii="Consolas" w:hAnsi="Consolas" w:eastAsia="Consolas"/>
          <w:sz w:val="17"/>
        </w:rPr>
        <w:t>Document      : 9f2c...ab71</w:t>
        <w:br/>
      </w:r>
      <w:r>
        <w:rPr>
          <w:rFonts w:ascii="Consolas" w:hAnsi="Consolas" w:eastAsia="Consolas"/>
          <w:sz w:val="17"/>
        </w:rPr>
        <w:t>Source        : xx.gazette.official</w:t>
        <w:br/>
      </w:r>
      <w:r>
        <w:rPr>
          <w:rFonts w:ascii="Consolas" w:hAnsi="Consolas" w:eastAsia="Consolas"/>
          <w:sz w:val="17"/>
        </w:rPr>
        <w:t>Identifiant   : 2024/118</w:t>
        <w:br/>
      </w:r>
      <w:r>
        <w:rPr>
          <w:rFonts w:ascii="Consolas" w:hAnsi="Consolas" w:eastAsia="Consolas"/>
          <w:sz w:val="17"/>
        </w:rPr>
        <w:t>Version       : 3 sur 3</w:t>
        <w:br/>
      </w:r>
      <w:r>
        <w:rPr>
          <w:rFonts w:ascii="Consolas" w:hAnsi="Consolas" w:eastAsia="Consolas"/>
          <w:sz w:val="17"/>
        </w:rPr>
        <w:t>Collecte le   : 2026-08-30T03:14:05.882Z</w:t>
        <w:br/>
      </w:r>
      <w:r>
        <w:rPr>
          <w:rFonts w:ascii="Consolas" w:hAnsi="Consolas" w:eastAsia="Consolas"/>
          <w:sz w:val="17"/>
        </w:rPr>
        <w:t>URL d'origine : https://gazette.example/acts/2024-118.pdf</w:t>
        <w:br/>
      </w:r>
      <w:r>
        <w:rPr>
          <w:rFonts w:ascii="Consolas" w:hAnsi="Consolas" w:eastAsia="Consolas"/>
          <w:sz w:val="17"/>
        </w:rPr>
        <w:t>Statut HTTP   : 200</w:t>
        <w:br/>
      </w:r>
      <w:r>
        <w:rPr>
          <w:rFonts w:ascii="Consolas" w:hAnsi="Consolas" w:eastAsia="Consolas"/>
          <w:sz w:val="17"/>
        </w:rPr>
        <w:t>ETag serveur  : "a1b2c3"</w:t>
        <w:br/>
      </w:r>
      <w:r>
        <w:rPr>
          <w:rFonts w:ascii="Consolas" w:hAnsi="Consolas" w:eastAsia="Consolas"/>
          <w:sz w:val="17"/>
        </w:rPr>
        <w:t>Empreinte     : sha256:6b1d4e0f8a2c...f31</w:t>
        <w:br/>
      </w:r>
      <w:r>
        <w:rPr>
          <w:rFonts w:ascii="Consolas" w:hAnsi="Consolas" w:eastAsia="Consolas"/>
          <w:sz w:val="17"/>
        </w:rPr>
        <w:t>Taille        : 482 911 octets</w:t>
        <w:br/>
      </w:r>
      <w:r>
        <w:rPr>
          <w:rFonts w:ascii="Consolas" w:hAnsi="Consolas" w:eastAsia="Consolas"/>
          <w:sz w:val="17"/>
        </w:rPr>
        <w:t>Type          : application/pdf</w:t>
        <w:br/>
      </w:r>
      <w:r>
        <w:rPr>
          <w:rFonts w:ascii="Consolas" w:hAnsi="Consolas" w:eastAsia="Consolas"/>
          <w:sz w:val="17"/>
        </w:rPr>
        <w:br/>
      </w:r>
      <w:r>
        <w:rPr>
          <w:rFonts w:ascii="Consolas" w:hAnsi="Consolas" w:eastAsia="Consolas"/>
          <w:sz w:val="17"/>
        </w:rPr>
        <w:t>Verification a l'instant : 2027-04-11T09:02:33Z</w:t>
        <w:br/>
      </w:r>
      <w:r>
        <w:rPr>
          <w:rFonts w:ascii="Consolas" w:hAnsi="Consolas" w:eastAsia="Consolas"/>
          <w:sz w:val="17"/>
        </w:rPr>
        <w:t xml:space="preserve">  fichier present ......... oui</w:t>
        <w:br/>
      </w:r>
      <w:r>
        <w:rPr>
          <w:rFonts w:ascii="Consolas" w:hAnsi="Consolas" w:eastAsia="Consolas"/>
          <w:sz w:val="17"/>
        </w:rPr>
        <w:t xml:space="preserve">  empreinte recalculee .... identique</w:t>
        <w:br/>
      </w:r>
      <w:r>
        <w:rPr>
          <w:rFonts w:ascii="Consolas" w:hAnsi="Consolas" w:eastAsia="Consolas"/>
          <w:sz w:val="17"/>
        </w:rPr>
        <w:t xml:space="preserve">  entree d'audit .......... seq=1284991, chaine intacte</w:t>
        <w:br/>
      </w:r>
      <w:r>
        <w:rPr>
          <w:rFonts w:ascii="Consolas" w:hAnsi="Consolas" w:eastAsia="Consolas"/>
          <w:sz w:val="17"/>
        </w:rPr>
        <w:t xml:space="preserve">  ancre externe ........... 2026-08-30T00:00:00Z (RFC 3161)</w:t>
        <w:br/>
      </w:r>
      <w:r>
        <w:rPr>
          <w:rFonts w:ascii="Consolas" w:hAnsi="Consolas" w:eastAsia="Consolas"/>
          <w:sz w:val="17"/>
        </w:rPr>
        <w:br/>
      </w:r>
      <w:r>
        <w:rPr>
          <w:rFonts w:ascii="Consolas" w:hAnsi="Consolas" w:eastAsia="Consolas"/>
          <w:sz w:val="17"/>
        </w:rPr>
        <w:t>VERDICT : contenu inchange depuis la collecte</w:t>
        <w:br/>
      </w:r>
      <w:r>
        <w:rPr>
          <w:rFonts w:ascii="Consolas" w:hAnsi="Consolas" w:eastAsia="Consolas"/>
          <w:sz w:val="17"/>
        </w:rPr>
        <w:t>-----------------------------------------------------------------</w:t>
      </w:r>
    </w:p>
    <w:p>
      <w:pPr>
        <w:jc w:val="both"/>
      </w:pPr>
      <w:r>
        <w:t>Ce que cette attestation établit : le fichier n'a pas changé depuis sa collecte, et la date de collecte est vérifiable. Ce qu'elle n'établit pas : que la source elle-même publiait un contenu authentique. Le Framework atteste de sa propre chaîne, pas de la véracité de la source — distinction qu'il serait malhonnête de laisser dans l'ombre.</w:t>
      </w:r>
    </w:p>
    <w:p>
      <w:r>
        <w:br w:type="page"/>
      </w:r>
    </w:p>
    <w:p>
      <w:pPr>
        <w:pStyle w:val="Heading1"/>
      </w:pPr>
      <w:r>
        <w:t>Chapitre 9 — Journalisation d'audit</w:t>
      </w:r>
    </w:p>
    <w:p>
      <w:pPr>
        <w:pStyle w:val="Heading2"/>
      </w:pPr>
      <w:r>
        <w:t>9.1 Ce qui est journalisé</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Catégorie</w:t>
            </w:r>
          </w:p>
        </w:tc>
        <w:tc>
          <w:tcPr>
            <w:tcW w:type="dxa" w:w="4872"/>
            <w:shd w:val="clear" w:color="auto" w:fill="0B3D5B"/>
          </w:tcPr>
          <w:p>
            <w:pPr>
              <w:spacing w:after="40"/>
            </w:pPr>
            <w:r/>
            <w:r>
              <w:rPr>
                <w:b/>
                <w:color w:val="FFFFFF"/>
                <w:sz w:val="18"/>
              </w:rPr>
              <w:t>Exemples</w:t>
            </w:r>
          </w:p>
        </w:tc>
      </w:tr>
      <w:tr>
        <w:tc>
          <w:tcPr>
            <w:tcW w:type="dxa" w:w="4872"/>
          </w:tcPr>
          <w:p>
            <w:pPr>
              <w:spacing w:after="40"/>
            </w:pPr>
            <w:r/>
            <w:r>
              <w:rPr>
                <w:sz w:val="18"/>
              </w:rPr>
              <w:t>Cycle de vie des documents</w:t>
            </w:r>
          </w:p>
        </w:tc>
        <w:tc>
          <w:tcPr>
            <w:tcW w:type="dxa" w:w="4872"/>
          </w:tcPr>
          <w:p>
            <w:pPr>
              <w:spacing w:after="40"/>
            </w:pPr>
            <w:r/>
            <w:r>
              <w:rPr>
                <w:sz w:val="18"/>
              </w:rPr>
              <w:t>Découverte, stockage, nouvelle version, échec, retrait</w:t>
            </w:r>
          </w:p>
        </w:tc>
      </w:tr>
      <w:tr>
        <w:tc>
          <w:tcPr>
            <w:tcW w:type="dxa" w:w="4872"/>
            <w:shd w:val="clear" w:color="auto" w:fill="F4F7F9"/>
          </w:tcPr>
          <w:p>
            <w:pPr>
              <w:spacing w:after="40"/>
            </w:pPr>
            <w:r/>
            <w:r>
              <w:rPr>
                <w:sz w:val="18"/>
              </w:rPr>
              <w:t>Opérations sur les sources</w:t>
            </w:r>
          </w:p>
        </w:tc>
        <w:tc>
          <w:tcPr>
            <w:tcW w:type="dxa" w:w="4872"/>
            <w:shd w:val="clear" w:color="auto" w:fill="F4F7F9"/>
          </w:tcPr>
          <w:p>
            <w:pPr>
              <w:spacing w:after="40"/>
            </w:pPr>
            <w:r/>
            <w:r>
              <w:rPr>
                <w:sz w:val="18"/>
              </w:rPr>
              <w:t>Ajout, modification de configuration, quarantaine, réactivation</w:t>
            </w:r>
          </w:p>
        </w:tc>
      </w:tr>
      <w:tr>
        <w:tc>
          <w:tcPr>
            <w:tcW w:type="dxa" w:w="4872"/>
          </w:tcPr>
          <w:p>
            <w:pPr>
              <w:spacing w:after="40"/>
            </w:pPr>
            <w:r/>
            <w:r>
              <w:rPr>
                <w:sz w:val="18"/>
              </w:rPr>
              <w:t>Opérations sensibles</w:t>
            </w:r>
          </w:p>
        </w:tc>
        <w:tc>
          <w:tcPr>
            <w:tcW w:type="dxa" w:w="4872"/>
          </w:tcPr>
          <w:p>
            <w:pPr>
              <w:spacing w:after="40"/>
            </w:pPr>
            <w:r/>
            <w:r>
              <w:rPr>
                <w:sz w:val="18"/>
              </w:rPr>
              <w:t>Purge, élagage, ramasse-miettes, migration, restauration</w:t>
            </w:r>
          </w:p>
        </w:tc>
      </w:tr>
      <w:tr>
        <w:tc>
          <w:tcPr>
            <w:tcW w:type="dxa" w:w="4872"/>
            <w:shd w:val="clear" w:color="auto" w:fill="F4F7F9"/>
          </w:tcPr>
          <w:p>
            <w:pPr>
              <w:spacing w:after="40"/>
            </w:pPr>
            <w:r/>
            <w:r>
              <w:rPr>
                <w:sz w:val="18"/>
              </w:rPr>
              <w:t>Sécurité</w:t>
            </w:r>
          </w:p>
        </w:tc>
        <w:tc>
          <w:tcPr>
            <w:tcW w:type="dxa" w:w="4872"/>
            <w:shd w:val="clear" w:color="auto" w:fill="F4F7F9"/>
          </w:tcPr>
          <w:p>
            <w:pPr>
              <w:spacing w:after="40"/>
            </w:pPr>
            <w:r/>
            <w:r>
              <w:rPr>
                <w:sz w:val="18"/>
              </w:rPr>
              <w:t>Violation de capacité, rejet de plugin, échec d'authentification</w:t>
            </w:r>
          </w:p>
        </w:tc>
      </w:tr>
      <w:tr>
        <w:tc>
          <w:tcPr>
            <w:tcW w:type="dxa" w:w="4872"/>
          </w:tcPr>
          <w:p>
            <w:pPr>
              <w:spacing w:after="40"/>
            </w:pPr>
            <w:r/>
            <w:r>
              <w:rPr>
                <w:sz w:val="18"/>
              </w:rPr>
              <w:t>Intégrité</w:t>
            </w:r>
          </w:p>
        </w:tc>
        <w:tc>
          <w:tcPr>
            <w:tcW w:type="dxa" w:w="4872"/>
          </w:tcPr>
          <w:p>
            <w:pPr>
              <w:spacing w:after="40"/>
            </w:pPr>
            <w:r/>
            <w:r>
              <w:rPr>
                <w:sz w:val="18"/>
              </w:rPr>
              <w:t>Anomalie détectée, réparation effectuée</w:t>
            </w:r>
          </w:p>
        </w:tc>
      </w:tr>
      <w:tr>
        <w:tc>
          <w:tcPr>
            <w:tcW w:type="dxa" w:w="4872"/>
            <w:shd w:val="clear" w:color="auto" w:fill="F4F7F9"/>
          </w:tcPr>
          <w:p>
            <w:pPr>
              <w:spacing w:after="40"/>
            </w:pPr>
            <w:r/>
            <w:r>
              <w:rPr>
                <w:sz w:val="18"/>
              </w:rPr>
              <w:t>Accès</w:t>
            </w:r>
          </w:p>
        </w:tc>
        <w:tc>
          <w:tcPr>
            <w:tcW w:type="dxa" w:w="4872"/>
            <w:shd w:val="clear" w:color="auto" w:fill="F4F7F9"/>
          </w:tcPr>
          <w:p>
            <w:pPr>
              <w:spacing w:after="40"/>
            </w:pPr>
            <w:r/>
            <w:r>
              <w:rPr>
                <w:sz w:val="18"/>
              </w:rPr>
              <w:t>Requêtes sur le contenu, quand l'audit d'accès est activé</w:t>
            </w:r>
          </w:p>
        </w:tc>
      </w:tr>
    </w:tbl>
    <w:p/>
    <w:p>
      <w:pPr>
        <w:pStyle w:val="Heading2"/>
      </w:pPr>
      <w:r>
        <w:t>9.2 Ce qui n'est jamais journalisé</w:t>
      </w:r>
    </w:p>
    <w:p>
      <w:pPr>
        <w:pStyle w:val="ListBullet"/>
        <w:spacing w:after="40"/>
      </w:pPr>
      <w:r>
        <w:t>Le contenu des secrets, sous quelque forme que ce soit.</w:t>
      </w:r>
    </w:p>
    <w:p>
      <w:pPr>
        <w:pStyle w:val="ListBullet"/>
        <w:spacing w:after="40"/>
      </w:pPr>
      <w:r>
        <w:t>Le contenu intégral des documents (seules les empreintes le sont).</w:t>
      </w:r>
    </w:p>
    <w:p>
      <w:pPr>
        <w:pStyle w:val="ListBullet"/>
        <w:spacing w:after="40"/>
      </w:pPr>
      <w:r>
        <w:t>Les données personnelles présentes dans les documents.</w:t>
      </w:r>
    </w:p>
    <w:p>
      <w:pPr>
        <w:pStyle w:val="ListBullet"/>
        <w:spacing w:after="40"/>
      </w:pPr>
      <w:r>
        <w:t>Les adresses IP des consommateurs de l'API, sauf activation explicite.</w:t>
      </w:r>
    </w:p>
    <w:p>
      <w:pPr>
        <w:pStyle w:val="Heading2"/>
      </w:pPr>
      <w:r>
        <w:t>9.3 Rétention</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Journal</w:t>
            </w:r>
          </w:p>
        </w:tc>
        <w:tc>
          <w:tcPr>
            <w:tcW w:type="dxa" w:w="3248"/>
            <w:shd w:val="clear" w:color="auto" w:fill="0B3D5B"/>
          </w:tcPr>
          <w:p>
            <w:pPr>
              <w:spacing w:after="40"/>
            </w:pPr>
            <w:r/>
            <w:r>
              <w:rPr>
                <w:b/>
                <w:color w:val="FFFFFF"/>
                <w:sz w:val="18"/>
              </w:rPr>
              <w:t>Rétention</w:t>
            </w:r>
          </w:p>
        </w:tc>
        <w:tc>
          <w:tcPr>
            <w:tcW w:type="dxa" w:w="3248"/>
            <w:shd w:val="clear" w:color="auto" w:fill="0B3D5B"/>
          </w:tcPr>
          <w:p>
            <w:pPr>
              <w:spacing w:after="40"/>
            </w:pPr>
            <w:r/>
            <w:r>
              <w:rPr>
                <w:b/>
                <w:color w:val="FFFFFF"/>
                <w:sz w:val="18"/>
              </w:rPr>
              <w:t>Motif</w:t>
            </w:r>
          </w:p>
        </w:tc>
      </w:tr>
      <w:tr>
        <w:tc>
          <w:tcPr>
            <w:tcW w:type="dxa" w:w="3248"/>
          </w:tcPr>
          <w:p>
            <w:pPr>
              <w:spacing w:after="40"/>
            </w:pPr>
            <w:r/>
            <w:r>
              <w:rPr>
                <w:sz w:val="18"/>
              </w:rPr>
              <w:t>Journal d'audit</w:t>
            </w:r>
          </w:p>
        </w:tc>
        <w:tc>
          <w:tcPr>
            <w:tcW w:type="dxa" w:w="3248"/>
          </w:tcPr>
          <w:p>
            <w:pPr>
              <w:spacing w:after="40"/>
            </w:pPr>
            <w:r/>
            <w:r>
              <w:rPr>
                <w:sz w:val="18"/>
              </w:rPr>
              <w:t>Illimitée</w:t>
            </w:r>
          </w:p>
        </w:tc>
        <w:tc>
          <w:tcPr>
            <w:tcW w:type="dxa" w:w="3248"/>
          </w:tcPr>
          <w:p>
            <w:pPr>
              <w:spacing w:after="40"/>
            </w:pPr>
            <w:r/>
            <w:r>
              <w:rPr>
                <w:sz w:val="18"/>
              </w:rPr>
              <w:t>C'est la chaîne de confiance</w:t>
            </w:r>
          </w:p>
        </w:tc>
      </w:tr>
      <w:tr>
        <w:tc>
          <w:tcPr>
            <w:tcW w:type="dxa" w:w="3248"/>
            <w:shd w:val="clear" w:color="auto" w:fill="F4F7F9"/>
          </w:tcPr>
          <w:p>
            <w:pPr>
              <w:spacing w:after="40"/>
            </w:pPr>
            <w:r/>
            <w:r>
              <w:rPr>
                <w:sz w:val="18"/>
              </w:rPr>
              <w:t>Journal applicatif</w:t>
            </w:r>
          </w:p>
        </w:tc>
        <w:tc>
          <w:tcPr>
            <w:tcW w:type="dxa" w:w="3248"/>
            <w:shd w:val="clear" w:color="auto" w:fill="F4F7F9"/>
          </w:tcPr>
          <w:p>
            <w:pPr>
              <w:spacing w:after="40"/>
            </w:pPr>
            <w:r/>
            <w:r>
              <w:rPr>
                <w:sz w:val="18"/>
              </w:rPr>
              <w:t>90 jours</w:t>
            </w:r>
          </w:p>
        </w:tc>
        <w:tc>
          <w:tcPr>
            <w:tcW w:type="dxa" w:w="3248"/>
            <w:shd w:val="clear" w:color="auto" w:fill="F4F7F9"/>
          </w:tcPr>
          <w:p>
            <w:pPr>
              <w:spacing w:after="40"/>
            </w:pPr>
            <w:r/>
            <w:r>
              <w:rPr>
                <w:sz w:val="18"/>
              </w:rPr>
              <w:t>Diagnostic</w:t>
            </w:r>
          </w:p>
        </w:tc>
      </w:tr>
      <w:tr>
        <w:tc>
          <w:tcPr>
            <w:tcW w:type="dxa" w:w="3248"/>
          </w:tcPr>
          <w:p>
            <w:pPr>
              <w:spacing w:after="40"/>
            </w:pPr>
            <w:r/>
            <w:r>
              <w:rPr>
                <w:sz w:val="18"/>
              </w:rPr>
              <w:t>Journal d'accès</w:t>
            </w:r>
          </w:p>
        </w:tc>
        <w:tc>
          <w:tcPr>
            <w:tcW w:type="dxa" w:w="3248"/>
          </w:tcPr>
          <w:p>
            <w:pPr>
              <w:spacing w:after="40"/>
            </w:pPr>
            <w:r/>
            <w:r>
              <w:rPr>
                <w:sz w:val="18"/>
              </w:rPr>
              <w:t>30 jours</w:t>
            </w:r>
          </w:p>
        </w:tc>
        <w:tc>
          <w:tcPr>
            <w:tcW w:type="dxa" w:w="3248"/>
          </w:tcPr>
          <w:p>
            <w:pPr>
              <w:spacing w:after="40"/>
            </w:pPr>
            <w:r/>
            <w:r>
              <w:rPr>
                <w:sz w:val="18"/>
              </w:rPr>
              <w:t>Minimisation</w:t>
            </w:r>
          </w:p>
        </w:tc>
      </w:tr>
      <w:tr>
        <w:tc>
          <w:tcPr>
            <w:tcW w:type="dxa" w:w="3248"/>
            <w:shd w:val="clear" w:color="auto" w:fill="F4F7F9"/>
          </w:tcPr>
          <w:p>
            <w:pPr>
              <w:spacing w:after="40"/>
            </w:pPr>
            <w:r/>
            <w:r>
              <w:rPr>
                <w:sz w:val="18"/>
              </w:rPr>
              <w:t>Journal de tentatives</w:t>
            </w:r>
          </w:p>
        </w:tc>
        <w:tc>
          <w:tcPr>
            <w:tcW w:type="dxa" w:w="3248"/>
            <w:shd w:val="clear" w:color="auto" w:fill="F4F7F9"/>
          </w:tcPr>
          <w:p>
            <w:pPr>
              <w:spacing w:after="40"/>
            </w:pPr>
            <w:r/>
            <w:r>
              <w:rPr>
                <w:sz w:val="18"/>
              </w:rPr>
              <w:t>1 an</w:t>
            </w:r>
          </w:p>
        </w:tc>
        <w:tc>
          <w:tcPr>
            <w:tcW w:type="dxa" w:w="3248"/>
            <w:shd w:val="clear" w:color="auto" w:fill="F4F7F9"/>
          </w:tcPr>
          <w:p>
            <w:pPr>
              <w:spacing w:after="40"/>
            </w:pPr>
            <w:r/>
            <w:r>
              <w:rPr>
                <w:sz w:val="18"/>
              </w:rPr>
              <w:t>Analyse de fiabilité des sources</w:t>
            </w:r>
          </w:p>
        </w:tc>
      </w:tr>
    </w:tbl>
    <w:p/>
    <w:p>
      <w:r>
        <w:br w:type="page"/>
      </w:r>
    </w:p>
    <w:p>
      <w:pPr>
        <w:pStyle w:val="Heading1"/>
      </w:pPr>
      <w:r>
        <w:t>Chapitre 10 — Conformité et considérations juridiques</w:t>
      </w:r>
    </w:p>
    <w:p>
      <w:pPr>
        <w:jc w:val="both"/>
      </w:pPr>
      <w:r>
        <w:t xml:space="preserve">Cette section décrit les </w:t>
      </w:r>
      <w:r>
        <w:rPr>
          <w:b/>
        </w:rPr>
        <w:t>fonctions techniques</w:t>
      </w:r>
      <w:r>
        <w:t xml:space="preserve"> que le Framework fournit pour permettre la conformité. Le paramétrage relève d'une analyse juridique propre à chaque déploiement.</w:t>
      </w:r>
    </w:p>
    <w:p>
      <w:pPr>
        <w:pStyle w:val="Heading2"/>
      </w:pPr>
      <w:r>
        <w:t>10.1 Données personnelles</w:t>
      </w:r>
    </w:p>
    <w:p>
      <w:pPr>
        <w:jc w:val="both"/>
      </w:pPr>
      <w:r>
        <w:t>Un corpus juridique contient inévitablement des données personnelles : noms de parties, adresses, situations individuelles.</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Fonction fournie</w:t>
            </w:r>
          </w:p>
        </w:tc>
        <w:tc>
          <w:tcPr>
            <w:tcW w:type="dxa" w:w="3248"/>
            <w:shd w:val="clear" w:color="auto" w:fill="0B3D5B"/>
          </w:tcPr>
          <w:p>
            <w:pPr>
              <w:spacing w:after="40"/>
            </w:pPr>
            <w:r/>
            <w:r>
              <w:rPr>
                <w:b/>
                <w:color w:val="FFFFFF"/>
                <w:sz w:val="18"/>
              </w:rPr>
              <w:t>Mécanisme</w:t>
            </w:r>
          </w:p>
        </w:tc>
        <w:tc>
          <w:tcPr>
            <w:tcW w:type="dxa" w:w="3248"/>
            <w:shd w:val="clear" w:color="auto" w:fill="0B3D5B"/>
          </w:tcPr>
          <w:p>
            <w:pPr>
              <w:spacing w:after="40"/>
            </w:pPr>
            <w:r/>
            <w:r>
              <w:rPr>
                <w:b/>
                <w:color w:val="FFFFFF"/>
                <w:sz w:val="18"/>
              </w:rPr>
              <w:t>Volume</w:t>
            </w:r>
          </w:p>
        </w:tc>
      </w:tr>
      <w:tr>
        <w:tc>
          <w:tcPr>
            <w:tcW w:type="dxa" w:w="3248"/>
          </w:tcPr>
          <w:p>
            <w:pPr>
              <w:spacing w:after="40"/>
            </w:pPr>
            <w:r/>
            <w:r>
              <w:rPr>
                <w:sz w:val="18"/>
              </w:rPr>
              <w:t>Localisation d'un document</w:t>
            </w:r>
          </w:p>
        </w:tc>
        <w:tc>
          <w:tcPr>
            <w:tcW w:type="dxa" w:w="3248"/>
          </w:tcPr>
          <w:p>
            <w:pPr>
              <w:spacing w:after="40"/>
            </w:pPr>
            <w:r/>
            <w:r>
              <w:rPr>
                <w:sz w:val="18"/>
              </w:rPr>
              <w:t>Recherche par identifiant, source, contenu</w:t>
            </w:r>
          </w:p>
        </w:tc>
        <w:tc>
          <w:tcPr>
            <w:tcW w:type="dxa" w:w="3248"/>
          </w:tcPr>
          <w:p>
            <w:pPr>
              <w:spacing w:after="40"/>
            </w:pPr>
            <w:r/>
            <w:r>
              <w:rPr>
                <w:sz w:val="18"/>
              </w:rPr>
              <w:t>III</w:t>
            </w:r>
          </w:p>
        </w:tc>
      </w:tr>
      <w:tr>
        <w:tc>
          <w:tcPr>
            <w:tcW w:type="dxa" w:w="3248"/>
            <w:shd w:val="clear" w:color="auto" w:fill="F4F7F9"/>
          </w:tcPr>
          <w:p>
            <w:pPr>
              <w:spacing w:after="40"/>
            </w:pPr>
            <w:r/>
            <w:r>
              <w:rPr>
                <w:sz w:val="18"/>
              </w:rPr>
              <w:t>Suppression tracée</w:t>
            </w:r>
          </w:p>
        </w:tc>
        <w:tc>
          <w:tcPr>
            <w:tcW w:type="dxa" w:w="3248"/>
            <w:shd w:val="clear" w:color="auto" w:fill="F4F7F9"/>
          </w:tcPr>
          <w:p>
            <w:pPr>
              <w:spacing w:after="40"/>
            </w:pPr>
            <w:r/>
            <w:r>
              <w:rPr>
                <w:sz w:val="18"/>
              </w:rPr>
              <w:t>`lcf purge --reason legal`, avec pierre tombale</w:t>
            </w:r>
          </w:p>
        </w:tc>
        <w:tc>
          <w:tcPr>
            <w:tcW w:type="dxa" w:w="3248"/>
            <w:shd w:val="clear" w:color="auto" w:fill="F4F7F9"/>
          </w:tcPr>
          <w:p>
            <w:pPr>
              <w:spacing w:after="40"/>
            </w:pPr>
            <w:r/>
            <w:r>
              <w:rPr>
                <w:sz w:val="18"/>
              </w:rPr>
              <w:t>IV-8</w:t>
            </w:r>
          </w:p>
        </w:tc>
      </w:tr>
      <w:tr>
        <w:tc>
          <w:tcPr>
            <w:tcW w:type="dxa" w:w="3248"/>
          </w:tcPr>
          <w:p>
            <w:pPr>
              <w:spacing w:after="40"/>
            </w:pPr>
            <w:r/>
            <w:r>
              <w:rPr>
                <w:sz w:val="18"/>
              </w:rPr>
              <w:t>Restriction d'accès</w:t>
            </w:r>
          </w:p>
        </w:tc>
        <w:tc>
          <w:tcPr>
            <w:tcW w:type="dxa" w:w="3248"/>
          </w:tcPr>
          <w:p>
            <w:pPr>
              <w:spacing w:after="40"/>
            </w:pPr>
            <w:r/>
            <w:r>
              <w:rPr>
                <w:sz w:val="18"/>
              </w:rPr>
              <w:t>Marquage `restricted`, filtrage à l'API</w:t>
            </w:r>
          </w:p>
        </w:tc>
        <w:tc>
          <w:tcPr>
            <w:tcW w:type="dxa" w:w="3248"/>
          </w:tcPr>
          <w:p>
            <w:pPr>
              <w:spacing w:after="40"/>
            </w:pPr>
            <w:r/>
            <w:r>
              <w:rPr>
                <w:sz w:val="18"/>
              </w:rPr>
              <w:t>VI-6</w:t>
            </w:r>
          </w:p>
        </w:tc>
      </w:tr>
      <w:tr>
        <w:tc>
          <w:tcPr>
            <w:tcW w:type="dxa" w:w="3248"/>
            <w:shd w:val="clear" w:color="auto" w:fill="F4F7F9"/>
          </w:tcPr>
          <w:p>
            <w:pPr>
              <w:spacing w:after="40"/>
            </w:pPr>
            <w:r/>
            <w:r>
              <w:rPr>
                <w:sz w:val="18"/>
              </w:rPr>
              <w:t>Journal de traitement</w:t>
            </w:r>
          </w:p>
        </w:tc>
        <w:tc>
          <w:tcPr>
            <w:tcW w:type="dxa" w:w="3248"/>
            <w:shd w:val="clear" w:color="auto" w:fill="F4F7F9"/>
          </w:tcPr>
          <w:p>
            <w:pPr>
              <w:spacing w:after="40"/>
            </w:pPr>
            <w:r/>
            <w:r>
              <w:rPr>
                <w:sz w:val="18"/>
              </w:rPr>
              <w:t>Journal d'audit, provenance complète</w:t>
            </w:r>
          </w:p>
        </w:tc>
        <w:tc>
          <w:tcPr>
            <w:tcW w:type="dxa" w:w="3248"/>
            <w:shd w:val="clear" w:color="auto" w:fill="F4F7F9"/>
          </w:tcPr>
          <w:p>
            <w:pPr>
              <w:spacing w:after="40"/>
            </w:pPr>
            <w:r/>
            <w:r>
              <w:rPr>
                <w:sz w:val="18"/>
              </w:rPr>
              <w:t>VI-9</w:t>
            </w:r>
          </w:p>
        </w:tc>
      </w:tr>
      <w:tr>
        <w:tc>
          <w:tcPr>
            <w:tcW w:type="dxa" w:w="3248"/>
          </w:tcPr>
          <w:p>
            <w:pPr>
              <w:spacing w:after="40"/>
            </w:pPr>
            <w:r/>
            <w:r>
              <w:rPr>
                <w:sz w:val="18"/>
              </w:rPr>
              <w:t>Export d'un dossier</w:t>
            </w:r>
          </w:p>
        </w:tc>
        <w:tc>
          <w:tcPr>
            <w:tcW w:type="dxa" w:w="3248"/>
          </w:tcPr>
          <w:p>
            <w:pPr>
              <w:spacing w:after="40"/>
            </w:pPr>
            <w:r/>
            <w:r>
              <w:rPr>
                <w:sz w:val="18"/>
              </w:rPr>
              <w:t>Export ciblé par document</w:t>
            </w:r>
          </w:p>
        </w:tc>
        <w:tc>
          <w:tcPr>
            <w:tcW w:type="dxa" w:w="3248"/>
          </w:tcPr>
          <w:p>
            <w:pPr>
              <w:spacing w:after="40"/>
            </w:pPr>
            <w:r/>
            <w:r>
              <w:rPr>
                <w:sz w:val="18"/>
              </w:rPr>
              <w:t>IV-12</w:t>
            </w:r>
          </w:p>
        </w:tc>
      </w:tr>
      <w:tr>
        <w:tc>
          <w:tcPr>
            <w:tcW w:type="dxa" w:w="3248"/>
            <w:shd w:val="clear" w:color="auto" w:fill="F4F7F9"/>
          </w:tcPr>
          <w:p>
            <w:pPr>
              <w:spacing w:after="40"/>
            </w:pPr>
            <w:r/>
            <w:r>
              <w:rPr>
                <w:sz w:val="18"/>
              </w:rPr>
              <w:t>Minimisation</w:t>
            </w:r>
          </w:p>
        </w:tc>
        <w:tc>
          <w:tcPr>
            <w:tcW w:type="dxa" w:w="3248"/>
            <w:shd w:val="clear" w:color="auto" w:fill="F4F7F9"/>
          </w:tcPr>
          <w:p>
            <w:pPr>
              <w:spacing w:after="40"/>
            </w:pPr>
            <w:r/>
            <w:r>
              <w:rPr>
                <w:sz w:val="18"/>
              </w:rPr>
              <w:t>Aucune donnée non nécessaire n'est collectée</w:t>
            </w:r>
          </w:p>
        </w:tc>
        <w:tc>
          <w:tcPr>
            <w:tcW w:type="dxa" w:w="3248"/>
            <w:shd w:val="clear" w:color="auto" w:fill="F4F7F9"/>
          </w:tcPr>
          <w:p>
            <w:pPr>
              <w:spacing w:after="40"/>
            </w:pPr>
            <w:r/>
            <w:r>
              <w:rPr>
                <w:sz w:val="18"/>
              </w:rPr>
              <w:t>I</w:t>
            </w:r>
          </w:p>
        </w:tc>
      </w:tr>
    </w:tbl>
    <w:p/>
    <w:p>
      <w:pPr>
        <w:jc w:val="both"/>
      </w:pPr>
      <w:r>
        <w:t xml:space="preserve">Point d'architecture important : le Framework ne collecte </w:t>
      </w:r>
      <w:r>
        <w:rPr>
          <w:b/>
        </w:rPr>
        <w:t>que</w:t>
      </w:r>
      <w:r>
        <w:t xml:space="preserve"> ce que la source publie ; il n'enrichit pas, ne croise pas, ne profile pas. Cette absence délibérée de fonctions réduit considérablement la surface de conformité.</w:t>
      </w:r>
    </w:p>
    <w:p>
      <w:pPr>
        <w:pStyle w:val="Heading2"/>
      </w:pPr>
      <w:r>
        <w:t>10.2 Droits sur les contenus</w:t>
      </w:r>
    </w:p>
    <w:p>
      <w:pPr>
        <w:jc w:val="both"/>
      </w:pPr>
      <w:r>
        <w:t>Le Framework est neutre quant au statut juridique des documents collectés. Il fournit les moyens d'appliquer une politique, il n'en décide pas.</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Fonction</w:t>
            </w:r>
          </w:p>
        </w:tc>
        <w:tc>
          <w:tcPr>
            <w:tcW w:type="dxa" w:w="4872"/>
            <w:shd w:val="clear" w:color="auto" w:fill="0B3D5B"/>
          </w:tcPr>
          <w:p>
            <w:pPr>
              <w:spacing w:after="40"/>
            </w:pPr>
            <w:r/>
            <w:r>
              <w:rPr>
                <w:b/>
                <w:color w:val="FFFFFF"/>
                <w:sz w:val="18"/>
              </w:rPr>
              <w:t>Description</w:t>
            </w:r>
          </w:p>
        </w:tc>
      </w:tr>
      <w:tr>
        <w:tc>
          <w:tcPr>
            <w:tcW w:type="dxa" w:w="4872"/>
          </w:tcPr>
          <w:p>
            <w:pPr>
              <w:spacing w:after="40"/>
            </w:pPr>
            <w:r/>
            <w:r>
              <w:rPr>
                <w:sz w:val="18"/>
              </w:rPr>
              <w:t>Champ de licence par source</w:t>
            </w:r>
          </w:p>
        </w:tc>
        <w:tc>
          <w:tcPr>
            <w:tcW w:type="dxa" w:w="4872"/>
          </w:tcPr>
          <w:p>
            <w:pPr>
              <w:spacing w:after="40"/>
            </w:pPr>
            <w:r/>
            <w:r>
              <w:rPr>
                <w:sz w:val="18"/>
              </w:rPr>
              <w:t>Statut déclaré, propagé à tous les documents de la source</w:t>
            </w:r>
          </w:p>
        </w:tc>
      </w:tr>
      <w:tr>
        <w:tc>
          <w:tcPr>
            <w:tcW w:type="dxa" w:w="4872"/>
            <w:shd w:val="clear" w:color="auto" w:fill="F4F7F9"/>
          </w:tcPr>
          <w:p>
            <w:pPr>
              <w:spacing w:after="40"/>
            </w:pPr>
            <w:r/>
            <w:r>
              <w:rPr>
                <w:sz w:val="18"/>
              </w:rPr>
              <w:t>Conservation des mentions</w:t>
            </w:r>
          </w:p>
        </w:tc>
        <w:tc>
          <w:tcPr>
            <w:tcW w:type="dxa" w:w="4872"/>
            <w:shd w:val="clear" w:color="auto" w:fill="F4F7F9"/>
          </w:tcPr>
          <w:p>
            <w:pPr>
              <w:spacing w:after="40"/>
            </w:pPr>
            <w:r/>
            <w:r>
              <w:rPr>
                <w:sz w:val="18"/>
              </w:rPr>
              <w:t>Les métadonnées de la source sont conservées intégralement</w:t>
            </w:r>
          </w:p>
        </w:tc>
      </w:tr>
      <w:tr>
        <w:tc>
          <w:tcPr>
            <w:tcW w:type="dxa" w:w="4872"/>
          </w:tcPr>
          <w:p>
            <w:pPr>
              <w:spacing w:after="40"/>
            </w:pPr>
            <w:r/>
            <w:r>
              <w:rPr>
                <w:sz w:val="18"/>
              </w:rPr>
              <w:t>Marquage de restriction de redistribution</w:t>
            </w:r>
          </w:p>
        </w:tc>
        <w:tc>
          <w:tcPr>
            <w:tcW w:type="dxa" w:w="4872"/>
          </w:tcPr>
          <w:p>
            <w:pPr>
              <w:spacing w:after="40"/>
            </w:pPr>
            <w:r/>
            <w:r>
              <w:rPr>
                <w:sz w:val="18"/>
              </w:rPr>
              <w:t>Filtre les exports</w:t>
            </w:r>
          </w:p>
        </w:tc>
      </w:tr>
      <w:tr>
        <w:tc>
          <w:tcPr>
            <w:tcW w:type="dxa" w:w="4872"/>
            <w:shd w:val="clear" w:color="auto" w:fill="F4F7F9"/>
          </w:tcPr>
          <w:p>
            <w:pPr>
              <w:spacing w:after="40"/>
            </w:pPr>
            <w:r/>
            <w:r>
              <w:rPr>
                <w:sz w:val="18"/>
              </w:rPr>
              <w:t>Traçabilité de provenance</w:t>
            </w:r>
          </w:p>
        </w:tc>
        <w:tc>
          <w:tcPr>
            <w:tcW w:type="dxa" w:w="4872"/>
            <w:shd w:val="clear" w:color="auto" w:fill="F4F7F9"/>
          </w:tcPr>
          <w:p>
            <w:pPr>
              <w:spacing w:after="40"/>
            </w:pPr>
            <w:r/>
            <w:r>
              <w:rPr>
                <w:sz w:val="18"/>
              </w:rPr>
              <w:t>Chaque document conserve son URL et sa date d'origine</w:t>
            </w:r>
          </w:p>
        </w:tc>
      </w:tr>
    </w:tbl>
    <w:p/>
    <w:p>
      <w:pPr>
        <w:pStyle w:val="Heading2"/>
      </w:pPr>
      <w:r>
        <w:t>10.3 Localisation et souveraineté</w:t>
      </w:r>
    </w:p>
    <w:tbl>
      <w:tblPr>
        <w:tblStyle w:val="TableGrid"/>
        <w:tblW w:type="auto" w:w="0"/>
        <w:tblLook w:firstColumn="1" w:firstRow="1" w:lastColumn="0" w:lastRow="0" w:noHBand="0" w:noVBand="1" w:val="04A0"/>
      </w:tblPr>
      <w:tblGrid>
        <w:gridCol w:w="4872"/>
        <w:gridCol w:w="4872"/>
      </w:tblGrid>
      <w:tr>
        <w:tc>
          <w:tcPr>
            <w:tcW w:type="dxa" w:w="4872"/>
            <w:shd w:val="clear" w:color="auto" w:fill="0B3D5B"/>
          </w:tcPr>
          <w:p>
            <w:pPr>
              <w:spacing w:after="40"/>
            </w:pPr>
            <w:r/>
            <w:r>
              <w:rPr>
                <w:b/>
                <w:color w:val="FFFFFF"/>
                <w:sz w:val="18"/>
              </w:rPr>
              <w:t>Fonction</w:t>
            </w:r>
          </w:p>
        </w:tc>
        <w:tc>
          <w:tcPr>
            <w:tcW w:type="dxa" w:w="4872"/>
            <w:shd w:val="clear" w:color="auto" w:fill="0B3D5B"/>
          </w:tcPr>
          <w:p>
            <w:pPr>
              <w:spacing w:after="40"/>
            </w:pPr>
            <w:r/>
            <w:r>
              <w:rPr>
                <w:b/>
                <w:color w:val="FFFFFF"/>
                <w:sz w:val="18"/>
              </w:rPr>
              <w:t>Description</w:t>
            </w:r>
          </w:p>
        </w:tc>
      </w:tr>
      <w:tr>
        <w:tc>
          <w:tcPr>
            <w:tcW w:type="dxa" w:w="4872"/>
          </w:tcPr>
          <w:p>
            <w:pPr>
              <w:spacing w:after="40"/>
            </w:pPr>
            <w:r/>
            <w:r>
              <w:rPr>
                <w:sz w:val="18"/>
              </w:rPr>
              <w:t>Stockage entièrement local</w:t>
            </w:r>
          </w:p>
        </w:tc>
        <w:tc>
          <w:tcPr>
            <w:tcW w:type="dxa" w:w="4872"/>
          </w:tcPr>
          <w:p>
            <w:pPr>
              <w:spacing w:after="40"/>
            </w:pPr>
            <w:r/>
            <w:r>
              <w:rPr>
                <w:sz w:val="18"/>
              </w:rPr>
              <w:t>Aucune dépendance à un service externe (contrainte du Volume I)</w:t>
            </w:r>
          </w:p>
        </w:tc>
      </w:tr>
      <w:tr>
        <w:tc>
          <w:tcPr>
            <w:tcW w:type="dxa" w:w="4872"/>
            <w:shd w:val="clear" w:color="auto" w:fill="F4F7F9"/>
          </w:tcPr>
          <w:p>
            <w:pPr>
              <w:spacing w:after="40"/>
            </w:pPr>
            <w:r/>
            <w:r>
              <w:rPr>
                <w:sz w:val="18"/>
              </w:rPr>
              <w:t>Aucune télémétrie sortante</w:t>
            </w:r>
          </w:p>
        </w:tc>
        <w:tc>
          <w:tcPr>
            <w:tcW w:type="dxa" w:w="4872"/>
            <w:shd w:val="clear" w:color="auto" w:fill="F4F7F9"/>
          </w:tcPr>
          <w:p>
            <w:pPr>
              <w:spacing w:after="40"/>
            </w:pPr>
            <w:r/>
            <w:r>
              <w:rPr>
                <w:sz w:val="18"/>
              </w:rPr>
              <w:t>Aucune donnée n'est émise vers l'extérieur par défaut</w:t>
            </w:r>
          </w:p>
        </w:tc>
      </w:tr>
      <w:tr>
        <w:tc>
          <w:tcPr>
            <w:tcW w:type="dxa" w:w="4872"/>
          </w:tcPr>
          <w:p>
            <w:pPr>
              <w:spacing w:after="40"/>
            </w:pPr>
            <w:r/>
            <w:r>
              <w:rPr>
                <w:sz w:val="18"/>
              </w:rPr>
              <w:t>Chiffrement au repos</w:t>
            </w:r>
          </w:p>
        </w:tc>
        <w:tc>
          <w:tcPr>
            <w:tcW w:type="dxa" w:w="4872"/>
          </w:tcPr>
          <w:p>
            <w:pPr>
              <w:spacing w:after="40"/>
            </w:pPr>
            <w:r/>
            <w:r>
              <w:rPr>
                <w:sz w:val="18"/>
              </w:rPr>
              <w:t>Délégué au système de fichiers ou au volume, sur décision d'exploitation</w:t>
            </w:r>
          </w:p>
        </w:tc>
      </w:tr>
      <w:tr>
        <w:tc>
          <w:tcPr>
            <w:tcW w:type="dxa" w:w="4872"/>
            <w:shd w:val="clear" w:color="auto" w:fill="F4F7F9"/>
          </w:tcPr>
          <w:p>
            <w:pPr>
              <w:spacing w:after="40"/>
            </w:pPr>
            <w:r/>
            <w:r>
              <w:rPr>
                <w:sz w:val="18"/>
              </w:rPr>
              <w:t>Portabilité complète</w:t>
            </w:r>
          </w:p>
        </w:tc>
        <w:tc>
          <w:tcPr>
            <w:tcW w:type="dxa" w:w="4872"/>
            <w:shd w:val="clear" w:color="auto" w:fill="F4F7F9"/>
          </w:tcPr>
          <w:p>
            <w:pPr>
              <w:spacing w:after="40"/>
            </w:pPr>
            <w:r/>
            <w:r>
              <w:rPr>
                <w:sz w:val="18"/>
              </w:rPr>
              <w:t>Export BagIt, aucun format propriétaire</w:t>
            </w:r>
          </w:p>
        </w:tc>
      </w:tr>
    </w:tbl>
    <w:p/>
    <w:p>
      <w:pPr>
        <w:jc w:val="both"/>
      </w:pPr>
      <w:r>
        <w:t>L'absence totale de télémétrie est une décision d'architecture. Un framework destiné à des administrations et à des institutions ne doit rien émettre vers l'extérieur que son opérateur n'ait explicitement configuré.</w:t>
      </w:r>
    </w:p>
    <w:p>
      <w:r>
        <w:br w:type="page"/>
      </w:r>
    </w:p>
    <w:p>
      <w:pPr>
        <w:pStyle w:val="Heading1"/>
      </w:pPr>
      <w:r>
        <w:t>Chapitre 11 — Réponse à incident</w:t>
      </w:r>
    </w:p>
    <w:p>
      <w:pPr>
        <w:pStyle w:val="Heading2"/>
      </w:pPr>
      <w:r>
        <w:t>11.1 Classification</w:t>
      </w:r>
    </w:p>
    <w:tbl>
      <w:tblPr>
        <w:tblStyle w:val="TableGrid"/>
        <w:tblW w:type="auto" w:w="0"/>
        <w:tblLook w:firstColumn="1" w:firstRow="1" w:lastColumn="0" w:lastRow="0" w:noHBand="0" w:noVBand="1" w:val="04A0"/>
      </w:tblPr>
      <w:tblGrid>
        <w:gridCol w:w="3248"/>
        <w:gridCol w:w="3248"/>
        <w:gridCol w:w="3248"/>
      </w:tblGrid>
      <w:tr>
        <w:tc>
          <w:tcPr>
            <w:tcW w:type="dxa" w:w="3248"/>
            <w:shd w:val="clear" w:color="auto" w:fill="0B3D5B"/>
          </w:tcPr>
          <w:p>
            <w:pPr>
              <w:spacing w:after="40"/>
            </w:pPr>
            <w:r/>
            <w:r>
              <w:rPr>
                <w:b/>
                <w:color w:val="FFFFFF"/>
                <w:sz w:val="18"/>
              </w:rPr>
              <w:t>Niveau</w:t>
            </w:r>
          </w:p>
        </w:tc>
        <w:tc>
          <w:tcPr>
            <w:tcW w:type="dxa" w:w="3248"/>
            <w:shd w:val="clear" w:color="auto" w:fill="0B3D5B"/>
          </w:tcPr>
          <w:p>
            <w:pPr>
              <w:spacing w:after="40"/>
            </w:pPr>
            <w:r/>
            <w:r>
              <w:rPr>
                <w:b/>
                <w:color w:val="FFFFFF"/>
                <w:sz w:val="18"/>
              </w:rPr>
              <w:t>Définition</w:t>
            </w:r>
          </w:p>
        </w:tc>
        <w:tc>
          <w:tcPr>
            <w:tcW w:type="dxa" w:w="3248"/>
            <w:shd w:val="clear" w:color="auto" w:fill="0B3D5B"/>
          </w:tcPr>
          <w:p>
            <w:pPr>
              <w:spacing w:after="40"/>
            </w:pPr>
            <w:r/>
            <w:r>
              <w:rPr>
                <w:b/>
                <w:color w:val="FFFFFF"/>
                <w:sz w:val="18"/>
              </w:rPr>
              <w:t>Délai de réaction</w:t>
            </w:r>
          </w:p>
        </w:tc>
      </w:tr>
      <w:tr>
        <w:tc>
          <w:tcPr>
            <w:tcW w:type="dxa" w:w="3248"/>
          </w:tcPr>
          <w:p>
            <w:pPr>
              <w:spacing w:after="40"/>
            </w:pPr>
            <w:r/>
            <w:r>
              <w:rPr>
                <w:sz w:val="18"/>
              </w:rPr>
              <w:t>S1</w:t>
            </w:r>
          </w:p>
        </w:tc>
        <w:tc>
          <w:tcPr>
            <w:tcW w:type="dxa" w:w="3248"/>
          </w:tcPr>
          <w:p>
            <w:pPr>
              <w:spacing w:after="40"/>
            </w:pPr>
            <w:r/>
            <w:r>
              <w:rPr>
                <w:sz w:val="18"/>
              </w:rPr>
              <w:t>Corruption ou perte de corpus</w:t>
            </w:r>
          </w:p>
        </w:tc>
        <w:tc>
          <w:tcPr>
            <w:tcW w:type="dxa" w:w="3248"/>
          </w:tcPr>
          <w:p>
            <w:pPr>
              <w:spacing w:after="40"/>
            </w:pPr>
            <w:r/>
            <w:r>
              <w:rPr>
                <w:sz w:val="18"/>
              </w:rPr>
              <w:t>Immédiat</w:t>
            </w:r>
          </w:p>
        </w:tc>
      </w:tr>
      <w:tr>
        <w:tc>
          <w:tcPr>
            <w:tcW w:type="dxa" w:w="3248"/>
            <w:shd w:val="clear" w:color="auto" w:fill="F4F7F9"/>
          </w:tcPr>
          <w:p>
            <w:pPr>
              <w:spacing w:after="40"/>
            </w:pPr>
            <w:r/>
            <w:r>
              <w:rPr>
                <w:sz w:val="18"/>
              </w:rPr>
              <w:t>S2</w:t>
            </w:r>
          </w:p>
        </w:tc>
        <w:tc>
          <w:tcPr>
            <w:tcW w:type="dxa" w:w="3248"/>
            <w:shd w:val="clear" w:color="auto" w:fill="F4F7F9"/>
          </w:tcPr>
          <w:p>
            <w:pPr>
              <w:spacing w:after="40"/>
            </w:pPr>
            <w:r/>
            <w:r>
              <w:rPr>
                <w:sz w:val="18"/>
              </w:rPr>
              <w:t>Compromission d'un plugin ou d'un secret</w:t>
            </w:r>
          </w:p>
        </w:tc>
        <w:tc>
          <w:tcPr>
            <w:tcW w:type="dxa" w:w="3248"/>
            <w:shd w:val="clear" w:color="auto" w:fill="F4F7F9"/>
          </w:tcPr>
          <w:p>
            <w:pPr>
              <w:spacing w:after="40"/>
            </w:pPr>
            <w:r/>
            <w:r>
              <w:rPr>
                <w:sz w:val="18"/>
              </w:rPr>
              <w:t>1 heure</w:t>
            </w:r>
          </w:p>
        </w:tc>
      </w:tr>
      <w:tr>
        <w:tc>
          <w:tcPr>
            <w:tcW w:type="dxa" w:w="3248"/>
          </w:tcPr>
          <w:p>
            <w:pPr>
              <w:spacing w:after="40"/>
            </w:pPr>
            <w:r/>
            <w:r>
              <w:rPr>
                <w:sz w:val="18"/>
              </w:rPr>
              <w:t>S3</w:t>
            </w:r>
          </w:p>
        </w:tc>
        <w:tc>
          <w:tcPr>
            <w:tcW w:type="dxa" w:w="3248"/>
          </w:tcPr>
          <w:p>
            <w:pPr>
              <w:spacing w:after="40"/>
            </w:pPr>
            <w:r/>
            <w:r>
              <w:rPr>
                <w:sz w:val="18"/>
              </w:rPr>
              <w:t>Anomalie d'intégrité isolée</w:t>
            </w:r>
          </w:p>
        </w:tc>
        <w:tc>
          <w:tcPr>
            <w:tcW w:type="dxa" w:w="3248"/>
          </w:tcPr>
          <w:p>
            <w:pPr>
              <w:spacing w:after="40"/>
            </w:pPr>
            <w:r/>
            <w:r>
              <w:rPr>
                <w:sz w:val="18"/>
              </w:rPr>
              <w:t>24 heures</w:t>
            </w:r>
          </w:p>
        </w:tc>
      </w:tr>
      <w:tr>
        <w:tc>
          <w:tcPr>
            <w:tcW w:type="dxa" w:w="3248"/>
            <w:shd w:val="clear" w:color="auto" w:fill="F4F7F9"/>
          </w:tcPr>
          <w:p>
            <w:pPr>
              <w:spacing w:after="40"/>
            </w:pPr>
            <w:r/>
            <w:r>
              <w:rPr>
                <w:sz w:val="18"/>
              </w:rPr>
              <w:t>S4</w:t>
            </w:r>
          </w:p>
        </w:tc>
        <w:tc>
          <w:tcPr>
            <w:tcW w:type="dxa" w:w="3248"/>
            <w:shd w:val="clear" w:color="auto" w:fill="F4F7F9"/>
          </w:tcPr>
          <w:p>
            <w:pPr>
              <w:spacing w:after="40"/>
            </w:pPr>
            <w:r/>
            <w:r>
              <w:rPr>
                <w:sz w:val="18"/>
              </w:rPr>
              <w:t>Panne de source, quarantaine</w:t>
            </w:r>
          </w:p>
        </w:tc>
        <w:tc>
          <w:tcPr>
            <w:tcW w:type="dxa" w:w="3248"/>
            <w:shd w:val="clear" w:color="auto" w:fill="F4F7F9"/>
          </w:tcPr>
          <w:p>
            <w:pPr>
              <w:spacing w:after="40"/>
            </w:pPr>
            <w:r/>
            <w:r>
              <w:rPr>
                <w:sz w:val="18"/>
              </w:rPr>
              <w:t>72 heures</w:t>
            </w:r>
          </w:p>
        </w:tc>
      </w:tr>
    </w:tbl>
    <w:p/>
    <w:p>
      <w:pPr>
        <w:pStyle w:val="Heading2"/>
      </w:pPr>
      <w:r>
        <w:t>11.2 Procédures</w:t>
      </w:r>
    </w:p>
    <w:p>
      <w:pPr>
        <w:spacing w:before="120" w:after="200"/>
        <w:ind w:left="170"/>
        <w:shd w:val="clear" w:color="auto" w:fill="F2F5F7"/>
        <w:pBdr>
          <w:left w:val="single" w:sz="12" w:space="8" w:color="9FB3C0"/>
        </w:pBdr>
      </w:pPr>
      <w:r>
        <w:rPr>
          <w:rFonts w:ascii="Consolas" w:hAnsi="Consolas" w:eastAsia="Consolas"/>
          <w:sz w:val="17"/>
        </w:rPr>
        <w:t>S1 — Corruption de corpus</w:t>
        <w:br/>
      </w:r>
      <w:r>
        <w:rPr>
          <w:rFonts w:ascii="Consolas" w:hAnsi="Consolas" w:eastAsia="Consolas"/>
          <w:sz w:val="17"/>
        </w:rPr>
        <w:t xml:space="preserve">  1. Arreter toute collecte           lcf stop --all</w:t>
        <w:br/>
      </w:r>
      <w:r>
        <w:rPr>
          <w:rFonts w:ascii="Consolas" w:hAnsi="Consolas" w:eastAsia="Consolas"/>
          <w:sz w:val="17"/>
        </w:rPr>
        <w:t xml:space="preserve">  2. Passer le magasin en lecture seule</w:t>
        <w:br/>
      </w:r>
      <w:r>
        <w:rPr>
          <w:rFonts w:ascii="Consolas" w:hAnsi="Consolas" w:eastAsia="Consolas"/>
          <w:sz w:val="17"/>
        </w:rPr>
        <w:t xml:space="preserve">  3. Determiner l'etendue             lcf verify --all --report</w:t>
        <w:br/>
      </w:r>
      <w:r>
        <w:rPr>
          <w:rFonts w:ascii="Consolas" w:hAnsi="Consolas" w:eastAsia="Consolas"/>
          <w:sz w:val="17"/>
        </w:rPr>
        <w:t xml:space="preserve">  4. Identifier l'origine             lcf audit query --since &lt;date&gt;</w:t>
        <w:br/>
      </w:r>
      <w:r>
        <w:rPr>
          <w:rFonts w:ascii="Consolas" w:hAnsi="Consolas" w:eastAsia="Consolas"/>
          <w:sz w:val="17"/>
        </w:rPr>
        <w:t xml:space="preserve">  5. Restaurer                        lcf restore --from &lt;backup&gt; --objects-only</w:t>
        <w:br/>
      </w:r>
      <w:r>
        <w:rPr>
          <w:rFonts w:ascii="Consolas" w:hAnsi="Consolas" w:eastAsia="Consolas"/>
          <w:sz w:val="17"/>
        </w:rPr>
        <w:t xml:space="preserve">  6. Verifier                         lcf verify --all</w:t>
        <w:br/>
      </w:r>
      <w:r>
        <w:rPr>
          <w:rFonts w:ascii="Consolas" w:hAnsi="Consolas" w:eastAsia="Consolas"/>
          <w:sz w:val="17"/>
        </w:rPr>
        <w:t xml:space="preserve">  7. Consigner l'incident dans le journal d'audit</w:t>
        <w:br/>
      </w:r>
      <w:r>
        <w:rPr>
          <w:rFonts w:ascii="Consolas" w:hAnsi="Consolas" w:eastAsia="Consolas"/>
          <w:sz w:val="17"/>
        </w:rPr>
        <w:br/>
      </w:r>
      <w:r>
        <w:rPr>
          <w:rFonts w:ascii="Consolas" w:hAnsi="Consolas" w:eastAsia="Consolas"/>
          <w:sz w:val="17"/>
        </w:rPr>
        <w:t>S2 — Secret compromis</w:t>
        <w:br/>
      </w:r>
      <w:r>
        <w:rPr>
          <w:rFonts w:ascii="Consolas" w:hAnsi="Consolas" w:eastAsia="Consolas"/>
          <w:sz w:val="17"/>
        </w:rPr>
        <w:t xml:space="preserve">  1. Revoquer le secret aupres de son emetteur</w:t>
        <w:br/>
      </w:r>
      <w:r>
        <w:rPr>
          <w:rFonts w:ascii="Consolas" w:hAnsi="Consolas" w:eastAsia="Consolas"/>
          <w:sz w:val="17"/>
        </w:rPr>
        <w:t xml:space="preserve">  2. Faire tourner la valeur dans le coffre</w:t>
        <w:br/>
      </w:r>
      <w:r>
        <w:rPr>
          <w:rFonts w:ascii="Consolas" w:hAnsi="Consolas" w:eastAsia="Consolas"/>
          <w:sz w:val="17"/>
        </w:rPr>
        <w:t xml:space="preserve">  3. Redemarrer les sources concernees</w:t>
        <w:br/>
      </w:r>
      <w:r>
        <w:rPr>
          <w:rFonts w:ascii="Consolas" w:hAnsi="Consolas" w:eastAsia="Consolas"/>
          <w:sz w:val="17"/>
        </w:rPr>
        <w:t xml:space="preserve">  4. Chercher un usage anormal        lcf audit query --actor &lt;plugin&gt;</w:t>
        <w:br/>
      </w:r>
      <w:r>
        <w:rPr>
          <w:rFonts w:ascii="Consolas" w:hAnsi="Consolas" w:eastAsia="Consolas"/>
          <w:sz w:val="17"/>
        </w:rPr>
        <w:t xml:space="preserve">  5. Verifier l'absence de fuite dans les journaux conserves</w:t>
        <w:br/>
      </w:r>
      <w:r>
        <w:rPr>
          <w:rFonts w:ascii="Consolas" w:hAnsi="Consolas" w:eastAsia="Consolas"/>
          <w:sz w:val="17"/>
        </w:rPr>
        <w:br/>
      </w:r>
      <w:r>
        <w:rPr>
          <w:rFonts w:ascii="Consolas" w:hAnsi="Consolas" w:eastAsia="Consolas"/>
          <w:sz w:val="17"/>
        </w:rPr>
        <w:t>S2 — Plugin compromis</w:t>
        <w:br/>
      </w:r>
      <w:r>
        <w:rPr>
          <w:rFonts w:ascii="Consolas" w:hAnsi="Consolas" w:eastAsia="Consolas"/>
          <w:sz w:val="17"/>
        </w:rPr>
        <w:t xml:space="preserve">  1. Desactiver                       lcf source disable &lt;id&gt;</w:t>
        <w:br/>
      </w:r>
      <w:r>
        <w:rPr>
          <w:rFonts w:ascii="Consolas" w:hAnsi="Consolas" w:eastAsia="Consolas"/>
          <w:sz w:val="17"/>
        </w:rPr>
        <w:t xml:space="preserve">  2. Mettre en quarantaine le paquet</w:t>
        <w:br/>
      </w:r>
      <w:r>
        <w:rPr>
          <w:rFonts w:ascii="Consolas" w:hAnsi="Consolas" w:eastAsia="Consolas"/>
          <w:sz w:val="17"/>
        </w:rPr>
        <w:t xml:space="preserve">  3. Auditer les documents collectes depuis la version suspecte</w:t>
        <w:br/>
      </w:r>
      <w:r>
        <w:rPr>
          <w:rFonts w:ascii="Consolas" w:hAnsi="Consolas" w:eastAsia="Consolas"/>
          <w:sz w:val="17"/>
        </w:rPr>
        <w:t xml:space="preserve">  4. Verifier les empreintes contre la source d'origine</w:t>
        <w:br/>
      </w:r>
      <w:r>
        <w:rPr>
          <w:rFonts w:ascii="Consolas" w:hAnsi="Consolas" w:eastAsia="Consolas"/>
          <w:sz w:val="17"/>
        </w:rPr>
        <w:t xml:space="preserve">  5. Revoquer la cle de signature si necessaire</w:t>
      </w:r>
    </w:p>
    <w:p>
      <w:pPr>
        <w:pStyle w:val="Heading2"/>
      </w:pPr>
      <w:r>
        <w:t>11.3 Ce que le système garantit pendant un incident</w:t>
      </w:r>
    </w:p>
    <w:p>
      <w:pPr>
        <w:pStyle w:val="ListBullet"/>
        <w:spacing w:after="40"/>
      </w:pPr>
      <w:r>
        <w:t>Le Content Store est immuable : une collecte compromise ajoute, elle ne réécrit pas.</w:t>
      </w:r>
    </w:p>
    <w:p>
      <w:pPr>
        <w:pStyle w:val="ListBullet"/>
        <w:spacing w:after="40"/>
      </w:pPr>
      <w:r>
        <w:t>Le journal d'audit est chaîné : l'effacement de traces est détectable.</w:t>
      </w:r>
    </w:p>
    <w:p>
      <w:pPr>
        <w:pStyle w:val="ListBullet"/>
        <w:spacing w:after="40"/>
      </w:pPr>
      <w:r>
        <w:t>Chaque document est rattaché à une exécution, à un plugin et à une version : le périmètre d'un incident est déterminable exactement.</w:t>
      </w:r>
    </w:p>
    <w:p>
      <w:pPr>
        <w:pStyle w:val="ListBullet"/>
        <w:spacing w:after="40"/>
      </w:pPr>
      <w:r>
        <w:t>Rien n'est supprimé automatiquement : la matière de l'enquête est toujours présente.</w:t>
      </w:r>
    </w:p>
    <w:p>
      <w:r>
        <w:br w:type="page"/>
      </w:r>
    </w:p>
    <w:p>
      <w:pPr>
        <w:pStyle w:val="Heading1"/>
      </w:pPr>
      <w:r>
        <w:t>Chapitre 12 — Critères d'acceptation du Volume VI</w:t>
      </w:r>
    </w:p>
    <w:p>
      <w:pPr>
        <w:pStyle w:val="Heading2"/>
      </w:pPr>
      <w:r>
        <w:t>AC-6.1 — Protection SSRF</w:t>
      </w:r>
    </w:p>
    <w:p>
      <w:pPr>
        <w:spacing w:before="120" w:after="200"/>
        <w:ind w:left="170"/>
        <w:shd w:val="clear" w:color="auto" w:fill="F2F5F7"/>
        <w:pBdr>
          <w:left w:val="single" w:sz="12" w:space="8" w:color="9FB3C0"/>
        </w:pBdr>
      </w:pPr>
      <w:r>
        <w:rPr>
          <w:rFonts w:ascii="Consolas" w:hAnsi="Consolas" w:eastAsia="Consolas"/>
          <w:sz w:val="17"/>
        </w:rPr>
        <w:t>ETANT DONNE un plugin retournant un FetchPlan vers http://169.254.169.254/</w:t>
        <w:br/>
      </w:r>
      <w:r>
        <w:rPr>
          <w:rFonts w:ascii="Consolas" w:hAnsi="Consolas" w:eastAsia="Consolas"/>
          <w:sz w:val="17"/>
        </w:rPr>
        <w:t>QUAND le Download Manager le traite</w:t>
        <w:br/>
      </w:r>
      <w:r>
        <w:rPr>
          <w:rFonts w:ascii="Consolas" w:hAnsi="Consolas" w:eastAsia="Consolas"/>
          <w:sz w:val="17"/>
        </w:rPr>
        <w:t>ALORS la requete est refusee avant toute connexion</w:t>
        <w:br/>
      </w:r>
      <w:r>
        <w:rPr>
          <w:rFonts w:ascii="Consolas" w:hAnsi="Consolas" w:eastAsia="Consolas"/>
          <w:sz w:val="17"/>
        </w:rPr>
        <w:t xml:space="preserve">  ET aucun paquet n'est emis vers cette adresse</w:t>
        <w:br/>
      </w:r>
      <w:r>
        <w:rPr>
          <w:rFonts w:ascii="Consolas" w:hAnsi="Consolas" w:eastAsia="Consolas"/>
          <w:sz w:val="17"/>
        </w:rPr>
        <w:t xml:space="preserve">  ET l'incident est consigne dans le journal d'audit</w:t>
      </w:r>
    </w:p>
    <w:p>
      <w:pPr>
        <w:pStyle w:val="Heading2"/>
      </w:pPr>
      <w:r>
        <w:t>AC-6.2 — Bombe de décompression</w:t>
      </w:r>
    </w:p>
    <w:p>
      <w:pPr>
        <w:spacing w:before="120" w:after="200"/>
        <w:ind w:left="170"/>
        <w:shd w:val="clear" w:color="auto" w:fill="F2F5F7"/>
        <w:pBdr>
          <w:left w:val="single" w:sz="12" w:space="8" w:color="9FB3C0"/>
        </w:pBdr>
      </w:pPr>
      <w:r>
        <w:rPr>
          <w:rFonts w:ascii="Consolas" w:hAnsi="Consolas" w:eastAsia="Consolas"/>
          <w:sz w:val="17"/>
        </w:rPr>
        <w:t>ETANT DONNE une archive de 1 Mio se decompressant en 10 Gio</w:t>
        <w:br/>
      </w:r>
      <w:r>
        <w:rPr>
          <w:rFonts w:ascii="Consolas" w:hAnsi="Consolas" w:eastAsia="Consolas"/>
          <w:sz w:val="17"/>
        </w:rPr>
        <w:t>QUAND un plugin en demande un membre</w:t>
        <w:br/>
      </w:r>
      <w:r>
        <w:rPr>
          <w:rFonts w:ascii="Consolas" w:hAnsi="Consolas" w:eastAsia="Consolas"/>
          <w:sz w:val="17"/>
        </w:rPr>
        <w:t>ALORS l'extraction est interrompue au depassement du ratio</w:t>
        <w:br/>
      </w:r>
      <w:r>
        <w:rPr>
          <w:rFonts w:ascii="Consolas" w:hAnsi="Consolas" w:eastAsia="Consolas"/>
          <w:sz w:val="17"/>
        </w:rPr>
        <w:t xml:space="preserve">  ET la memoire utilisee reste bornee</w:t>
        <w:br/>
      </w:r>
      <w:r>
        <w:rPr>
          <w:rFonts w:ascii="Consolas" w:hAnsi="Consolas" w:eastAsia="Consolas"/>
          <w:sz w:val="17"/>
        </w:rPr>
        <w:t xml:space="preserve">  ET le processus ne tombe pas</w:t>
      </w:r>
    </w:p>
    <w:p>
      <w:pPr>
        <w:pStyle w:val="Heading2"/>
      </w:pPr>
      <w:r>
        <w:t>AC-6.3 — Non-fuite des secrets</w:t>
      </w:r>
    </w:p>
    <w:p>
      <w:pPr>
        <w:spacing w:before="120" w:after="200"/>
        <w:ind w:left="170"/>
        <w:shd w:val="clear" w:color="auto" w:fill="F2F5F7"/>
        <w:pBdr>
          <w:left w:val="single" w:sz="12" w:space="8" w:color="9FB3C0"/>
        </w:pBdr>
      </w:pPr>
      <w:r>
        <w:rPr>
          <w:rFonts w:ascii="Consolas" w:hAnsi="Consolas" w:eastAsia="Consolas"/>
          <w:sz w:val="17"/>
        </w:rPr>
        <w:t>ETANT DONNE un plugin configure avec un jeton secret</w:t>
        <w:br/>
      </w:r>
      <w:r>
        <w:rPr>
          <w:rFonts w:ascii="Consolas" w:hAnsi="Consolas" w:eastAsia="Consolas"/>
          <w:sz w:val="17"/>
        </w:rPr>
        <w:t>QUAND il declenche une erreur dont le message contient le jeton</w:t>
        <w:br/>
      </w:r>
      <w:r>
        <w:rPr>
          <w:rFonts w:ascii="Consolas" w:hAnsi="Consolas" w:eastAsia="Consolas"/>
          <w:sz w:val="17"/>
        </w:rPr>
        <w:t>ALORS le journal affiche [REDACTED]</w:t>
        <w:br/>
      </w:r>
      <w:r>
        <w:rPr>
          <w:rFonts w:ascii="Consolas" w:hAnsi="Consolas" w:eastAsia="Consolas"/>
          <w:sz w:val="17"/>
        </w:rPr>
        <w:t xml:space="preserve">  ET la trace d'exception ne contient pas la valeur</w:t>
        <w:br/>
      </w:r>
      <w:r>
        <w:rPr>
          <w:rFonts w:ascii="Consolas" w:hAnsi="Consolas" w:eastAsia="Consolas"/>
          <w:sz w:val="17"/>
        </w:rPr>
        <w:t xml:space="preserve">  ET l'evenement emis ne la contient pas</w:t>
      </w:r>
    </w:p>
    <w:p>
      <w:pPr>
        <w:pStyle w:val="Heading2"/>
      </w:pPr>
      <w:r>
        <w:t>AC-6.4 — Intégrité du journal d'audit</w:t>
      </w:r>
    </w:p>
    <w:p>
      <w:pPr>
        <w:spacing w:before="120" w:after="200"/>
        <w:ind w:left="170"/>
        <w:shd w:val="clear" w:color="auto" w:fill="F2F5F7"/>
        <w:pBdr>
          <w:left w:val="single" w:sz="12" w:space="8" w:color="9FB3C0"/>
        </w:pBdr>
      </w:pPr>
      <w:r>
        <w:rPr>
          <w:rFonts w:ascii="Consolas" w:hAnsi="Consolas" w:eastAsia="Consolas"/>
          <w:sz w:val="17"/>
        </w:rPr>
        <w:t>ETANT DONNE un journal d'audit de 100 000 entrees</w:t>
        <w:br/>
      </w:r>
      <w:r>
        <w:rPr>
          <w:rFonts w:ascii="Consolas" w:hAnsi="Consolas" w:eastAsia="Consolas"/>
          <w:sz w:val="17"/>
        </w:rPr>
        <w:t>QUAND une entree intermediaire est modifiee directement en base</w:t>
        <w:br/>
      </w:r>
      <w:r>
        <w:rPr>
          <w:rFonts w:ascii="Consolas" w:hAnsi="Consolas" w:eastAsia="Consolas"/>
          <w:sz w:val="17"/>
        </w:rPr>
        <w:t>ALORS `lcf audit verify` detecte la rupture de chaine</w:t>
        <w:br/>
      </w:r>
      <w:r>
        <w:rPr>
          <w:rFonts w:ascii="Consolas" w:hAnsi="Consolas" w:eastAsia="Consolas"/>
          <w:sz w:val="17"/>
        </w:rPr>
        <w:t xml:space="preserve">  ET nomme le numero de sequence de la premiere divergence</w:t>
      </w:r>
    </w:p>
    <w:p>
      <w:pPr>
        <w:pStyle w:val="Heading2"/>
      </w:pPr>
      <w:r>
        <w:t>AC-6.5 — Refus d'un plugin non signé</w:t>
      </w:r>
    </w:p>
    <w:p>
      <w:pPr>
        <w:spacing w:before="120" w:after="200"/>
        <w:ind w:left="170"/>
        <w:shd w:val="clear" w:color="auto" w:fill="F2F5F7"/>
        <w:pBdr>
          <w:left w:val="single" w:sz="12" w:space="8" w:color="9FB3C0"/>
        </w:pBdr>
      </w:pPr>
      <w:r>
        <w:rPr>
          <w:rFonts w:ascii="Consolas" w:hAnsi="Consolas" w:eastAsia="Consolas"/>
          <w:sz w:val="17"/>
        </w:rPr>
        <w:t>ETANT DONNE requireSignature = true</w:t>
        <w:br/>
      </w:r>
      <w:r>
        <w:rPr>
          <w:rFonts w:ascii="Consolas" w:hAnsi="Consolas" w:eastAsia="Consolas"/>
          <w:sz w:val="17"/>
        </w:rPr>
        <w:t>QUAND un plugin sans signature valide est presente</w:t>
        <w:br/>
      </w:r>
      <w:r>
        <w:rPr>
          <w:rFonts w:ascii="Consolas" w:hAnsi="Consolas" w:eastAsia="Consolas"/>
          <w:sz w:val="17"/>
        </w:rPr>
        <w:t>ALORS il est rejete au chargement</w:t>
        <w:br/>
      </w:r>
      <w:r>
        <w:rPr>
          <w:rFonts w:ascii="Consolas" w:hAnsi="Consolas" w:eastAsia="Consolas"/>
          <w:sz w:val="17"/>
        </w:rPr>
        <w:t xml:space="preserve">  ET aucune ligne de son code n'a ete evaluee</w:t>
        <w:br/>
      </w:r>
      <w:r>
        <w:rPr>
          <w:rFonts w:ascii="Consolas" w:hAnsi="Consolas" w:eastAsia="Consolas"/>
          <w:sz w:val="17"/>
        </w:rPr>
        <w:t xml:space="preserve">  ET le rejet figure au journal d'audit</w:t>
      </w:r>
    </w:p>
    <w:p>
      <w:pPr>
        <w:pStyle w:val="Heading2"/>
      </w:pPr>
      <w:r>
        <w:t>AC-6.6 — Respect de robots.txt</w:t>
      </w:r>
    </w:p>
    <w:p>
      <w:pPr>
        <w:spacing w:before="120" w:after="200"/>
        <w:ind w:left="170"/>
        <w:shd w:val="clear" w:color="auto" w:fill="F2F5F7"/>
        <w:pBdr>
          <w:left w:val="single" w:sz="12" w:space="8" w:color="9FB3C0"/>
        </w:pBdr>
      </w:pPr>
      <w:r>
        <w:rPr>
          <w:rFonts w:ascii="Consolas" w:hAnsi="Consolas" w:eastAsia="Consolas"/>
          <w:sz w:val="17"/>
        </w:rPr>
        <w:t>ETANT DONNE une source dont robots.txt interdit /prive/</w:t>
        <w:br/>
      </w:r>
      <w:r>
        <w:rPr>
          <w:rFonts w:ascii="Consolas" w:hAnsi="Consolas" w:eastAsia="Consolas"/>
          <w:sz w:val="17"/>
        </w:rPr>
        <w:t>QUAND un plugin tente de recuperer /prive/doc.pdf</w:t>
        <w:br/>
      </w:r>
      <w:r>
        <w:rPr>
          <w:rFonts w:ascii="Consolas" w:hAnsi="Consolas" w:eastAsia="Consolas"/>
          <w:sz w:val="17"/>
        </w:rPr>
        <w:t>ALORS la requete est refusee</w:t>
        <w:br/>
      </w:r>
      <w:r>
        <w:rPr>
          <w:rFonts w:ascii="Consolas" w:hAnsi="Consolas" w:eastAsia="Consolas"/>
          <w:sz w:val="17"/>
        </w:rPr>
        <w:t xml:space="preserve">  ET le refus est journalise avec la regle appliquee</w:t>
      </w:r>
    </w:p>
    <w:p>
      <w:pPr>
        <w:pStyle w:val="Heading2"/>
      </w:pPr>
      <w:r>
        <w:t>AC-6.7 — Opérations destructives hors réseau</w:t>
      </w:r>
    </w:p>
    <w:p>
      <w:pPr>
        <w:spacing w:before="120" w:after="200"/>
        <w:ind w:left="170"/>
        <w:shd w:val="clear" w:color="auto" w:fill="F2F5F7"/>
        <w:pBdr>
          <w:left w:val="single" w:sz="12" w:space="8" w:color="9FB3C0"/>
        </w:pBdr>
      </w:pPr>
      <w:r>
        <w:rPr>
          <w:rFonts w:ascii="Consolas" w:hAnsi="Consolas" w:eastAsia="Consolas"/>
          <w:sz w:val="17"/>
        </w:rPr>
        <w:t>ETANT DONNE un jeton de portee admin</w:t>
        <w:br/>
      </w:r>
      <w:r>
        <w:rPr>
          <w:rFonts w:ascii="Consolas" w:hAnsi="Consolas" w:eastAsia="Consolas"/>
          <w:sz w:val="17"/>
        </w:rPr>
        <w:t>QUAND une purge est demandee via l'API HTTP</w:t>
        <w:br/>
      </w:r>
      <w:r>
        <w:rPr>
          <w:rFonts w:ascii="Consolas" w:hAnsi="Consolas" w:eastAsia="Consolas"/>
          <w:sz w:val="17"/>
        </w:rPr>
        <w:t>ALORS la requete est refusee avec 405</w:t>
        <w:br/>
      </w:r>
      <w:r>
        <w:rPr>
          <w:rFonts w:ascii="Consolas" w:hAnsi="Consolas" w:eastAsia="Consolas"/>
          <w:sz w:val="17"/>
        </w:rPr>
        <w:t xml:space="preserve">  ET la reponse indique que l'operation n'existe qu'en ligne de commande</w:t>
      </w:r>
    </w:p>
    <w:p>
      <w:pPr>
        <w:pStyle w:val="Heading2"/>
      </w:pPr>
      <w:r>
        <w:t>AC-6.8 — Isolement du traitement</w:t>
      </w:r>
    </w:p>
    <w:p>
      <w:pPr>
        <w:spacing w:before="120" w:after="200"/>
        <w:ind w:left="170"/>
        <w:shd w:val="clear" w:color="auto" w:fill="F2F5F7"/>
        <w:pBdr>
          <w:left w:val="single" w:sz="12" w:space="8" w:color="9FB3C0"/>
        </w:pBdr>
      </w:pPr>
      <w:r>
        <w:rPr>
          <w:rFonts w:ascii="Consolas" w:hAnsi="Consolas" w:eastAsia="Consolas"/>
          <w:sz w:val="17"/>
        </w:rPr>
        <w:t>ETANT DONNE un PDF concu pour epuiser la memoire</w:t>
        <w:br/>
      </w:r>
      <w:r>
        <w:rPr>
          <w:rFonts w:ascii="Consolas" w:hAnsi="Consolas" w:eastAsia="Consolas"/>
          <w:sz w:val="17"/>
        </w:rPr>
        <w:t>QUAND le pipeline le traite</w:t>
        <w:br/>
      </w:r>
      <w:r>
        <w:rPr>
          <w:rFonts w:ascii="Consolas" w:hAnsi="Consolas" w:eastAsia="Consolas"/>
          <w:sz w:val="17"/>
        </w:rPr>
        <w:t>ALORS le processus d'extraction est termine au plafond memoire</w:t>
        <w:br/>
      </w:r>
      <w:r>
        <w:rPr>
          <w:rFonts w:ascii="Consolas" w:hAnsi="Consolas" w:eastAsia="Consolas"/>
          <w:sz w:val="17"/>
        </w:rPr>
        <w:t xml:space="preserve">  ET la tache passe en echec deterministe</w:t>
        <w:br/>
      </w:r>
      <w:r>
        <w:rPr>
          <w:rFonts w:ascii="Consolas" w:hAnsi="Consolas" w:eastAsia="Consolas"/>
          <w:sz w:val="17"/>
        </w:rPr>
        <w:t xml:space="preserve">  ET les autres travailleurs continuent</w:t>
        <w:br/>
      </w:r>
      <w:r>
        <w:rPr>
          <w:rFonts w:ascii="Consolas" w:hAnsi="Consolas" w:eastAsia="Consolas"/>
          <w:sz w:val="17"/>
        </w:rPr>
        <w:t xml:space="preserve">  ET aucune collecte n'est affectee</w:t>
      </w:r>
    </w:p>
    <w:p>
      <w:r>
        <w:br w:type="page"/>
      </w:r>
    </w:p>
    <w:p>
      <w:pPr>
        <w:pStyle w:val="Heading1"/>
      </w:pPr>
      <w:r>
        <w:t>Chapitre 13 — Décisions d'architecture du Volume VI</w:t>
      </w:r>
    </w:p>
    <w:p>
      <w:pPr>
        <w:pStyle w:val="Heading2"/>
      </w:pPr>
      <w:r>
        <w:t>ADR-601 — Refus par défaut sur toutes les frontières</w:t>
      </w:r>
    </w:p>
    <w:p>
      <w:pPr>
        <w:jc w:val="both"/>
      </w:pPr>
      <w:r>
        <w:rPr>
          <w:b/>
        </w:rPr>
        <w:t>Statut</w:t>
      </w:r>
      <w:r>
        <w:t xml:space="preserve"> : Accepté · </w:t>
      </w:r>
      <w:r>
        <w:rPr>
          <w:b/>
        </w:rPr>
        <w:t>Contexte</w:t>
      </w:r>
      <w:r>
        <w:t xml:space="preserve"> : Une liste de refus est toujours incomplète ; une liste d'autorisation est vérifiable.</w:t>
      </w:r>
    </w:p>
    <w:p>
      <w:pPr>
        <w:jc w:val="both"/>
      </w:pPr>
      <w:r>
        <w:rPr>
          <w:b/>
        </w:rPr>
        <w:t>Décision</w:t>
      </w:r>
      <w:r>
        <w:t xml:space="preserve"> : Hôtes, capacités, portées et protocoles fonctionnent tous en liste blanche.</w:t>
      </w:r>
    </w:p>
    <w:p>
      <w:pPr>
        <w:jc w:val="both"/>
      </w:pPr>
      <w:r>
        <w:rPr>
          <w:b/>
        </w:rPr>
        <w:t>Conséquences</w:t>
      </w:r>
      <w:r>
        <w:t xml:space="preserve"> : + Surface d'attaque bornée et énumérable. − Configuration plus verbeuse, friction assumée à l'ajout d'une source.</w:t>
      </w:r>
    </w:p>
    <w:p>
      <w:pPr>
        <w:pStyle w:val="Heading2"/>
      </w:pPr>
      <w:r>
        <w:t>ADR-602 — Secrets typés plutôt que chaînes</w:t>
      </w:r>
    </w:p>
    <w:p>
      <w:pPr>
        <w:jc w:val="both"/>
      </w:pPr>
      <w:r>
        <w:rPr>
          <w:b/>
        </w:rPr>
        <w:t>Statut</w:t>
      </w:r>
      <w:r>
        <w:t xml:space="preserve"> : Accepté · </w:t>
      </w:r>
      <w:r>
        <w:rPr>
          <w:b/>
        </w:rPr>
        <w:t>Contexte</w:t>
      </w:r>
      <w:r>
        <w:t xml:space="preserve"> : La quasi-totalité des fuites de secrets provient d'une journalisation accidentelle.</w:t>
      </w:r>
    </w:p>
    <w:p>
      <w:pPr>
        <w:jc w:val="both"/>
      </w:pPr>
      <w:r>
        <w:rPr>
          <w:b/>
        </w:rPr>
        <w:t>Décision</w:t>
      </w:r>
      <w:r>
        <w:t xml:space="preserve"> : </w:t>
      </w:r>
      <w:r>
        <w:rPr>
          <w:rFonts w:ascii="Consolas" w:hAnsi="Consolas"/>
          <w:color w:val="8B1A1A"/>
          <w:sz w:val="19"/>
        </w:rPr>
        <w:t>SecretValue</w:t>
      </w:r>
      <w:r>
        <w:t xml:space="preserve">, avec </w:t>
      </w:r>
      <w:r>
        <w:rPr>
          <w:rFonts w:ascii="Consolas" w:hAnsi="Consolas"/>
          <w:color w:val="8B1A1A"/>
          <w:sz w:val="19"/>
        </w:rPr>
        <w:t>toString</w:t>
      </w:r>
      <w:r>
        <w:t>/</w:t>
      </w:r>
      <w:r>
        <w:rPr>
          <w:rFonts w:ascii="Consolas" w:hAnsi="Consolas"/>
          <w:color w:val="8B1A1A"/>
          <w:sz w:val="19"/>
        </w:rPr>
        <w:t>toJSON</w:t>
      </w:r>
      <w:r>
        <w:t xml:space="preserve"> piégés et accès explicite par </w:t>
      </w:r>
      <w:r>
        <w:rPr>
          <w:rFonts w:ascii="Consolas" w:hAnsi="Consolas"/>
          <w:color w:val="8B1A1A"/>
          <w:sz w:val="19"/>
        </w:rPr>
        <w:t>use()</w:t>
      </w:r>
      <w:r>
        <w:t>.</w:t>
      </w:r>
    </w:p>
    <w:p>
      <w:pPr>
        <w:jc w:val="both"/>
      </w:pPr>
      <w:r>
        <w:rPr>
          <w:b/>
        </w:rPr>
        <w:t>Conséquences</w:t>
      </w:r>
      <w:r>
        <w:t xml:space="preserve"> : + La fuite accidentelle devient très improbable. − Un peu plus verbeux à l'usage, ce qui est le but.</w:t>
      </w:r>
    </w:p>
    <w:p>
      <w:pPr>
        <w:pStyle w:val="Heading2"/>
      </w:pPr>
      <w:r>
        <w:t>ADR-603 — Journal d'audit chaîné cryptographiquement</w:t>
      </w:r>
    </w:p>
    <w:p>
      <w:pPr>
        <w:jc w:val="both"/>
      </w:pPr>
      <w:r>
        <w:rPr>
          <w:b/>
        </w:rPr>
        <w:t>Statut</w:t>
      </w:r>
      <w:r>
        <w:t xml:space="preserve"> : Accepté · </w:t>
      </w:r>
      <w:r>
        <w:rPr>
          <w:b/>
        </w:rPr>
        <w:t>Contexte</w:t>
      </w:r>
      <w:r>
        <w:t xml:space="preserve"> : Un corpus documentaire doit pouvoir prouver son intégrité, pas seulement l'affirmer.</w:t>
      </w:r>
    </w:p>
    <w:p>
      <w:pPr>
        <w:jc w:val="both"/>
      </w:pPr>
      <w:r>
        <w:rPr>
          <w:b/>
        </w:rPr>
        <w:t>Décision</w:t>
      </w:r>
      <w:r>
        <w:t xml:space="preserve"> : Chaque entrée intègre l'empreinte de la précédente ; ancrage externe optionnel.</w:t>
      </w:r>
    </w:p>
    <w:p>
      <w:pPr>
        <w:jc w:val="both"/>
      </w:pPr>
      <w:r>
        <w:rPr>
          <w:b/>
        </w:rPr>
        <w:t>Conséquences</w:t>
      </w:r>
      <w:r>
        <w:t xml:space="preserve"> : + Toute réécriture rétroactive est détectable. − Écritures strictement sérialisées, coût faible et mesuré.</w:t>
      </w:r>
    </w:p>
    <w:p>
      <w:pPr>
        <w:pStyle w:val="Heading2"/>
      </w:pPr>
      <w:r>
        <w:t>ADR-604 — Absence de capacités de contournement</w:t>
      </w:r>
    </w:p>
    <w:p>
      <w:pPr>
        <w:jc w:val="both"/>
      </w:pPr>
      <w:r>
        <w:rPr>
          <w:b/>
        </w:rPr>
        <w:t>Statut</w:t>
      </w:r>
      <w:r>
        <w:t xml:space="preserve"> : Accepté · </w:t>
      </w:r>
      <w:r>
        <w:rPr>
          <w:b/>
        </w:rPr>
        <w:t>Contexte</w:t>
      </w:r>
      <w:r>
        <w:t xml:space="preserve"> : Un outil capable de contourner CAPTCHA, authentification et limitation de débit sera utilisé pour cela.</w:t>
      </w:r>
    </w:p>
    <w:p>
      <w:pPr>
        <w:jc w:val="both"/>
      </w:pPr>
      <w:r>
        <w:rPr>
          <w:b/>
        </w:rPr>
        <w:t>Décision</w:t>
      </w:r>
      <w:r>
        <w:t xml:space="preserve"> : Ces capacités ne sont pas implémentées, et ne le seront pas.</w:t>
      </w:r>
    </w:p>
    <w:p>
      <w:pPr>
        <w:jc w:val="both"/>
      </w:pPr>
      <w:r>
        <w:rPr>
          <w:b/>
        </w:rPr>
        <w:t>Conséquences</w:t>
      </w:r>
      <w:r>
        <w:t xml:space="preserve"> : + Le Framework reste défendable auprès des sources et des institutions qui l'emploient. − Certaines sources restent hors de portée, ce qui est accepté.</w:t>
      </w:r>
    </w:p>
    <w:p>
      <w:pPr>
        <w:pStyle w:val="Heading2"/>
      </w:pPr>
      <w:r>
        <w:t>ADR-605 — API locale par défaut, opérations destructives hors réseau</w:t>
      </w:r>
    </w:p>
    <w:p>
      <w:pPr>
        <w:jc w:val="both"/>
      </w:pPr>
      <w:r>
        <w:rPr>
          <w:b/>
        </w:rPr>
        <w:t>Statut</w:t>
      </w:r>
      <w:r>
        <w:t xml:space="preserve"> : Accepté · </w:t>
      </w:r>
      <w:r>
        <w:rPr>
          <w:b/>
        </w:rPr>
        <w:t>Contexte</w:t>
      </w:r>
      <w:r>
        <w:t xml:space="preserve"> : Une API exposée par défaut est une API exposée par accident.</w:t>
      </w:r>
    </w:p>
    <w:p>
      <w:pPr>
        <w:jc w:val="both"/>
      </w:pPr>
      <w:r>
        <w:rPr>
          <w:b/>
        </w:rPr>
        <w:t>Décision</w:t>
      </w:r>
      <w:r>
        <w:t xml:space="preserve"> : Liaison sur </w:t>
      </w:r>
      <w:r>
        <w:rPr>
          <w:rFonts w:ascii="Consolas" w:hAnsi="Consolas"/>
          <w:color w:val="8B1A1A"/>
          <w:sz w:val="19"/>
        </w:rPr>
        <w:t>127.0.0.1</w:t>
      </w:r>
      <w:r>
        <w:t xml:space="preserve"> par défaut ; purge, élagage et ramasse-miettes uniquement en ligne de commande locale.</w:t>
      </w:r>
    </w:p>
    <w:p>
      <w:pPr>
        <w:jc w:val="both"/>
      </w:pPr>
      <w:r>
        <w:rPr>
          <w:b/>
        </w:rPr>
        <w:t>Conséquences</w:t>
      </w:r>
      <w:r>
        <w:t xml:space="preserve"> : + Aucune opération irréversible ne dépend d'un jeton qui pourrait fuir. − Exploitation à distance moins commode, friction délibérée.</w:t>
      </w:r>
    </w:p>
    <w:p>
      <w:r>
        <w:br w:type="page"/>
      </w:r>
    </w:p>
    <w:p>
      <w:pPr>
        <w:pStyle w:val="Heading1"/>
      </w:pPr>
      <w:r>
        <w:t>Synthèse du Volume VI</w:t>
      </w:r>
    </w:p>
    <w:p>
      <w:pPr>
        <w:jc w:val="both"/>
      </w:pPr>
      <w:r>
        <w:t>Le Volume VI a traité les trois risques propres à un collecteur documentaire, chacun par un mécanisme structurel plutôt que par une règle de vigilance.</w:t>
      </w:r>
    </w:p>
    <w:p>
      <w:pPr>
        <w:jc w:val="both"/>
      </w:pPr>
      <w:r>
        <w:t>Le contenu entrant est traité comme hostile par défaut : bornes dures, analyseurs désarmés, extraction isolée dans un processus sacrifiable, et un magasin adressé par empreinte qui élimine par construction toute une classe de vulnérabilités de chemin.</w:t>
      </w:r>
    </w:p>
    <w:p>
      <w:pPr>
        <w:jc w:val="both"/>
      </w:pPr>
      <w:r>
        <w:t>Le code des plugins est encadré par des capacités en liste blanche, une signature vérifiée avant toute évaluation, et trois niveaux d'isolement choisis à l'exploitation sans réécriture.</w:t>
      </w:r>
    </w:p>
    <w:p>
      <w:pPr>
        <w:jc w:val="both"/>
      </w:pPr>
      <w:r>
        <w:t>Le corpus produit repose sur une chaîne de confiance vérifiable : adressage par contenu, journal d'audit chaîné, ancrage externe optionnel, attestation de document à la demande — qui affirme exactement ce qu'elle peut affirmer, et rien de plus.</w:t>
      </w:r>
    </w:p>
    <w:p>
      <w:pPr>
        <w:jc w:val="both"/>
      </w:pPr>
      <w:r>
        <w:t>Enfin, ce volume définit ce que le Framework refuse de savoir faire. Cette liste d'absences est un choix d'architecture au même titre que les fonctions présentes : un outil qui ne peut pas contourner une protection ne pourra jamais être utilisé pour la contourner.</w:t>
      </w:r>
    </w:p>
    <w:p>
      <w:pPr>
        <w:jc w:val="both"/>
      </w:pPr>
      <w:r>
        <w:rPr>
          <w:b/>
        </w:rPr>
        <w:t>Volume VII — Observability, Operations &amp; Deployment</w:t>
      </w:r>
      <w:r>
        <w:t xml:space="preserve"> traitera de la conduite du système en production : journalisation structurée, métriques, traces, tableaux de bord, alertes utiles, profils de déploiement, procédures d'exploitation, et le manuel d'astreinte.</w:t>
      </w:r>
    </w:p>
    <w:sectPr w:rsidR="00FC693F" w:rsidRPr="0006063C" w:rsidSect="00034616">
      <w:footerReference w:type="default" r:id="rId9"/>
      <w:pgSz w:w="12240" w:h="15840"/>
      <w:pgMar w:top="1247" w:right="1134"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LCF - Software Architecture Specification - VOLUME VI — Security, Compliance &amp; Trust Chain - 0.6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3D5B"/>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3D5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6C8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B6C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