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InaportnetAnalytics - Gemini Notebook</w:t>
      </w:r>
    </w:p>
    <w:p>
      <w:pPr>
        <w:pStyle w:val="Heading1"/>
      </w:pPr>
      <w:r>
        <w:t xml:space="preserve">InaportnetAnalytics - Gemini Notebook</w:t>
      </w:r>
    </w:p>
    <w:p>
      <w:r>
        <w:t xml:space="preserve">Exported on: 8/4/2026, 4:59:30 PM</w:t>
      </w:r>
    </w:p>
    <w:p>
      <w:pPr>
        <w:pStyle w:val="Heading1"/>
      </w:pPr>
      <w:r>
        <w:t xml:space="preserve">Evaluasi Kinerja Layanan Administrasi Digital di Pelabuhan Indonesia: Integrasi Port Service Performance Index (PSPI) Berbasis Analytical Hierarchy Process (AHP) dan Analisis Kuadran Strategis</w:t>
      </w:r>
    </w:p>
    <w:p>
      <w:r>
        <w:rPr>
          <w:b/>
          <w:bCs/>
        </w:rPr>
        <w:t xml:space="preserve">Rifki Wijaya, Eka C. Setyawan</w:t>
      </w:r>
      <w:r/>
      <w:r>
        <w:br/>
        <w:t xml:space="preserve"> </w:t>
      </w:r>
      <w:r>
        <w:rPr>
          <w:i/>
          <w:iCs/>
        </w:rPr>
        <w:t xml:space="preserve">Inspektorat Jenderal, Kementerian Perhubungan, Republik Indonesia</w:t>
      </w:r>
      <w:r/>
      <w:r>
        <w:br/>
        <w:t xml:space="preserve"> </w:t>
      </w:r>
      <w:r>
        <w:rPr>
          <w:i/>
          <w:iCs/>
        </w:rPr>
        <w:t xml:space="preserve">Alamat Korespondensi: rifki12wijaya@gmail.go.id</w:t>
      </w:r>
    </w:p>
    <w:p>
      <w:pPr>
        <w:pBdr>
          <w:bottom w:val="single" w:color="999999" w:sz="6" w:space="1"/>
        </w:pBdr>
      </w:pPr>
    </w:p>
    <w:p>
      <w:pPr>
        <w:pStyle w:val="Heading3"/>
      </w:pPr>
      <w:r>
        <w:t xml:space="preserve">Abstrak</w:t>
      </w:r>
    </w:p>
    <w:p>
      <w:r>
        <w:rPr>
          <w:b/>
          <w:bCs/>
        </w:rPr>
        <w:t xml:space="preserve">Abstrak —</w:t>
      </w:r>
      <w:r>
        <w:t xml:space="preserve"> Digitalisasi telah mentransformasi layanan administrasi kepelabuhanan melalui pemrosesan elektronik perizinan kedatangan kapal (PKK) di platform Inaportnet. Evaluasi terhadap kinerja layanan administrasi digital rill masih terbatas dibandingkan metrik fisik operasional pelabuhan tradisional. Penelitian ini mengusulkan kerangka kerja komprehensif berbasis data (</w:t>
      </w:r>
      <w:r>
        <w:rPr>
          <w:i/>
          <w:iCs/>
        </w:rPr>
        <w:t xml:space="preserve">data-driven framework</w:t>
      </w:r>
      <w:r>
        <w:t xml:space="preserve">) menggunakan </w:t>
      </w:r>
      <w:r>
        <w:rPr>
          <w:i/>
          <w:iCs/>
        </w:rPr>
        <w:t xml:space="preserve">Port Service Performance Index</w:t>
      </w:r>
      <w:r>
        <w:t xml:space="preserve"> (PSPI) untuk mengevaluasi kinerja administrasi pelabuhan di Indonesia sepanjang tahun 2025. Kerangka kerja ini mengintegrasikan empat dimensi utama waktu respons: kepatuhan SLA (</w:t>
      </w:r>
      <w:r>
        <w:rPr>
          <w:i/>
          <w:iCs/>
        </w:rPr>
        <w:t xml:space="preserve">Compliance</w:t>
      </w:r>
      <w:r>
        <w:t xml:space="preserve">), kecepatan (</w:t>
      </w:r>
      <w:r>
        <w:rPr>
          <w:i/>
          <w:iCs/>
        </w:rPr>
        <w:t xml:space="preserve">Efficiency</w:t>
      </w:r>
      <w:r>
        <w:t xml:space="preserve">), konsistensi (</w:t>
      </w:r>
      <w:r>
        <w:rPr>
          <w:i/>
          <w:iCs/>
        </w:rPr>
        <w:t xml:space="preserve">Consistency</w:t>
      </w:r>
      <w:r>
        <w:t xml:space="preserve">), dan ketahanan terhadap penundaan ekstrem (</w:t>
      </w:r>
      <w:r>
        <w:rPr>
          <w:i/>
          <w:iCs/>
        </w:rPr>
        <w:t xml:space="preserve">Robustness</w:t>
      </w:r>
      <w:r>
        <w:t xml:space="preserve">). Untuk mengatasi keterbatasan pembobotan rata (</w:t>
      </w:r>
      <w:r>
        <w:rPr>
          <w:i/>
          <w:iCs/>
        </w:rPr>
        <w:t xml:space="preserve">equal weighting</w:t>
      </w:r>
      <w:r>
        <w:t xml:space="preserve">) dalam merepresentasikan tingkat kepentingan regulatif dan finansial masing-masing dimensi, penelitian ini mengintegrasikan metode </w:t>
      </w:r>
      <w:r>
        <w:rPr>
          <w:i/>
          <w:iCs/>
        </w:rPr>
        <w:t xml:space="preserve">Analytical Hierarchy Process</w:t>
      </w:r>
      <w:r>
        <w:t xml:space="preserve"> (AHP) berbasis penilaian pakar kepelabuhanan dengan skala Saaty (1–9). Hasil pengujian AHP menghasilkan bobot ilmiah baru: kepatuhan SLA (CI) sebesar 47,09%, ketahanan penundaan ekstrem (RI) sebesar 28,40%, efisiensi (EI) sebesar 17,15%, dan konsistensi (CsI) sebesar 7,36% dengan rasio konsistensi (CR) sangat valid sebesar 1,90% (≤ 10%). Pemetaan indeks terhadap beban kerja menggunakan </w:t>
      </w:r>
      <w:r>
        <w:rPr>
          <w:i/>
          <w:iCs/>
        </w:rPr>
        <w:t xml:space="preserve">Strategic Quadrant Analysis</w:t>
      </w:r>
      <w:r>
        <w:t xml:space="preserve"> mengelompokkan 259 pelabuhan secara berimbang. Integrasi AHP sukses mendeteksi kinerja semu (</w:t>
      </w:r>
      <w:r>
        <w:rPr>
          <w:i/>
          <w:iCs/>
        </w:rPr>
        <w:t xml:space="preserve">false performance</w:t>
      </w:r>
      <w:r>
        <w:t xml:space="preserve">) pada pelabuhan </w:t>
      </w:r>
      <w:r>
        <w:rPr>
          <w:i/>
          <w:iCs/>
        </w:rPr>
        <w:t xml:space="preserve">underperformer</w:t>
      </w:r>
      <w:r>
        <w:t xml:space="preserve"> (skor Satui jatuh dari 0,2570 menjadi 0,0802) serta memberikan apresiasi proporsional terhadap pelabuhan hub utama (skor Tanjung Priok meningkat dari 0,9000 menjadi 0,9150). Kategori </w:t>
      </w:r>
      <w:r>
        <w:rPr>
          <w:i/>
          <w:iCs/>
        </w:rPr>
        <w:t xml:space="preserve">congested port</w:t>
      </w:r>
      <w:r>
        <w:t xml:space="preserve"> mengelola 65,32% volume transaksi nasional dengan rata-rata indeks kinerja rendah (0,60), menegaskan urgensi intervensi kebijakan rekayasa ulang proses bisnis (</w:t>
      </w:r>
      <w:r>
        <w:rPr>
          <w:i/>
          <w:iCs/>
        </w:rPr>
        <w:t xml:space="preserve">process reengineering</w:t>
      </w:r>
      <w:r>
        <w:t xml:space="preserve">) yang terintegrasi.</w:t>
      </w:r>
    </w:p>
    <w:p>
      <w:r>
        <w:rPr>
          <w:b/>
          <w:bCs/>
        </w:rPr>
        <w:t xml:space="preserve">Kata Kunci:</w:t>
      </w:r>
      <w:r>
        <w:t xml:space="preserve"> Kinerja pelabuhan, indeks komposit, Analytical Hierarchy Process (AHP), kuadran strategis, sistem pendukung keputusan, Inaportnet.</w:t>
      </w:r>
    </w:p>
    <w:p>
      <w:pPr>
        <w:pBdr>
          <w:bottom w:val="single" w:color="999999" w:sz="6" w:space="1"/>
        </w:pBdr>
      </w:pPr>
    </w:p>
    <w:p>
      <w:pPr>
        <w:pStyle w:val="Heading3"/>
      </w:pPr>
      <w:r>
        <w:t xml:space="preserve">Abstract</w:t>
      </w:r>
    </w:p>
    <w:p>
      <w:r>
        <w:rPr>
          <w:b/>
          <w:bCs/>
        </w:rPr>
        <w:t xml:space="preserve">Abstract —</w:t>
      </w:r>
      <w:r>
        <w:t xml:space="preserve"> Digitalization has transformed port administrative services through the electronic processing of Vessel Arrival Authorizations (PKK) on the Inaportnet digital platform. While conventional studies heavily focus on physical and operational port metrics, evaluations of actual digital administrative performance remain limited. This study proposes a comprehensive data-driven framework leveraging the Port Service Performance Index (PSPI) to evaluate the administrative performance of 259 Indonesian ports using operational records extracted from the Monitoring Inaportnet platform throughout 2025. The framework integrates four core response-time dimensions: SLA compliance, efficiency, consistency, and robustness against extreme delays. To overcome the limitations of equal weighting in representing the distinct regulatory and financial priorities of these dimensions, this study integrates the Analytical Hierarchy Process (AHP) based on expert judgments using Saaty’s pairwise scale (1–9). The AHP calculation yielded reformed weights: compliance (CI) at 47.09%, robustness (RI) at 28.40%, efficiency (EI) at 17.15%, and consistency (CsI) at 7.36%, with a highly reliable Consistency Ratio (CR) of 1.90% (≤ 10%). Mapping the composite index against operational workload using Strategic Quadrant Analysis effectively balanced port classifications. The AHP integration successfully exposed "false performance" among underperforming ports (Satui’s score plummeted from 0.2570 to 0.0802) while equitably rewarding high-compliance major hubs (Tanjung Priok’s score increased from 0.9000 to 0.9150). The congested ports category handles 65.32% of national transaction volumes with a low mean performance of 0.60, emphasizing the urgent need for targeted process reengineering interventions.</w:t>
      </w:r>
    </w:p>
    <w:p>
      <w:r>
        <w:rPr>
          <w:b/>
          <w:bCs/>
        </w:rPr>
        <w:t xml:space="preserve">Keywords:</w:t>
      </w:r>
      <w:r>
        <w:t xml:space="preserve"> Port performance, composite index, Analytical Hierarchy Process (AHP), strategic quadrant, decision support, Inaportnet.</w:t>
      </w:r>
    </w:p>
    <w:p>
      <w:pPr>
        <w:pBdr>
          <w:bottom w:val="single" w:color="999999" w:sz="6" w:space="1"/>
        </w:pBdr>
      </w:pPr>
    </w:p>
    <w:p>
      <w:pPr>
        <w:pStyle w:val="Heading3"/>
      </w:pPr>
      <w:r>
        <w:t xml:space="preserve">1. Pendahuluan</w:t>
      </w:r>
    </w:p>
    <w:p>
      <w:r>
        <w:t xml:space="preserve">Transportasi laut merupakan tulang punggung logistik internasional yang mencakup lebih dari 80% volume perdagangan global dan mendistribusikan sekitar 11 miar ton komoditas setiap tahunnya. Sebagai negara kepulauan, Indonesia sangat bergantung pada konektivitas laut sebagai katalis ekonomi vital, yang berkontribusi sekitar 7% terhadap Produk Domestik Buto (PDB) nasional pada tahun 2025. Peran krusial sektor ini meliputi pemerataan ekonomi, reduksi biaya logistik, serta fasilitasi rantai pasok global yang mendorong pertumbuhan industri.</w:t>
      </w:r>
    </w:p>
    <w:p>
      <w:r>
        <w:t xml:space="preserve">Mengingat implikasi ekonomi yang luas tersebut, intervensi negara dalam mengatur lalu lintas kapal dan barang sangat penting guna menjamin kedaulatan wilayah serta keselamatan dan keamanan pelayaran. Untuk mencapai tujuan regulasi ini, Kementerian Perhubungan melalui Direktorat Jenderal Perhubungan Laut meluncurkan sistem "Inaportnet"—platform digital terintegrasi yang dirancang untuk merampingkan proses izin kliring pelabuhan dan persetujuan kedatangan kapal. Sistem ini diharapkan mampu memangkas waktu pemrosesan dokumen yang semula memakan waktu satu hari penuh menjadi hanya 10 menit.</w:t>
      </w:r>
    </w:p>
    <w:p>
      <w:r>
        <w:t xml:space="preserve">Meskipun digitalisasi menjanjikan lompatan efisiensi, evaluasi terhadap dampak aktualnya merupakan tahapan krusial. Dalam literatur transportasi maritim konvensional, evaluasi kinerja pelabuhan umumnya terbatas pada kapasitas fisik dan operasional, seperti produktivitas terminal, utilitas dermaga (</w:t>
      </w:r>
      <w:r>
        <w:rPr>
          <w:i/>
          <w:iCs/>
        </w:rPr>
        <w:t xml:space="preserve">berth utilization</w:t>
      </w:r>
      <w:r>
        <w:t xml:space="preserve">), dan arus peti kemas (</w:t>
      </w:r>
      <w:r>
        <w:rPr>
          <w:i/>
          <w:iCs/>
        </w:rPr>
        <w:t xml:space="preserve">container throughput</w:t>
      </w:r>
      <w:r>
        <w:t xml:space="preserve">). Sementara itu, efisiensi alur kerja administrasi digital yang berpotensi memicu hambatan operasional minor dengan dampak logistik masif masih kurang dieksplorasi.</w:t>
      </w:r>
    </w:p>
    <w:p>
      <w:r>
        <w:t xml:space="preserve">Evaluasi kinerja administrasi digital pelabuhan memerlukan kerangka kerja indeks komposit yang mampu menangkap performa secara multidimensi. Namun, pendekatan indeks komposit tradisional yang menerapkan pembobotan setara (</w:t>
      </w:r>
      <w:r>
        <w:rPr>
          <w:i/>
          <w:iCs/>
        </w:rPr>
        <w:t xml:space="preserve">equal weighting</w:t>
      </w:r>
      <w:r>
        <w:t xml:space="preserve">) kerap dikritik karena mengasumsikan seluruh dimensi operasional memiliki tingkat kepentingan yang sama. Pada realitas kepelabuhanan, kepatuhan terhadap batas waktu regulasi jauh lebih mengikat secara hukum dibandingkan konsistensi waktu pelayanan biasa. Selain itu, keterlambatan ekstrem berdampak langsung pada beban biaya sewa (</w:t>
      </w:r>
      <w:r>
        <w:rPr>
          <w:i/>
          <w:iCs/>
        </w:rPr>
        <w:t xml:space="preserve">demurrage</w:t>
      </w:r>
      <w:r>
        <w:t xml:space="preserve">) yang harus ditanggung oleh pelaku industri logistik.</w:t>
      </w:r>
    </w:p>
    <w:p>
      <w:r>
        <w:t xml:space="preserve">Untuk mengatasi kesenjangan tersebut, penelitian ini menyusun kerangka evaluasi terintegrasi yang menggabungkan </w:t>
      </w:r>
      <w:r>
        <w:rPr>
          <w:i/>
          <w:iCs/>
        </w:rPr>
        <w:t xml:space="preserve">Port Service Performance Index</w:t>
      </w:r>
      <w:r>
        <w:t xml:space="preserve"> (PSPI) berbasis metode </w:t>
      </w:r>
      <w:r>
        <w:rPr>
          <w:i/>
          <w:iCs/>
        </w:rPr>
        <w:t xml:space="preserve">Analytical Hierarchy Process</w:t>
      </w:r>
      <w:r>
        <w:t xml:space="preserve"> (AHP) untuk merumuskan bobot prioritas ilmiah secara objektif, yang selanjutnya dipetakan terhadap beban kerja riil masing-masing pelabuhan menggunakan pendekatan </w:t>
      </w:r>
      <w:r>
        <w:rPr>
          <w:i/>
          <w:iCs/>
        </w:rPr>
        <w:t xml:space="preserve">Strategic Quadrant Analysis</w:t>
      </w:r>
      <w:r>
        <w:t xml:space="preserve">.</w:t>
      </w:r>
    </w:p>
    <w:p>
      <w:pPr>
        <w:pBdr>
          <w:bottom w:val="single" w:color="999999" w:sz="6" w:space="1"/>
        </w:pBdr>
      </w:pPr>
    </w:p>
    <w:p>
      <w:pPr>
        <w:pStyle w:val="Heading3"/>
      </w:pPr>
      <w:r>
        <w:t xml:space="preserve">2. Metodologi</w:t>
      </w:r>
    </w:p>
    <w:p>
      <w:pPr>
        <w:pStyle w:val="Heading4"/>
      </w:pPr>
      <w:r>
        <w:t xml:space="preserve">2.1 Desain Penelitian dan Alur Data</w:t>
      </w:r>
    </w:p>
    <w:p>
      <w:r>
        <w:t xml:space="preserve">Penelitian ini menggunakan pendekatan kuantitatif berbasis data operasional sekunder frekuensi tinggi. Alur penelitian terstruktur dirancang untuk mengekstrak, membersihkan, menormalkan, membobotkan, dan memetakan data log transaksi operasional menjadi indikator kinerja yang siap diinterpretasikan secara strategis.</w:t>
      </w:r>
    </w:p>
    <w:p>
      <w:r>
        <w:t xml:space="preserve">Data diperoleh melalui algoritma </w:t>
      </w:r>
      <w:r>
        <w:rPr>
          <w:i/>
          <w:iCs/>
        </w:rPr>
        <w:t xml:space="preserve">web scraping</w:t>
      </w:r>
      <w:r>
        <w:t xml:space="preserve"> yang dideploy untuk mengekstrak rekam jejak digital persetujuan perizinan kedatangan kapal atau Persetujuan Kedatangan Kapal (PKK) sepanjang tahun 2025 dari platform resmi </w:t>
      </w:r>
      <w:r>
        <w:rPr>
          <w:i/>
          <w:iCs/>
        </w:rPr>
        <w:t xml:space="preserve">Monitoring Inaportnet</w:t>
      </w:r>
      <w:r>
        <w:t xml:space="preserve">. Data mencakup 1.155.919 transaksi operasional rill dari 259 pelabuhan di Indonesia yang aktif menerapkan sistem digitalisasi administrasi.</w:t>
      </w:r>
    </w:p>
    <w:p>
      <w:pPr>
        <w:pStyle w:val="Heading4"/>
      </w:pPr>
      <w:r>
        <w:t xml:space="preserve">2.2 Formulasi Indikator Kinerja PSPI</w:t>
      </w:r>
    </w:p>
    <w:p>
      <w:r>
        <w:t xml:space="preserve">Kerangka PSPI mengintegrasikan empat indikator utama waktu respons petugas dalam memberikan persetujuan dokumen PKK:</w:t>
      </w:r>
    </w:p>
    <w:p>
      <w:pPr>
        <w:pStyle w:val="ListParagraph"/>
        <w:numPr>
          <w:ilvl w:val="0"/>
          <w:numId w:val="2"/>
        </w:numPr>
      </w:pPr>
      <w:r>
        <w:rPr>
          <w:b/>
          <w:bCs/>
        </w:rPr>
        <w:t xml:space="preserve">SLA Compliance ($CI$):</w:t>
      </w:r>
      <w:r>
        <w:t xml:space="preserve"> Mengukur kepatuhan terhadap standar pelayanan minimum (SLA) berdasarkan Peraturan Menteri Perhubungan Nomor PM 8 Tahun 2022, di mana batas waktu persetujuan maksimal ditentukan selama 30 menit. $CI = \frac{\text{Jumlah Transaksi } &lt; 30 \text{ Menit}}{\text{Total Transaksi}}$</w:t>
      </w:r>
    </w:p>
    <w:p>
      <w:pPr>
        <w:pStyle w:val="ListParagraph"/>
        <w:numPr>
          <w:ilvl w:val="0"/>
          <w:numId w:val="2"/>
        </w:numPr>
      </w:pPr>
      <w:r>
        <w:rPr>
          <w:b/>
          <w:bCs/>
        </w:rPr>
        <w:t xml:space="preserve">Efficiency Index ($EI$):</w:t>
      </w:r>
      <w:r>
        <w:t xml:space="preserve"> Menilai kecepatan pemrosesan rata-rata (</w:t>
      </w:r>
      <w:r>
        <w:rPr>
          <w:i/>
          <w:iCs/>
        </w:rPr>
        <w:t xml:space="preserve">mean response time</w:t>
      </w:r>
      <w:r>
        <w:t xml:space="preserve">) dari seluruh transaksi pelayanan yang ditangani oleh petugas pelabuhan. $EI = \frac{\text{Total Waktu Respons}}{\text{Total Transaksi}}$</w:t>
      </w:r>
    </w:p>
    <w:p>
      <w:pPr>
        <w:pStyle w:val="ListParagraph"/>
        <w:numPr>
          <w:ilvl w:val="0"/>
          <w:numId w:val="2"/>
        </w:numPr>
      </w:pPr>
      <w:r>
        <w:rPr>
          <w:b/>
          <w:bCs/>
        </w:rPr>
        <w:t xml:space="preserve">Consistency Index ($CsI$):</w:t>
      </w:r>
      <w:r>
        <w:t xml:space="preserve"> Mengukur stabilitas dan keandalan pelayanan dari waktu ke waktu guna menghindari variabilitas yang memicu ketidakpuasan pengguna jasa. Dimensi ini dihitung menggunakan Koefisien Variasi ($CV$). $CsI = \frac{\text{Standar Deviasi}}{\text{Rata-rata Waktu Respons}}$</w:t>
      </w:r>
    </w:p>
    <w:p>
      <w:pPr>
        <w:pStyle w:val="ListParagraph"/>
        <w:numPr>
          <w:ilvl w:val="0"/>
          <w:numId w:val="2"/>
        </w:numPr>
      </w:pPr>
      <w:r>
        <w:rPr>
          <w:b/>
          <w:bCs/>
        </w:rPr>
        <w:t xml:space="preserve">Robustness Index ($RI$):</w:t>
      </w:r>
      <w:r>
        <w:t xml:space="preserve"> Menilai ketahanan dan ketangguhan sistem operasional terhadap terjadinya keterlambatan ekstrem (penundaan pelayanan di atas 120 menit). $RI = \frac{\text{Jumlah Transaksi } &gt; 120 \text{ Menit}}{\text{Total Transaksi}}$</w:t>
      </w:r>
    </w:p>
    <w:p>
      <w:pPr>
        <w:pStyle w:val="Heading4"/>
      </w:pPr>
      <w:r>
        <w:t xml:space="preserve">2.3 Integrasi Metode AHP untuk Reformasi Pembobotan</w:t>
      </w:r>
    </w:p>
    <w:p>
      <w:r>
        <w:t xml:space="preserve">Pembobotan rata (</w:t>
      </w:r>
      <w:r>
        <w:rPr>
          <w:i/>
          <w:iCs/>
        </w:rPr>
        <w:t xml:space="preserve">equal weighting</w:t>
      </w:r>
      <w:r>
        <w:t xml:space="preserve">) $25%$ pada masing-masing indikator dinilai mengabaikan konteks regulasi dan praktis lapangan. Penelitian ini mengintegrasikan metode </w:t>
      </w:r>
      <w:r>
        <w:rPr>
          <w:i/>
          <w:iCs/>
        </w:rPr>
        <w:t xml:space="preserve">Analytical Hierarchy Process</w:t>
      </w:r>
      <w:r>
        <w:t xml:space="preserve"> (AHP) yang dikembangkan oleh Thomas L. Saaty (1980) untuk mengonversi penilaian kualitatif para ahli menjadi bobot ilmiah kuantitatif.</w:t>
      </w:r>
    </w:p>
    <w:p>
      <w:r>
        <w:t xml:space="preserve">Struktur hierarki keputusan dirancang dalam dua tingkat utama:</w:t>
      </w:r>
    </w:p>
    <w:p>
      <w:pPr>
        <w:pStyle w:val="ListParagraph"/>
        <w:numPr>
          <w:ilvl w:val="0"/>
          <w:numId w:val="1"/>
        </w:numPr>
      </w:pPr>
      <w:r>
        <w:rPr>
          <w:b/>
          <w:bCs/>
        </w:rPr>
        <w:t xml:space="preserve">Tingkat 1 (Goal):</w:t>
      </w:r>
      <w:r>
        <w:t xml:space="preserve"> Optimalisasi Pembobotan Komposit PSPI Pelabuhan Nasional.</w:t>
      </w:r>
    </w:p>
    <w:p>
      <w:pPr>
        <w:pStyle w:val="ListParagraph"/>
        <w:numPr>
          <w:ilvl w:val="0"/>
          <w:numId w:val="1"/>
        </w:numPr>
      </w:pPr>
      <w:r>
        <w:rPr>
          <w:b/>
          <w:bCs/>
        </w:rPr>
        <w:t xml:space="preserve">Tingkat 2 (Criteria):</w:t>
      </w:r>
      <w:r>
        <w:t xml:space="preserve"> SLA Compliance ($CI$), Efficiency ($EI$), Consistency ($CsI$), dan Robustness on Delay ($RI$).</w:t>
      </w:r>
    </w:p>
    <w:p>
      <w:r>
        <w:t xml:space="preserve">Melalui kuesioner terstruktur dengan skala psikometrik Saaty (1–9), para pakar kepelabuhanan melakukan penilaian perbandingan berpasangan (</w:t>
      </w:r>
      <w:r>
        <w:rPr>
          <w:i/>
          <w:iCs/>
        </w:rPr>
        <w:t xml:space="preserve">pairwise comparison matrix</w:t>
      </w:r>
      <w:r>
        <w:t xml:space="preserve">) satu-lawan-satu untuk kriteria Level 2. Hasil konsensus gabungan diringkas ke dalam Matriks Perbandingan Berpasangan $A$:</w:t>
      </w:r>
    </w:p>
    <w:p>
      <w:r>
        <w:t xml:space="preserve">$A = \begin{pmatrix} 1.00 &amp; 3.00 &amp; 5.00 &amp; 2.00 \ 0.33 &amp; 1.00 &amp; 3.00 &amp; 0.50 \ 0.20 &amp; 0.33 &amp; 1.00 &amp; 0.25 \ 0.50 &amp; 2.00 &amp; 4.00 &amp; 1.00 \end{pmatrix}$</w:t>
      </w:r>
    </w:p>
    <w:p>
      <w:r>
        <w:t xml:space="preserve">Justifikasi logis-regulasi di balik perbandingan berpasangan di atas adalah:</w:t>
      </w:r>
    </w:p>
    <w:p>
      <w:pPr>
        <w:pStyle w:val="ListParagraph"/>
        <w:numPr>
          <w:ilvl w:val="0"/>
          <w:numId w:val="2"/>
        </w:numPr>
      </w:pPr>
      <w:r>
        <w:rPr>
          <w:b/>
          <w:bCs/>
        </w:rPr>
        <w:t xml:space="preserve">$CI$ vs $CsI$ (Skala 5):</w:t>
      </w:r>
      <w:r>
        <w:t xml:space="preserve"> Kepatuhan terhadap SLA 30 menit merupakan amanat hukum dari PM 8 Tahun 2022. Kegagalan memenuhinya berdampak langsung pada sanksi administratif dan reputasi instansi Kementerian Perhubungan, sehingga kepatuhan regulasi dinilai </w:t>
      </w:r>
      <w:r>
        <w:rPr>
          <w:b/>
          <w:bCs/>
        </w:rPr>
        <w:t xml:space="preserve">jelas lebih penting</w:t>
      </w:r>
      <w:r>
        <w:t xml:space="preserve"> dibandingkan sekadar konsistensi stabilitas waktu pelayanan biasa ($CsI$).</w:t>
      </w:r>
    </w:p>
    <w:p>
      <w:pPr>
        <w:pStyle w:val="ListParagraph"/>
        <w:numPr>
          <w:ilvl w:val="0"/>
          <w:numId w:val="2"/>
        </w:numPr>
      </w:pPr>
      <w:r>
        <w:rPr>
          <w:b/>
          <w:bCs/>
        </w:rPr>
        <w:t xml:space="preserve">$RI$ vs $EI$ (Skala 2):</w:t>
      </w:r>
      <w:r>
        <w:t xml:space="preserve"> Ketahanan terhadap </w:t>
      </w:r>
      <w:r>
        <w:rPr>
          <w:i/>
          <w:iCs/>
        </w:rPr>
        <w:t xml:space="preserve">extreme delay</w:t>
      </w:r>
      <w:r>
        <w:t xml:space="preserve"> di atas 120 menit ($RI$) dinilai </w:t>
      </w:r>
      <w:r>
        <w:rPr>
          <w:b/>
          <w:bCs/>
        </w:rPr>
        <w:t xml:space="preserve">sedikit lebih penting</w:t>
      </w:r>
      <w:r>
        <w:t xml:space="preserve"> dibandingkan rata-rata efisiensi waktu respons biasa ($EI$). Keterlambatan ekstrem di atas dua jam berimplikasi langsung pada denda sewa dermaga (</w:t>
      </w:r>
      <w:r>
        <w:rPr>
          <w:i/>
          <w:iCs/>
        </w:rPr>
        <w:t xml:space="preserve">demurrage</w:t>
      </w:r>
      <w:r>
        <w:t xml:space="preserve">) kapal logistik serta gangguan rantai pasok logistik nasional secara signifikan.</w:t>
      </w:r>
    </w:p>
    <w:p>
      <w:r>
        <w:t xml:space="preserve">Langkah perhitungan vektor prioritas (bobot $w_i$) dilakukan melalui normalisasi kolom: $\bar{a}</w:t>
      </w:r>
      <w:r>
        <w:rPr>
          <w:i/>
          <w:iCs/>
        </w:rPr>
        <w:t xml:space="preserve">{ij} = \frac{a</w:t>
      </w:r>
      <w:r>
        <w:t xml:space="preserve">{ij}}{\sum_{k=1}^n a_{kj}}$</w:t>
      </w:r>
    </w:p>
    <w:p>
      <w:r>
        <w:t xml:space="preserve">Bobot kriteria akhir ($w_i$) dihitung dari rata-rata baris matriks yang telah dinormalisasi: $w_i = \frac{\sum_{j=1}^n \bar{a}_{ij}}{n}$</w:t>
      </w:r>
    </w:p>
    <w:p>
      <w:r>
        <w:t xml:space="preserve">Untuk menjamin keandalan pengujian matematis ini, dilakukan uji konsistensi logika melalui nilai </w:t>
      </w:r>
      <w:r>
        <w:rPr>
          <w:i/>
          <w:iCs/>
        </w:rPr>
        <w:t xml:space="preserve">Consistency Ratio</w:t>
      </w:r>
      <w:r>
        <w:t xml:space="preserve"> (CR): $CI_{AHP} = \frac{\lambda_{max} - n}{n - 1}$ $CR = \frac{CI_{AHP}}{RI_{Saaty}}$</w:t>
      </w:r>
    </w:p>
    <w:p>
      <w:r>
        <w:t xml:space="preserve">Di mana $\lambda_{max}$ adalah nilai eigen maksimum, $n$ adalah jumlah kriteria ($n=4$), dan $RI$ adalah indeks acak ketetapan Saaty untuk matriks berordo 4 yaitu $0,90$. Penilaian pakar dianggap valid secara ilmiah apabila nilai $CR \le 0,10$ (10%).</w:t>
      </w:r>
    </w:p>
    <w:p>
      <w:pPr>
        <w:pStyle w:val="Heading4"/>
      </w:pPr>
      <w:r>
        <w:t xml:space="preserve">2.4 Analisis Kuadran Strategis (</w:t>
      </w:r>
      <w:r>
        <w:rPr>
          <w:i/>
          <w:iCs/>
        </w:rPr>
        <w:t xml:space="preserve">Strategic Quadrant Analysis</w:t>
      </w:r>
      <w:r>
        <w:t xml:space="preserve">)</w:t>
      </w:r>
    </w:p>
    <w:p>
      <w:r>
        <w:t xml:space="preserve">Untuk merumuskan intervensi kebijakan yang tepat sasaran, penelitian ini tidak mengevaluasi kinerja pelabuhan secara terisolasi. Skor kinerja komposit ($PSPI$) dipetakan terhadap beban kerja riil pelabuhan yang direpresentasikan oleh volume transaksi pelayanan dokumen. Ambang batas pembagian kuadran menggunakan nilai tengah (</w:t>
      </w:r>
      <w:r>
        <w:rPr>
          <w:i/>
          <w:iCs/>
        </w:rPr>
        <w:t xml:space="preserve">median</w:t>
      </w:r>
      <w:r>
        <w:t xml:space="preserve">) dari sebaran data kinerja dan sebaran volume nasional untuk menjamin klasifikasi yang seimbang dan adil.</w:t>
      </w:r>
    </w:p>
    <w:p>
      <w:r>
        <w:t xml:space="preserve">Terdapat empat klasifikasi kuadran strategis yang terbentuk:</w:t>
      </w:r>
    </w:p>
    <w:p>
      <w:pPr>
        <w:pStyle w:val="ListParagraph"/>
        <w:numPr>
          <w:ilvl w:val="0"/>
          <w:numId w:val="2"/>
        </w:numPr>
      </w:pPr>
      <w:r>
        <w:rPr>
          <w:b/>
          <w:bCs/>
        </w:rPr>
        <w:t xml:space="preserve">Benchmark (Kinerja Tinggi - Volume Tinggi):</w:t>
      </w:r>
      <w:r>
        <w:t xml:space="preserve"> Pelabuhan acuan nasional yang berhasil mempertahankan efisiensi dan kepatuhan tinggi di bawah beban kerja operasional yang masif.</w:t>
      </w:r>
    </w:p>
    <w:p>
      <w:pPr>
        <w:pStyle w:val="ListParagraph"/>
        <w:numPr>
          <w:ilvl w:val="0"/>
          <w:numId w:val="2"/>
        </w:numPr>
      </w:pPr>
      <w:r>
        <w:rPr>
          <w:b/>
          <w:bCs/>
        </w:rPr>
        <w:t xml:space="preserve">Efficient (Kinerja Tinggi - Volume Rendah):</w:t>
      </w:r>
      <w:r>
        <w:t xml:space="preserve"> Pelabuhan berkinerja unggul namun masih memiliki kapasitas idle yang cukup besar untuk menerima limpahan trafik logistik di masa depan.</w:t>
      </w:r>
    </w:p>
    <w:p>
      <w:pPr>
        <w:pStyle w:val="ListParagraph"/>
        <w:numPr>
          <w:ilvl w:val="0"/>
          <w:numId w:val="2"/>
        </w:numPr>
      </w:pPr>
      <w:r>
        <w:rPr>
          <w:b/>
          <w:bCs/>
        </w:rPr>
        <w:t xml:space="preserve">Developing (Kinerja Rendah - Volume Rendah):</w:t>
      </w:r>
      <w:r>
        <w:t xml:space="preserve"> Pelabuhan berkinerja rendah meskipun beban kerjanya sangat ringan, menunjukkan kebutuhan peningkatan kapasitas SDM dan infrastruktur.</w:t>
      </w:r>
    </w:p>
    <w:p>
      <w:pPr>
        <w:pStyle w:val="ListParagraph"/>
        <w:numPr>
          <w:ilvl w:val="0"/>
          <w:numId w:val="2"/>
        </w:numPr>
      </w:pPr>
      <w:r>
        <w:rPr>
          <w:b/>
          <w:bCs/>
        </w:rPr>
        <w:t xml:space="preserve">Congested (Kinerja Rendah - Volume Tinggi):</w:t>
      </w:r>
      <w:r>
        <w:t xml:space="preserve"> Pelabuhan berkinerja buruk akibat tekanan beban operasional ekstrem, menjadi prioritas utama intervensi kebijakan taktis.</w:t>
      </w:r>
    </w:p>
    <w:p>
      <w:pPr>
        <w:pBdr>
          <w:bottom w:val="single" w:color="999999" w:sz="6" w:space="1"/>
        </w:pBdr>
      </w:pPr>
    </w:p>
    <w:p>
      <w:pPr>
        <w:pStyle w:val="Heading3"/>
      </w:pPr>
      <w:r>
        <w:t xml:space="preserve">3. Hasil dan Pembahasan</w:t>
      </w:r>
    </w:p>
    <w:p>
      <w:pPr>
        <w:pStyle w:val="Heading4"/>
      </w:pPr>
      <w:r>
        <w:t xml:space="preserve">3.1 Analisis Deskriptif Data Operasional Pelabuhan</w:t>
      </w:r>
    </w:p>
    <w:p>
      <w:r>
        <w:t xml:space="preserve">Karakteristik data log transaksi operasional persetujuan PKK sepanjang tahun 2025 menunjukkan keragaman performa dan heterogenitas spasial yang sangat tajam di Indonesia.</w:t>
      </w:r>
    </w:p>
    <w:p>
      <w:r>
        <w:t xml:space="preserve">Analisis terhadap sebaran waktu persetujuan dokumen PKK (1.155.919 transaksi) menunjukkan kecenderungan menceng kanan secara ekstrem (</w:t>
      </w:r>
      <w:r>
        <w:rPr>
          <w:i/>
          <w:iCs/>
        </w:rPr>
        <w:t xml:space="preserve">highly right-skewed distribution</w:t>
      </w:r>
      <w:r>
        <w:t xml:space="preserve">). Meskipun nilai tengah (</w:t>
      </w:r>
      <w:r>
        <w:rPr>
          <w:i/>
          <w:iCs/>
        </w:rPr>
        <w:t xml:space="preserve">median</w:t>
      </w:r>
      <w:r>
        <w:t xml:space="preserve">) waktu persetujuan nasional tercatat sangat efisien yaitu 7,317 menit, nilai rata-ratanya membengkak menjadi 31,491 menit dengan standar deviasi yang sangat tinggi mencapai 442,147 menit. Deviasi masif ini dipicu oleh temuan pencilan (</w:t>
      </w:r>
      <w:r>
        <w:rPr>
          <w:i/>
          <w:iCs/>
        </w:rPr>
        <w:t xml:space="preserve">outliers</w:t>
      </w:r>
      <w:r>
        <w:t xml:space="preserve">) penundaan administrasi yang sangat ekstrem, dengan catatan waktu persetujuan terlama mencapai 292.161,55 menit (sekitar 202 hari).</w:t>
      </w:r>
    </w:p>
    <w:p>
      <w:r>
        <w:t xml:space="preserve">Heterogenitas volume transaksi juga sangat mencolok antar 259 pelabuhan aktif. Mayoritas pelabuhan mengelola volume yang relatif kecil dengan nilai median volume nasional sebesar 1.312 approvals. Namun, beberapa pelabuhan hub utama melayani transaksi yang luar biasa besar, dengan rekor puncak volume pelayanan sebesar 97.253 transaksi berada di Pelabuhan Batam.</w:t>
      </w:r>
    </w:p>
    <w:p>
      <w:r>
        <w:t xml:space="preserve">Keberadaan pencilan ekstrem pada sebaran performa maupun volume transaksi berpotensi mendistorsi penskalaan jika menggunakan teknik normalisasi standar. Oleh karena itu, penelitian ini menerapkan teknik </w:t>
      </w:r>
      <w:r>
        <w:rPr>
          <w:b/>
          <w:bCs/>
        </w:rPr>
        <w:t xml:space="preserve">Winsorized Normalization</w:t>
      </w:r>
      <w:r>
        <w:t xml:space="preserve"> dengan melakukan pemangkasan (</w:t>
      </w:r>
      <w:r>
        <w:rPr>
          <w:i/>
          <w:iCs/>
        </w:rPr>
        <w:t xml:space="preserve">capping</w:t>
      </w:r>
      <w:r>
        <w:t xml:space="preserve">) nilai ekstrim pada persentil tertentu untuk menstabilkan sebaran data sebelum dilakukan agregasi ke dalam rumus komposit.</w:t>
      </w:r>
    </w:p>
    <w:p>
      <w:pPr>
        <w:pStyle w:val="Heading4"/>
      </w:pPr>
      <w:r>
        <w:t xml:space="preserve">3.2 Hasil Perhitungan Bobot Prioritas AHP</w:t>
      </w:r>
    </w:p>
    <w:p>
      <w:r>
        <w:t xml:space="preserve">Hasil pengolahan matriks perbandingan berpasangan AHP berbasis konsensus pakar menghasilkan nilai bobot prioritas sebagai berikut:</w:t>
      </w:r>
    </w:p>
    <w:p>
      <w:pPr>
        <w:pStyle w:val="ListParagraph"/>
        <w:numPr>
          <w:ilvl w:val="0"/>
          <w:numId w:val="1"/>
        </w:numPr>
      </w:pPr>
      <w:r>
        <w:rPr>
          <w:b/>
          <w:bCs/>
        </w:rPr>
        <w:t xml:space="preserve">Bobot SLA Compliance ($CI$):</w:t>
      </w:r>
      <w:r>
        <w:t xml:space="preserve"> </w:t>
      </w:r>
      <w:r>
        <w:rPr>
          <w:b/>
          <w:bCs/>
        </w:rPr>
        <w:t xml:space="preserve">$47,09%$</w:t>
      </w:r>
      <w:r>
        <w:t xml:space="preserve"> (0,4709)</w:t>
      </w:r>
    </w:p>
    <w:p>
      <w:pPr>
        <w:pStyle w:val="ListParagraph"/>
        <w:numPr>
          <w:ilvl w:val="0"/>
          <w:numId w:val="1"/>
        </w:numPr>
      </w:pPr>
      <w:r>
        <w:rPr>
          <w:b/>
          <w:bCs/>
        </w:rPr>
        <w:t xml:space="preserve">Bobot Robustness on Delay ($RI$):</w:t>
      </w:r>
      <w:r>
        <w:t xml:space="preserve"> </w:t>
      </w:r>
      <w:r>
        <w:rPr>
          <w:b/>
          <w:bCs/>
        </w:rPr>
        <w:t xml:space="preserve">$28,40%$</w:t>
      </w:r>
      <w:r>
        <w:t xml:space="preserve"> (0,2840)</w:t>
      </w:r>
    </w:p>
    <w:p>
      <w:pPr>
        <w:pStyle w:val="ListParagraph"/>
        <w:numPr>
          <w:ilvl w:val="0"/>
          <w:numId w:val="1"/>
        </w:numPr>
      </w:pPr>
      <w:r>
        <w:rPr>
          <w:b/>
          <w:bCs/>
        </w:rPr>
        <w:t xml:space="preserve">Bobot Efficiency ($EI$):</w:t>
      </w:r>
      <w:r>
        <w:t xml:space="preserve"> </w:t>
      </w:r>
      <w:r>
        <w:rPr>
          <w:b/>
          <w:bCs/>
        </w:rPr>
        <w:t xml:space="preserve">$17,15%$</w:t>
      </w:r>
      <w:r>
        <w:t xml:space="preserve"> (0,1715)</w:t>
      </w:r>
    </w:p>
    <w:p>
      <w:pPr>
        <w:pStyle w:val="ListParagraph"/>
        <w:numPr>
          <w:ilvl w:val="0"/>
          <w:numId w:val="1"/>
        </w:numPr>
      </w:pPr>
      <w:r>
        <w:rPr>
          <w:b/>
          <w:bCs/>
        </w:rPr>
        <w:t xml:space="preserve">Bobot Consistency ($CsI$):</w:t>
      </w:r>
      <w:r>
        <w:t xml:space="preserve"> </w:t>
      </w:r>
      <w:r>
        <w:rPr>
          <w:b/>
          <w:bCs/>
        </w:rPr>
        <w:t xml:space="preserve">$7,36%$</w:t>
      </w:r>
      <w:r>
        <w:t xml:space="preserve"> (0,0736)</w:t>
      </w:r>
    </w:p>
    <w:p>
      <w:r>
        <w:t xml:space="preserve">Hasil pengujian konsistensi matematis menghasilkan:</w:t>
      </w:r>
    </w:p>
    <w:p>
      <w:pPr>
        <w:pStyle w:val="ListParagraph"/>
        <w:numPr>
          <w:ilvl w:val="0"/>
          <w:numId w:val="1"/>
        </w:numPr>
      </w:pPr>
      <w:r>
        <w:t xml:space="preserve">Nilai eigen maksimum ($\lambda_{max}$) = 4,0514</w:t>
      </w:r>
    </w:p>
    <w:p>
      <w:pPr>
        <w:pStyle w:val="ListParagraph"/>
        <w:numPr>
          <w:ilvl w:val="0"/>
          <w:numId w:val="1"/>
        </w:numPr>
      </w:pPr>
      <w:r>
        <w:t xml:space="preserve">Indeks Konsistensi ($CI_{AHP}$) = 0,0171</w:t>
      </w:r>
    </w:p>
    <w:p>
      <w:pPr>
        <w:pStyle w:val="ListParagraph"/>
        <w:numPr>
          <w:ilvl w:val="0"/>
          <w:numId w:val="1"/>
        </w:numPr>
      </w:pPr>
      <w:r>
        <w:rPr>
          <w:i/>
          <w:iCs/>
        </w:rPr>
        <w:t xml:space="preserve">Consistency Ratio</w:t>
      </w:r>
      <w:r>
        <w:t xml:space="preserve"> (CR) = </w:t>
      </w:r>
      <w:r>
        <w:rPr>
          <w:b/>
          <w:bCs/>
        </w:rPr>
        <w:t xml:space="preserve">$0,0190$ ($1,90%$)</w:t>
      </w:r>
    </w:p>
    <w:p>
      <w:r>
        <w:t xml:space="preserve">Karena nilai CR $1,90%$ berada jauh di bawah nilai toleransi maksimal Saaty ($10%$), maka bias penilaian terbukti sangat kecil, dan hasil pembobotan ini terbukti konsisten logis dan absah secara ilmiah.</w:t>
      </w:r>
    </w:p>
    <w:p>
      <w:r>
        <w:t xml:space="preserve">Dengan demikian, formulasi komposit Port Service Performance Index (PSPI) berhasil direformasi dari model lama berbasis pembobotan setara (</w:t>
      </w:r>
      <w:r>
        <w:rPr>
          <w:i/>
          <w:iCs/>
        </w:rPr>
        <w:t xml:space="preserve">Equal Weighting</w:t>
      </w:r>
      <w:r>
        <w:t xml:space="preserve">): $PI_{Equal} = 0,25(CI) + 0,25(EI) + 0,25(CsI) + 0,25(RI)$</w:t>
      </w:r>
    </w:p>
    <w:p>
      <w:r>
        <w:t xml:space="preserve">Menjadi model baru berbasis pembobotan AHP ilmiah: $PI_{AHP} = 0,4709(CI) + 0,1715(EI) + 0,0736(CsI) + 0,2840(RI)$</w:t>
      </w:r>
    </w:p>
    <w:p>
      <w:pPr>
        <w:pStyle w:val="Heading4"/>
      </w:pPr>
      <w:r>
        <w:t xml:space="preserve">3.3 Analisis Sensitivitas Dampak Skor Komposit Pelabuhan</w:t>
      </w:r>
    </w:p>
    <w:p>
      <w:r>
        <w:t xml:space="preserve">Untuk menguji reliabilitas dan dampak transformatif dari reformasi indeks ini, simulasi sensitivitas dilakukan terhadap tujuh pelabuhan representatif nasional. Hasilnya disajikan dalam tabel berikut:</w:t>
      </w:r>
    </w:p>
    <w:p>
      <w:r>
        <w:rPr>
          <w:b/>
          <w:bCs/>
        </w:rPr>
        <w:t xml:space="preserve">Tabel 2: Perbandingan Skor Kinerja Komposit Model Equal Weighting vs Model AHP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12.5%"/>
            <w:shd w:fill="F1F3F4"/>
          </w:tcPr>
          <w:p>
            <w:pPr>
              <w:jc w:val="left"/>
            </w:pPr>
            <w:r>
              <w:rPr>
                <w:b/>
                <w:bCs/>
              </w:rPr>
              <w:t xml:space="preserve">Pelabuhan</w:t>
            </w:r>
          </w:p>
        </w:tc>
        <w:tc>
          <w:tcPr>
            <w:tcW w:type="pct" w:w="12.5%"/>
            <w:shd w:fill="F1F3F4"/>
          </w:tcPr>
          <w:p>
            <w:pPr>
              <w:jc w:val="left"/>
            </w:pPr>
            <w:r>
              <w:rPr>
                <w:b/>
                <w:bCs/>
              </w:rPr>
              <w:t xml:space="preserve">SLA Compliance ($CI$)</w:t>
            </w:r>
          </w:p>
        </w:tc>
        <w:tc>
          <w:tcPr>
            <w:tcW w:type="pct" w:w="12.5%"/>
            <w:shd w:fill="F1F3F4"/>
          </w:tcPr>
          <w:p>
            <w:pPr>
              <w:jc w:val="left"/>
            </w:pPr>
            <w:r>
              <w:rPr>
                <w:b/>
                <w:bCs/>
              </w:rPr>
              <w:t xml:space="preserve">Efficiency ($EI$)</w:t>
            </w:r>
          </w:p>
        </w:tc>
        <w:tc>
          <w:tcPr>
            <w:tcW w:type="pct" w:w="12.5%"/>
            <w:shd w:fill="F1F3F4"/>
          </w:tcPr>
          <w:p>
            <w:pPr>
              <w:jc w:val="left"/>
            </w:pPr>
            <w:r>
              <w:rPr>
                <w:b/>
                <w:bCs/>
              </w:rPr>
              <w:t xml:space="preserve">Consistency ($CsI$)</w:t>
            </w:r>
          </w:p>
        </w:tc>
        <w:tc>
          <w:tcPr>
            <w:tcW w:type="pct" w:w="12.5%"/>
            <w:shd w:fill="F1F3F4"/>
          </w:tcPr>
          <w:p>
            <w:pPr>
              <w:jc w:val="left"/>
            </w:pPr>
            <w:r>
              <w:rPr>
                <w:b/>
                <w:bCs/>
              </w:rPr>
              <w:t xml:space="preserve">Robustness ($RI$)</w:t>
            </w:r>
          </w:p>
        </w:tc>
        <w:tc>
          <w:tcPr>
            <w:tcW w:type="pct" w:w="12.5%"/>
            <w:shd w:fill="F1F3F4"/>
          </w:tcPr>
          <w:p>
            <w:pPr>
              <w:jc w:val="left"/>
            </w:pPr>
            <w:r>
              <w:rPr>
                <w:b/>
                <w:bCs/>
              </w:rPr>
              <w:t xml:space="preserve">Skor Equal (Lama)</w:t>
            </w:r>
          </w:p>
        </w:tc>
        <w:tc>
          <w:tcPr>
            <w:tcW w:type="pct" w:w="12.5%"/>
            <w:shd w:fill="F1F3F4"/>
          </w:tcPr>
          <w:p>
            <w:pPr>
              <w:jc w:val="left"/>
            </w:pPr>
            <w:r>
              <w:rPr>
                <w:b/>
                <w:bCs/>
              </w:rPr>
              <w:t xml:space="preserve">Skor AHP (Baru)</w:t>
            </w:r>
          </w:p>
        </w:tc>
        <w:tc>
          <w:tcPr>
            <w:tcW w:type="pct" w:w="12.5%"/>
            <w:shd w:fill="F1F3F4"/>
          </w:tcPr>
          <w:p>
            <w:pPr>
              <w:jc w:val="left"/>
            </w:pPr>
            <w:r>
              <w:rPr>
                <w:b/>
                <w:bCs/>
              </w:rPr>
              <w:t xml:space="preserve">Dampak Pergeseran</w:t>
            </w:r>
          </w:p>
        </w:tc>
      </w:tr>
      <w:tr>
        <w:trPr>
          <w:tblHeader w:val="false"/>
        </w:trPr>
        <w:tc>
          <w:tcPr>
            <w:tcW w:type="pct" w:w="12.5%"/>
          </w:tcPr>
          <w:p>
            <w:pPr>
              <w:jc w:val="left"/>
            </w:pPr>
            <w:r>
              <w:rPr>
                <w:b/>
                <w:bCs/>
              </w:rPr>
              <w:t xml:space="preserve">Nabire</w:t>
            </w:r>
          </w:p>
        </w:tc>
        <w:tc>
          <w:tcPr>
            <w:tcW w:type="pct" w:w="12.5%"/>
          </w:tcPr>
          <w:p>
            <w:pPr>
              <w:jc w:val="left"/>
            </w:pPr>
            <w:r>
              <w:t xml:space="preserve">1,0000</w:t>
            </w:r>
          </w:p>
        </w:tc>
        <w:tc>
          <w:tcPr>
            <w:tcW w:type="pct" w:w="12.5%"/>
          </w:tcPr>
          <w:p>
            <w:pPr>
              <w:jc w:val="left"/>
            </w:pPr>
            <w:r>
              <w:t xml:space="preserve">1,0000</w:t>
            </w:r>
          </w:p>
        </w:tc>
        <w:tc>
          <w:tcPr>
            <w:tcW w:type="pct" w:w="12.5%"/>
          </w:tcPr>
          <w:p>
            <w:pPr>
              <w:jc w:val="left"/>
            </w:pPr>
            <w:r>
              <w:t xml:space="preserve">1,0000</w:t>
            </w:r>
          </w:p>
        </w:tc>
        <w:tc>
          <w:tcPr>
            <w:tcW w:type="pct" w:w="12.5%"/>
          </w:tcPr>
          <w:p>
            <w:pPr>
              <w:jc w:val="left"/>
            </w:pPr>
            <w:r>
              <w:t xml:space="preserve">1,0000</w:t>
            </w:r>
          </w:p>
        </w:tc>
        <w:tc>
          <w:tcPr>
            <w:tcW w:type="pct" w:w="12.5%"/>
          </w:tcPr>
          <w:p>
            <w:pPr>
              <w:jc w:val="left"/>
            </w:pPr>
            <w:r>
              <w:t xml:space="preserve">1,0000</w:t>
            </w:r>
          </w:p>
        </w:tc>
        <w:tc>
          <w:tcPr>
            <w:tcW w:type="pct" w:w="12.5%"/>
          </w:tcPr>
          <w:p>
            <w:pPr>
              <w:jc w:val="left"/>
            </w:pPr>
            <w:r>
              <w:rPr>
                <w:b/>
                <w:bCs/>
              </w:rPr>
              <w:t xml:space="preserve">1,0000</w:t>
            </w:r>
          </w:p>
        </w:tc>
        <w:tc>
          <w:tcPr>
            <w:tcW w:type="pct" w:w="12.5%"/>
          </w:tcPr>
          <w:p>
            <w:pPr>
              <w:jc w:val="left"/>
            </w:pPr>
            <w:r>
              <w:t xml:space="preserve">0,0000</w:t>
            </w:r>
          </w:p>
        </w:tc>
      </w:tr>
      <w:tr>
        <w:trPr>
          <w:tblHeader w:val="false"/>
        </w:trPr>
        <w:tc>
          <w:tcPr>
            <w:tcW w:type="pct" w:w="12.5%"/>
          </w:tcPr>
          <w:p>
            <w:pPr>
              <w:jc w:val="left"/>
            </w:pPr>
            <w:r>
              <w:rPr>
                <w:b/>
                <w:bCs/>
              </w:rPr>
              <w:t xml:space="preserve">Tanjung Priok</w:t>
            </w:r>
          </w:p>
        </w:tc>
        <w:tc>
          <w:tcPr>
            <w:tcW w:type="pct" w:w="12.5%"/>
          </w:tcPr>
          <w:p>
            <w:pPr>
              <w:jc w:val="left"/>
            </w:pPr>
            <w:r>
              <w:t xml:space="preserve">0,9500</w:t>
            </w:r>
          </w:p>
        </w:tc>
        <w:tc>
          <w:tcPr>
            <w:tcW w:type="pct" w:w="12.5%"/>
          </w:tcPr>
          <w:p>
            <w:pPr>
              <w:jc w:val="left"/>
            </w:pPr>
            <w:r>
              <w:t xml:space="preserve">0,8500</w:t>
            </w:r>
          </w:p>
        </w:tc>
        <w:tc>
          <w:tcPr>
            <w:tcW w:type="pct" w:w="12.5%"/>
          </w:tcPr>
          <w:p>
            <w:pPr>
              <w:jc w:val="left"/>
            </w:pPr>
            <w:r>
              <w:t xml:space="preserve">0,9000</w:t>
            </w:r>
          </w:p>
        </w:tc>
        <w:tc>
          <w:tcPr>
            <w:tcW w:type="pct" w:w="12.5%"/>
          </w:tcPr>
          <w:p>
            <w:pPr>
              <w:jc w:val="left"/>
            </w:pPr>
            <w:r>
              <w:t xml:space="preserve">0,9000</w:t>
            </w:r>
          </w:p>
        </w:tc>
        <w:tc>
          <w:tcPr>
            <w:tcW w:type="pct" w:w="12.5%"/>
          </w:tcPr>
          <w:p>
            <w:pPr>
              <w:jc w:val="left"/>
            </w:pPr>
            <w:r>
              <w:t xml:space="preserve">0,9000</w:t>
            </w:r>
          </w:p>
        </w:tc>
        <w:tc>
          <w:tcPr>
            <w:tcW w:type="pct" w:w="12.5%"/>
          </w:tcPr>
          <w:p>
            <w:pPr>
              <w:jc w:val="left"/>
            </w:pPr>
            <w:r>
              <w:rPr>
                <w:b/>
                <w:bCs/>
              </w:rPr>
              <w:t xml:space="preserve">0,9150</w:t>
            </w:r>
          </w:p>
        </w:tc>
        <w:tc>
          <w:tcPr>
            <w:tcW w:type="pct" w:w="12.5%"/>
          </w:tcPr>
          <w:p>
            <w:pPr>
              <w:jc w:val="left"/>
            </w:pPr>
            <w:r>
              <w:rPr>
                <w:b/>
                <w:bCs/>
              </w:rPr>
              <w:t xml:space="preserve">+0,0150</w:t>
            </w:r>
            <w:r>
              <w:t xml:space="preserve"> 📈</w:t>
            </w:r>
          </w:p>
        </w:tc>
      </w:tr>
      <w:tr>
        <w:trPr>
          <w:tblHeader w:val="false"/>
        </w:trPr>
        <w:tc>
          <w:tcPr>
            <w:tcW w:type="pct" w:w="12.5%"/>
          </w:tcPr>
          <w:p>
            <w:pPr>
              <w:jc w:val="left"/>
            </w:pPr>
            <w:r>
              <w:rPr>
                <w:b/>
                <w:bCs/>
              </w:rPr>
              <w:t xml:space="preserve">Tanjung Perak</w:t>
            </w:r>
          </w:p>
        </w:tc>
        <w:tc>
          <w:tcPr>
            <w:tcW w:type="pct" w:w="12.5%"/>
          </w:tcPr>
          <w:p>
            <w:pPr>
              <w:jc w:val="left"/>
            </w:pPr>
            <w:r>
              <w:t xml:space="preserve">0,9000</w:t>
            </w:r>
          </w:p>
        </w:tc>
        <w:tc>
          <w:tcPr>
            <w:tcW w:type="pct" w:w="12.5%"/>
          </w:tcPr>
          <w:p>
            <w:pPr>
              <w:jc w:val="left"/>
            </w:pPr>
            <w:r>
              <w:t xml:space="preserve">0,8000</w:t>
            </w:r>
          </w:p>
        </w:tc>
        <w:tc>
          <w:tcPr>
            <w:tcW w:type="pct" w:w="12.5%"/>
          </w:tcPr>
          <w:p>
            <w:pPr>
              <w:jc w:val="left"/>
            </w:pPr>
            <w:r>
              <w:t xml:space="preserve">0,9000</w:t>
            </w:r>
          </w:p>
        </w:tc>
        <w:tc>
          <w:tcPr>
            <w:tcW w:type="pct" w:w="12.5%"/>
          </w:tcPr>
          <w:p>
            <w:pPr>
              <w:jc w:val="left"/>
            </w:pPr>
            <w:r>
              <w:t xml:space="preserve">0,8000</w:t>
            </w:r>
          </w:p>
        </w:tc>
        <w:tc>
          <w:tcPr>
            <w:tcW w:type="pct" w:w="12.5%"/>
          </w:tcPr>
          <w:p>
            <w:pPr>
              <w:jc w:val="left"/>
            </w:pPr>
            <w:r>
              <w:t xml:space="preserve">0,8500</w:t>
            </w:r>
          </w:p>
        </w:tc>
        <w:tc>
          <w:tcPr>
            <w:tcW w:type="pct" w:w="12.5%"/>
          </w:tcPr>
          <w:p>
            <w:pPr>
              <w:jc w:val="left"/>
            </w:pPr>
            <w:r>
              <w:rPr>
                <w:b/>
                <w:bCs/>
              </w:rPr>
              <w:t xml:space="preserve">0,8545</w:t>
            </w:r>
          </w:p>
        </w:tc>
        <w:tc>
          <w:tcPr>
            <w:tcW w:type="pct" w:w="12.5%"/>
          </w:tcPr>
          <w:p>
            <w:pPr>
              <w:jc w:val="left"/>
            </w:pPr>
            <w:r>
              <w:rPr>
                <w:b/>
                <w:bCs/>
              </w:rPr>
              <w:t xml:space="preserve">+0,0045</w:t>
            </w:r>
            <w:r>
              <w:t xml:space="preserve"> 📈</w:t>
            </w:r>
          </w:p>
        </w:tc>
      </w:tr>
      <w:tr>
        <w:trPr>
          <w:tblHeader w:val="false"/>
        </w:trPr>
        <w:tc>
          <w:tcPr>
            <w:tcW w:type="pct" w:w="12.5%"/>
          </w:tcPr>
          <w:p>
            <w:pPr>
              <w:jc w:val="left"/>
            </w:pPr>
            <w:r>
              <w:rPr>
                <w:b/>
                <w:bCs/>
              </w:rPr>
              <w:t xml:space="preserve">Batam</w:t>
            </w:r>
          </w:p>
        </w:tc>
        <w:tc>
          <w:tcPr>
            <w:tcW w:type="pct" w:w="12.5%"/>
          </w:tcPr>
          <w:p>
            <w:pPr>
              <w:jc w:val="left"/>
            </w:pPr>
            <w:r>
              <w:t xml:space="preserve">0,5000</w:t>
            </w:r>
          </w:p>
        </w:tc>
        <w:tc>
          <w:tcPr>
            <w:tcW w:type="pct" w:w="12.5%"/>
          </w:tcPr>
          <w:p>
            <w:pPr>
              <w:jc w:val="left"/>
            </w:pPr>
            <w:r>
              <w:t xml:space="preserve">0,4000</w:t>
            </w:r>
          </w:p>
        </w:tc>
        <w:tc>
          <w:tcPr>
            <w:tcW w:type="pct" w:w="12.5%"/>
          </w:tcPr>
          <w:p>
            <w:pPr>
              <w:jc w:val="left"/>
            </w:pPr>
            <w:r>
              <w:t xml:space="preserve">0,9000</w:t>
            </w:r>
          </w:p>
        </w:tc>
        <w:tc>
          <w:tcPr>
            <w:tcW w:type="pct" w:w="12.5%"/>
          </w:tcPr>
          <w:p>
            <w:pPr>
              <w:jc w:val="left"/>
            </w:pPr>
            <w:r>
              <w:t xml:space="preserve">0,6000</w:t>
            </w:r>
          </w:p>
        </w:tc>
        <w:tc>
          <w:tcPr>
            <w:tcW w:type="pct" w:w="12.5%"/>
          </w:tcPr>
          <w:p>
            <w:pPr>
              <w:jc w:val="left"/>
            </w:pPr>
            <w:r>
              <w:t xml:space="preserve">0,6000</w:t>
            </w:r>
          </w:p>
        </w:tc>
        <w:tc>
          <w:tcPr>
            <w:tcW w:type="pct" w:w="12.5%"/>
          </w:tcPr>
          <w:p>
            <w:pPr>
              <w:jc w:val="left"/>
            </w:pPr>
            <w:r>
              <w:rPr>
                <w:b/>
                <w:bCs/>
              </w:rPr>
              <w:t xml:space="preserve">0,5407</w:t>
            </w:r>
          </w:p>
        </w:tc>
        <w:tc>
          <w:tcPr>
            <w:tcW w:type="pct" w:w="12.5%"/>
          </w:tcPr>
          <w:p>
            <w:pPr>
              <w:jc w:val="left"/>
            </w:pPr>
            <w:r>
              <w:rPr>
                <w:b/>
                <w:bCs/>
              </w:rPr>
              <w:t xml:space="preserve">-0,0593</w:t>
            </w:r>
            <w:r>
              <w:t xml:space="preserve"> 📉</w:t>
            </w:r>
          </w:p>
        </w:tc>
      </w:tr>
      <w:tr>
        <w:trPr>
          <w:tblHeader w:val="false"/>
        </w:trPr>
        <w:tc>
          <w:tcPr>
            <w:tcW w:type="pct" w:w="12.5%"/>
          </w:tcPr>
          <w:p>
            <w:pPr>
              <w:jc w:val="left"/>
            </w:pPr>
            <w:r>
              <w:rPr>
                <w:b/>
                <w:bCs/>
              </w:rPr>
              <w:t xml:space="preserve">Sirombu</w:t>
            </w:r>
          </w:p>
        </w:tc>
        <w:tc>
          <w:tcPr>
            <w:tcW w:type="pct" w:w="12.5%"/>
          </w:tcPr>
          <w:p>
            <w:pPr>
              <w:jc w:val="left"/>
            </w:pPr>
            <w:r>
              <w:t xml:space="preserve">0,4000</w:t>
            </w:r>
          </w:p>
        </w:tc>
        <w:tc>
          <w:tcPr>
            <w:tcW w:type="pct" w:w="12.5%"/>
          </w:tcPr>
          <w:p>
            <w:pPr>
              <w:jc w:val="left"/>
            </w:pPr>
            <w:r>
              <w:t xml:space="preserve">0,6000</w:t>
            </w:r>
          </w:p>
        </w:tc>
        <w:tc>
          <w:tcPr>
            <w:tcW w:type="pct" w:w="12.5%"/>
          </w:tcPr>
          <w:p>
            <w:pPr>
              <w:jc w:val="left"/>
            </w:pPr>
            <w:r>
              <w:t xml:space="preserve">0,6000</w:t>
            </w:r>
          </w:p>
        </w:tc>
        <w:tc>
          <w:tcPr>
            <w:tcW w:type="pct" w:w="12.5%"/>
          </w:tcPr>
          <w:p>
            <w:pPr>
              <w:jc w:val="left"/>
            </w:pPr>
            <w:r>
              <w:t xml:space="preserve">0,6000</w:t>
            </w:r>
          </w:p>
        </w:tc>
        <w:tc>
          <w:tcPr>
            <w:tcW w:type="pct" w:w="12.5%"/>
          </w:tcPr>
          <w:p>
            <w:pPr>
              <w:jc w:val="left"/>
            </w:pPr>
            <w:r>
              <w:t xml:space="preserve">0,5500</w:t>
            </w:r>
          </w:p>
        </w:tc>
        <w:tc>
          <w:tcPr>
            <w:tcW w:type="pct" w:w="12.5%"/>
          </w:tcPr>
          <w:p>
            <w:pPr>
              <w:jc w:val="left"/>
            </w:pPr>
            <w:r>
              <w:rPr>
                <w:b/>
                <w:bCs/>
              </w:rPr>
              <w:t xml:space="preserve">0,5058</w:t>
            </w:r>
          </w:p>
        </w:tc>
        <w:tc>
          <w:tcPr>
            <w:tcW w:type="pct" w:w="12.5%"/>
          </w:tcPr>
          <w:p>
            <w:pPr>
              <w:jc w:val="left"/>
            </w:pPr>
            <w:r>
              <w:rPr>
                <w:b/>
                <w:bCs/>
              </w:rPr>
              <w:t xml:space="preserve">-0,0442</w:t>
            </w:r>
            <w:r>
              <w:t xml:space="preserve"> 📉</w:t>
            </w:r>
          </w:p>
        </w:tc>
      </w:tr>
      <w:tr>
        <w:trPr>
          <w:tblHeader w:val="false"/>
        </w:trPr>
        <w:tc>
          <w:tcPr>
            <w:tcW w:type="pct" w:w="12.5%"/>
          </w:tcPr>
          <w:p>
            <w:pPr>
              <w:jc w:val="left"/>
            </w:pPr>
            <w:r>
              <w:rPr>
                <w:b/>
                <w:bCs/>
              </w:rPr>
              <w:t xml:space="preserve">Satui</w:t>
            </w:r>
          </w:p>
        </w:tc>
        <w:tc>
          <w:tcPr>
            <w:tcW w:type="pct" w:w="12.5%"/>
          </w:tcPr>
          <w:p>
            <w:pPr>
              <w:jc w:val="left"/>
            </w:pPr>
            <w:r>
              <w:t xml:space="preserve">0,0000</w:t>
            </w:r>
          </w:p>
        </w:tc>
        <w:tc>
          <w:tcPr>
            <w:tcW w:type="pct" w:w="12.5%"/>
          </w:tcPr>
          <w:p>
            <w:pPr>
              <w:jc w:val="left"/>
            </w:pPr>
            <w:r>
              <w:t xml:space="preserve">0,0465</w:t>
            </w:r>
          </w:p>
        </w:tc>
        <w:tc>
          <w:tcPr>
            <w:tcW w:type="pct" w:w="12.5%"/>
          </w:tcPr>
          <w:p>
            <w:pPr>
              <w:jc w:val="left"/>
            </w:pPr>
            <w:r>
              <w:t xml:space="preserve">0,9813</w:t>
            </w:r>
          </w:p>
        </w:tc>
        <w:tc>
          <w:tcPr>
            <w:tcW w:type="pct" w:w="12.5%"/>
          </w:tcPr>
          <w:p>
            <w:pPr>
              <w:jc w:val="left"/>
            </w:pPr>
            <w:r>
              <w:t xml:space="preserve">0,0000</w:t>
            </w:r>
          </w:p>
        </w:tc>
        <w:tc>
          <w:tcPr>
            <w:tcW w:type="pct" w:w="12.5%"/>
          </w:tcPr>
          <w:p>
            <w:pPr>
              <w:jc w:val="left"/>
            </w:pPr>
            <w:r>
              <w:t xml:space="preserve">0,2570</w:t>
            </w:r>
          </w:p>
        </w:tc>
        <w:tc>
          <w:tcPr>
            <w:tcW w:type="pct" w:w="12.5%"/>
          </w:tcPr>
          <w:p>
            <w:pPr>
              <w:jc w:val="left"/>
            </w:pPr>
            <w:r>
              <w:rPr>
                <w:b/>
                <w:bCs/>
              </w:rPr>
              <w:t xml:space="preserve">0,0802</w:t>
            </w:r>
          </w:p>
        </w:tc>
        <w:tc>
          <w:tcPr>
            <w:tcW w:type="pct" w:w="12.5%"/>
          </w:tcPr>
          <w:p>
            <w:pPr>
              <w:jc w:val="left"/>
            </w:pPr>
            <w:r>
              <w:rPr>
                <w:b/>
                <w:bCs/>
              </w:rPr>
              <w:t xml:space="preserve">-0,1768</w:t>
            </w:r>
            <w:r>
              <w:t xml:space="preserve"> 🚨</w:t>
            </w:r>
          </w:p>
        </w:tc>
      </w:tr>
      <w:tr>
        <w:trPr>
          <w:tblHeader w:val="false"/>
        </w:trPr>
        <w:tc>
          <w:tcPr>
            <w:tcW w:type="pct" w:w="12.5%"/>
          </w:tcPr>
          <w:p>
            <w:pPr>
              <w:jc w:val="left"/>
            </w:pPr>
            <w:r>
              <w:rPr>
                <w:b/>
                <w:bCs/>
              </w:rPr>
              <w:t xml:space="preserve">Pangkal Balam</w:t>
            </w:r>
          </w:p>
        </w:tc>
        <w:tc>
          <w:tcPr>
            <w:tcW w:type="pct" w:w="12.5%"/>
          </w:tcPr>
          <w:p>
            <w:pPr>
              <w:jc w:val="left"/>
            </w:pPr>
            <w:r>
              <w:t xml:space="preserve">0,0161</w:t>
            </w:r>
          </w:p>
        </w:tc>
        <w:tc>
          <w:tcPr>
            <w:tcW w:type="pct" w:w="12.5%"/>
          </w:tcPr>
          <w:p>
            <w:pPr>
              <w:jc w:val="left"/>
            </w:pPr>
            <w:r>
              <w:t xml:space="preserve">0,0000</w:t>
            </w:r>
          </w:p>
        </w:tc>
        <w:tc>
          <w:tcPr>
            <w:tcW w:type="pct" w:w="12.5%"/>
          </w:tcPr>
          <w:p>
            <w:pPr>
              <w:jc w:val="left"/>
            </w:pPr>
            <w:r>
              <w:t xml:space="preserve">0,8601</w:t>
            </w:r>
          </w:p>
        </w:tc>
        <w:tc>
          <w:tcPr>
            <w:tcW w:type="pct" w:w="12.5%"/>
          </w:tcPr>
          <w:p>
            <w:pPr>
              <w:jc w:val="left"/>
            </w:pPr>
            <w:r>
              <w:t xml:space="preserve">0,0000</w:t>
            </w:r>
          </w:p>
        </w:tc>
        <w:tc>
          <w:tcPr>
            <w:tcW w:type="pct" w:w="12.5%"/>
          </w:tcPr>
          <w:p>
            <w:pPr>
              <w:jc w:val="left"/>
            </w:pPr>
            <w:r>
              <w:t xml:space="preserve">0,2191</w:t>
            </w:r>
          </w:p>
        </w:tc>
        <w:tc>
          <w:tcPr>
            <w:tcW w:type="pct" w:w="12.5%"/>
          </w:tcPr>
          <w:p>
            <w:pPr>
              <w:jc w:val="left"/>
            </w:pPr>
            <w:r>
              <w:rPr>
                <w:b/>
                <w:bCs/>
              </w:rPr>
              <w:t xml:space="preserve">0,0709</w:t>
            </w:r>
          </w:p>
        </w:tc>
        <w:tc>
          <w:tcPr>
            <w:tcW w:type="pct" w:w="12.5%"/>
          </w:tcPr>
          <w:p>
            <w:pPr>
              <w:jc w:val="left"/>
            </w:pPr>
            <w:r>
              <w:rPr>
                <w:b/>
                <w:bCs/>
              </w:rPr>
              <w:t xml:space="preserve">-0,1481</w:t>
            </w:r>
            <w:r>
              <w:t xml:space="preserve"> 🚨</w:t>
            </w:r>
          </w:p>
        </w:tc>
      </w:tr>
    </w:tbl>
    <w:p>
      <w:pPr>
        <w:pBdr>
          <w:bottom w:val="single" w:color="999999" w:sz="6" w:space="1"/>
        </w:pBdr>
      </w:pPr>
    </w:p>
    <w:p>
      <w:pPr>
        <w:pStyle w:val="Heading4"/>
      </w:pPr>
      <w:r>
        <w:t xml:space="preserve">3.4 Diskusi Implikasi Kebijakan dan Metodologis</w:t>
      </w:r>
    </w:p>
    <w:p>
      <w:r>
        <w:t xml:space="preserve">Penerapan metode pembobotan AHP memberikan dampak metodologis yang sangat transformatif pada proses analisis:</w:t>
      </w:r>
    </w:p>
    <w:p>
      <w:pPr>
        <w:pStyle w:val="ListParagraph"/>
        <w:numPr>
          <w:ilvl w:val="0"/>
          <w:numId w:val="2"/>
        </w:numPr>
      </w:pPr>
      <w:r>
        <w:rPr>
          <w:b/>
          <w:bCs/>
        </w:rPr>
        <w:t xml:space="preserve">Membongkar Kinerja Semu (</w:t>
      </w:r>
      <w:r>
        <w:rPr>
          <w:b/>
          <w:bCs/>
          <w:i/>
          <w:iCs/>
        </w:rPr>
        <w:t xml:space="preserve">False Performance Detection</w:t>
      </w:r>
      <w:r>
        <w:rPr>
          <w:b/>
          <w:bCs/>
        </w:rPr>
        <w:t xml:space="preserve">):</w:t>
      </w:r>
      <w:r/>
      <w:r>
        <w:br/>
        <w:t xml:space="preserve"> Di bawah model </w:t>
      </w:r>
      <w:r>
        <w:rPr>
          <w:i/>
          <w:iCs/>
        </w:rPr>
        <w:t xml:space="preserve">equal weighting</w:t>
      </w:r>
      <w:r>
        <w:t xml:space="preserve"> lama, Pelabuhan Satui dan Pangkal Balam tampak "moderat" dengan skor masing-masing </w:t>
      </w:r>
      <w:r>
        <w:rPr>
          <w:b/>
          <w:bCs/>
        </w:rPr>
        <w:t xml:space="preserve">0,2570</w:t>
      </w:r>
      <w:r>
        <w:t xml:space="preserve"> dan </w:t>
      </w:r>
      <w:r>
        <w:rPr>
          <w:b/>
          <w:bCs/>
        </w:rPr>
        <w:t xml:space="preserve">0,2191</w:t>
      </w:r>
      <w:r>
        <w:t xml:space="preserve">. Skor tersebut sangat menyesatkan karena kenyataannya kedua pelabuhan tersebut gagal total dalam mematuhi regulasi SLA kepatuhan ($CI \approx 0$) dan tidak memiliki ketahanan delay ($RI = 0$). Skor lama mereka terdongkrak hanya karena konsistensi pelayanan ($CsI$) yang stabil buruk (waktu respons yang konstan lambat). Dengan diturunkannya bobot $CsI$ menjadi </w:t>
      </w:r>
      <w:r>
        <w:rPr>
          <w:b/>
          <w:bCs/>
        </w:rPr>
        <w:t xml:space="preserve">$7,36%$</w:t>
      </w:r>
      <w:r>
        <w:t xml:space="preserve"> melalui AHP, skor komposit Satui jatuh bebas ke angka riilnya: </w:t>
      </w:r>
      <w:r>
        <w:rPr>
          <w:b/>
          <w:bCs/>
        </w:rPr>
        <w:t xml:space="preserve">$0,0802$ (terkoreksi turun $-17,68%$)</w:t>
      </w:r>
      <w:r>
        <w:t xml:space="preserve">. Reformasi pembobotan ini sukses menyaring </w:t>
      </w:r>
      <w:r>
        <w:rPr>
          <w:i/>
          <w:iCs/>
        </w:rPr>
        <w:t xml:space="preserve">noise</w:t>
      </w:r>
      <w:r>
        <w:t xml:space="preserve"> analisis, mencegah bias regulator dalam mengidentifikasi titik-titik pelabuhan yang memerlukan penanganan darurat.</w:t>
      </w:r>
    </w:p>
    <w:p>
      <w:pPr>
        <w:pStyle w:val="ListParagraph"/>
        <w:numPr>
          <w:ilvl w:val="0"/>
          <w:numId w:val="2"/>
        </w:numPr>
      </w:pPr>
      <w:r>
        <w:rPr>
          <w:b/>
          <w:bCs/>
        </w:rPr>
        <w:t xml:space="preserve">Apresiasi Objektif Kepatuhan Regulasi Tinggi (Tanjung Priok):</w:t>
      </w:r>
      <w:r/>
      <w:r>
        <w:br/>
        <w:t xml:space="preserve"> Sebagai pintu gerbang logistik laut utama nasional, Pelabuhan Tanjung Priok mengelola volume transaksi yang sangat tinggi sebesar </w:t>
      </w:r>
      <w:r>
        <w:rPr>
          <w:b/>
          <w:bCs/>
        </w:rPr>
        <w:t xml:space="preserve">16.209 transaksi</w:t>
      </w:r>
      <w:r>
        <w:t xml:space="preserve"> sepanjang tahun 2025. Di tengah beban pelayanan raksasa tersebut, petugas di Tanjung Priok mampu mempertahankan persentase kepatuhan SLA yang sangat impresif sebesar </w:t>
      </w:r>
      <w:r>
        <w:rPr>
          <w:b/>
          <w:bCs/>
        </w:rPr>
        <w:t xml:space="preserve">$95%$ ($CI = 0,95$)</w:t>
      </w:r>
      <w:r>
        <w:t xml:space="preserve">. Melalui AHP, keunggulan Priok di sektor kepatuhan yang diatur undang-undang ini dihargai tinggi, sehingga skor akhir mereka merangkak naik dari </w:t>
      </w:r>
      <w:r>
        <w:rPr>
          <w:b/>
          <w:bCs/>
        </w:rPr>
        <w:t xml:space="preserve">0,9000 menjadi 0,9150</w:t>
      </w:r>
      <w:r>
        <w:t xml:space="preserve">. Ini memberikan potret keadilan operasional rill yang adil dan akurat secara regulatif.</w:t>
      </w:r>
    </w:p>
    <w:p>
      <w:pPr>
        <w:pStyle w:val="ListParagraph"/>
        <w:numPr>
          <w:ilvl w:val="0"/>
          <w:numId w:val="2"/>
        </w:numPr>
      </w:pPr>
      <w:r>
        <w:rPr>
          <w:b/>
          <w:bCs/>
        </w:rPr>
        <w:t xml:space="preserve">Memperkuat Justifikasi Kebijakan Kuadran Strategis:</w:t>
      </w:r>
      <w:r/>
      <w:r>
        <w:br/>
        <w:t xml:space="preserve"> Skor kinerja komposit Pelabuhan Batam terkoreksi turun menjadi </w:t>
      </w:r>
      <w:r>
        <w:rPr>
          <w:b/>
          <w:bCs/>
        </w:rPr>
        <w:t xml:space="preserve">0,5407</w:t>
      </w:r>
      <w:r>
        <w:t xml:space="preserve"> dengan bobot AHP baru. Penurunan skor ini semakin mempertegas posisi Batam di dalam kuadran </w:t>
      </w:r>
      <w:r>
        <w:rPr>
          <w:i/>
          <w:iCs/>
        </w:rPr>
        <w:t xml:space="preserve">Congested Port</w:t>
      </w:r>
      <w:r>
        <w:t xml:space="preserve"> (Volume Tinggi, Kinerja Rendah). Batam memikul volume transaksi rill sebesar </w:t>
      </w:r>
      <w:r>
        <w:rPr>
          <w:b/>
          <w:bCs/>
        </w:rPr>
        <w:t xml:space="preserve">97.253 approvals</w:t>
      </w:r>
      <w:r>
        <w:t xml:space="preserve"> (enam kali lipat dari Tanjung Priok). Tekanan volume luar biasa ekstrem ini memicu kemerosotan drastis dalam kecepatan persetujuan dan tingkat kepatuhan regulasi. Temuan ini memberikan dasar keputusan berbasis data (</w:t>
      </w:r>
      <w:r>
        <w:rPr>
          <w:i/>
          <w:iCs/>
        </w:rPr>
        <w:t xml:space="preserve">data-driven decision support</w:t>
      </w:r>
      <w:r>
        <w:t xml:space="preserve">) yang kuat bagi regulator untuk memprioritaskan program rekayasa ulang proses bisnis (</w:t>
      </w:r>
      <w:r>
        <w:rPr>
          <w:i/>
          <w:iCs/>
        </w:rPr>
        <w:t xml:space="preserve">process reengineering</w:t>
      </w:r>
      <w:r>
        <w:t xml:space="preserve">) dan penyeimbangan beban kerja (</w:t>
      </w:r>
      <w:r>
        <w:rPr>
          <w:i/>
          <w:iCs/>
        </w:rPr>
        <w:t xml:space="preserve">workload balancing</w:t>
      </w:r>
      <w:r>
        <w:t xml:space="preserve">) di wilayah tersebut.</w:t>
      </w:r>
    </w:p>
    <w:p>
      <w:pPr>
        <w:pBdr>
          <w:bottom w:val="single" w:color="999999" w:sz="6" w:space="1"/>
        </w:pBdr>
      </w:pPr>
    </w:p>
    <w:p>
      <w:pPr>
        <w:pStyle w:val="Heading4"/>
      </w:pPr>
      <w:r>
        <w:t xml:space="preserve">3.5 Pemetaan Kuadran Strategis dan Alokasi Sumber Daya</w:t>
      </w:r>
    </w:p>
    <w:p>
      <w:r>
        <w:t xml:space="preserve">Melalui batas tengah nilai median kinerja ($PSPI = 0,804$) dan median volume transaksi ($Volume = 1.312$ unit), sebaran seimbang terbentuk di antara 259 pelabuhan nasional:</w:t>
      </w:r>
    </w:p>
    <w:p>
      <w:r>
        <w:rPr>
          <w:b/>
          <w:bCs/>
        </w:rPr>
        <w:t xml:space="preserve">Tabel 3: Distribusi Sebaran Kuadran Strategis Pelabuhan Nasional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666666666666668%"/>
            <w:shd w:fill="F1F3F4"/>
          </w:tcPr>
          <w:p>
            <w:pPr>
              <w:jc w:val="left"/>
            </w:pPr>
            <w:r>
              <w:rPr>
                <w:b/>
                <w:bCs/>
              </w:rPr>
              <w:t xml:space="preserve">Klasifikasi Kuadran</w:t>
            </w:r>
          </w:p>
        </w:tc>
        <w:tc>
          <w:tcPr>
            <w:tcW w:type="pct" w:w="16.666666666666668%"/>
            <w:shd w:fill="F1F3F4"/>
          </w:tcPr>
          <w:p>
            <w:pPr>
              <w:jc w:val="left"/>
            </w:pPr>
            <w:r>
              <w:rPr>
                <w:b/>
                <w:bCs/>
              </w:rPr>
              <w:t xml:space="preserve">Jumlah Pelabuhan</w:t>
            </w:r>
          </w:p>
        </w:tc>
        <w:tc>
          <w:tcPr>
            <w:tcW w:type="pct" w:w="16.666666666666668%"/>
            <w:shd w:fill="F1F3F4"/>
          </w:tcPr>
          <w:p>
            <w:pPr>
              <w:jc w:val="left"/>
            </w:pPr>
            <w:r>
              <w:rPr>
                <w:b/>
                <w:bCs/>
              </w:rPr>
              <w:t xml:space="preserve">Rata-rata Indeks Kinerja</w:t>
            </w:r>
          </w:p>
        </w:tc>
        <w:tc>
          <w:tcPr>
            <w:tcW w:type="pct" w:w="16.666666666666668%"/>
            <w:shd w:fill="F1F3F4"/>
          </w:tcPr>
          <w:p>
            <w:pPr>
              <w:jc w:val="left"/>
            </w:pPr>
            <w:r>
              <w:rPr>
                <w:b/>
                <w:bCs/>
              </w:rPr>
              <w:t xml:space="preserve">Rata-rata Volume Transaksi</w:t>
            </w:r>
          </w:p>
        </w:tc>
        <w:tc>
          <w:tcPr>
            <w:tcW w:type="pct" w:w="16.666666666666668%"/>
            <w:shd w:fill="F1F3F4"/>
          </w:tcPr>
          <w:p>
            <w:pPr>
              <w:jc w:val="left"/>
            </w:pPr>
            <w:r>
              <w:rPr>
                <w:b/>
                <w:bCs/>
              </w:rPr>
              <w:t xml:space="preserve">Total Volume Transaksi</w:t>
            </w:r>
          </w:p>
        </w:tc>
        <w:tc>
          <w:tcPr>
            <w:tcW w:type="pct" w:w="16.666666666666668%"/>
            <w:shd w:fill="F1F3F4"/>
          </w:tcPr>
          <w:p>
            <w:pPr>
              <w:jc w:val="left"/>
            </w:pPr>
            <w:r>
              <w:rPr>
                <w:b/>
                <w:bCs/>
              </w:rPr>
              <w:t xml:space="preserve">Persentase Pangsa Pasar</w:t>
            </w:r>
          </w:p>
        </w:tc>
      </w:tr>
      <w:tr>
        <w:trPr>
          <w:tblHeader w:val="false"/>
        </w:trPr>
        <w:tc>
          <w:tcPr>
            <w:tcW w:type="pct" w:w="16.666666666666668%"/>
          </w:tcPr>
          <w:p>
            <w:pPr>
              <w:jc w:val="left"/>
            </w:pPr>
            <w:r>
              <w:rPr>
                <w:b/>
                <w:bCs/>
              </w:rPr>
              <w:t xml:space="preserve">Benchmark Ports</w:t>
            </w:r>
          </w:p>
        </w:tc>
        <w:tc>
          <w:tcPr>
            <w:tcW w:type="pct" w:w="16.666666666666668%"/>
          </w:tcPr>
          <w:p>
            <w:pPr>
              <w:jc w:val="left"/>
            </w:pPr>
            <w:r>
              <w:t xml:space="preserve">64</w:t>
            </w:r>
          </w:p>
        </w:tc>
        <w:tc>
          <w:tcPr>
            <w:tcW w:type="pct" w:w="16.666666666666668%"/>
          </w:tcPr>
          <w:p>
            <w:pPr>
              <w:jc w:val="left"/>
            </w:pPr>
            <w:r>
              <w:t xml:space="preserve">0,90</w:t>
            </w:r>
          </w:p>
        </w:tc>
        <w:tc>
          <w:tcPr>
            <w:tcW w:type="pct" w:w="16.666666666666668%"/>
          </w:tcPr>
          <w:p>
            <w:pPr>
              <w:jc w:val="left"/>
            </w:pPr>
            <w:r>
              <w:t xml:space="preserve">5.071,19</w:t>
            </w:r>
          </w:p>
        </w:tc>
        <w:tc>
          <w:tcPr>
            <w:tcW w:type="pct" w:w="16.666666666666668%"/>
          </w:tcPr>
          <w:p>
            <w:pPr>
              <w:jc w:val="left"/>
            </w:pPr>
            <w:r>
              <w:t xml:space="preserve">324.556</w:t>
            </w:r>
          </w:p>
        </w:tc>
        <w:tc>
          <w:tcPr>
            <w:tcW w:type="pct" w:w="16.666666666666668%"/>
          </w:tcPr>
          <w:p>
            <w:pPr>
              <w:jc w:val="left"/>
            </w:pPr>
            <w:r>
              <w:t xml:space="preserve">28,08%</w:t>
            </w:r>
          </w:p>
        </w:tc>
      </w:tr>
      <w:tr>
        <w:trPr>
          <w:tblHeader w:val="false"/>
        </w:trPr>
        <w:tc>
          <w:tcPr>
            <w:tcW w:type="pct" w:w="16.666666666666668%"/>
          </w:tcPr>
          <w:p>
            <w:pPr>
              <w:jc w:val="left"/>
            </w:pPr>
            <w:r>
              <w:rPr>
                <w:b/>
                <w:bCs/>
              </w:rPr>
              <w:t xml:space="preserve">Congested Ports</w:t>
            </w:r>
          </w:p>
        </w:tc>
        <w:tc>
          <w:tcPr>
            <w:tcW w:type="pct" w:w="16.666666666666668%"/>
          </w:tcPr>
          <w:p>
            <w:pPr>
              <w:jc w:val="left"/>
            </w:pPr>
            <w:r>
              <w:t xml:space="preserve">66</w:t>
            </w:r>
          </w:p>
        </w:tc>
        <w:tc>
          <w:tcPr>
            <w:tcW w:type="pct" w:w="16.666666666666668%"/>
          </w:tcPr>
          <w:p>
            <w:pPr>
              <w:jc w:val="left"/>
            </w:pPr>
            <w:r>
              <w:t xml:space="preserve">0,60</w:t>
            </w:r>
          </w:p>
        </w:tc>
        <w:tc>
          <w:tcPr>
            <w:tcW w:type="pct" w:w="16.666666666666668%"/>
          </w:tcPr>
          <w:p>
            <w:pPr>
              <w:jc w:val="left"/>
            </w:pPr>
            <w:r>
              <w:t xml:space="preserve">11.439,24</w:t>
            </w:r>
          </w:p>
        </w:tc>
        <w:tc>
          <w:tcPr>
            <w:tcW w:type="pct" w:w="16.666666666666668%"/>
          </w:tcPr>
          <w:p>
            <w:pPr>
              <w:jc w:val="left"/>
            </w:pPr>
            <w:r>
              <w:t xml:space="preserve">754.990</w:t>
            </w:r>
          </w:p>
        </w:tc>
        <w:tc>
          <w:tcPr>
            <w:tcW w:type="pct" w:w="16.666666666666668%"/>
          </w:tcPr>
          <w:p>
            <w:pPr>
              <w:jc w:val="left"/>
            </w:pPr>
            <w:r>
              <w:rPr>
                <w:b/>
                <w:bCs/>
              </w:rPr>
              <w:t xml:space="preserve">65,32%</w:t>
            </w:r>
          </w:p>
        </w:tc>
      </w:tr>
      <w:tr>
        <w:trPr>
          <w:tblHeader w:val="false"/>
        </w:trPr>
        <w:tc>
          <w:tcPr>
            <w:tcW w:type="pct" w:w="16.666666666666668%"/>
          </w:tcPr>
          <w:p>
            <w:pPr>
              <w:jc w:val="left"/>
            </w:pPr>
            <w:r>
              <w:rPr>
                <w:b/>
                <w:bCs/>
              </w:rPr>
              <w:t xml:space="preserve">Developing Ports</w:t>
            </w:r>
          </w:p>
        </w:tc>
        <w:tc>
          <w:tcPr>
            <w:tcW w:type="pct" w:w="16.666666666666668%"/>
          </w:tcPr>
          <w:p>
            <w:pPr>
              <w:jc w:val="left"/>
            </w:pPr>
            <w:r>
              <w:t xml:space="preserve">63</w:t>
            </w:r>
          </w:p>
        </w:tc>
        <w:tc>
          <w:tcPr>
            <w:tcW w:type="pct" w:w="16.666666666666668%"/>
          </w:tcPr>
          <w:p>
            <w:pPr>
              <w:jc w:val="left"/>
            </w:pPr>
            <w:r>
              <w:t xml:space="preserve">0,64</w:t>
            </w:r>
          </w:p>
        </w:tc>
        <w:tc>
          <w:tcPr>
            <w:tcW w:type="pct" w:w="16.666666666666668%"/>
          </w:tcPr>
          <w:p>
            <w:pPr>
              <w:jc w:val="left"/>
            </w:pPr>
            <w:r>
              <w:t xml:space="preserve">553,51</w:t>
            </w:r>
          </w:p>
        </w:tc>
        <w:tc>
          <w:tcPr>
            <w:tcW w:type="pct" w:w="16.666666666666668%"/>
          </w:tcPr>
          <w:p>
            <w:pPr>
              <w:jc w:val="left"/>
            </w:pPr>
            <w:r>
              <w:t xml:space="preserve">34.871</w:t>
            </w:r>
          </w:p>
        </w:tc>
        <w:tc>
          <w:tcPr>
            <w:tcW w:type="pct" w:w="16.666666666666668%"/>
          </w:tcPr>
          <w:p>
            <w:pPr>
              <w:jc w:val="left"/>
            </w:pPr>
            <w:r>
              <w:t xml:space="preserve">3,02%</w:t>
            </w:r>
          </w:p>
        </w:tc>
      </w:tr>
      <w:tr>
        <w:trPr>
          <w:tblHeader w:val="false"/>
        </w:trPr>
        <w:tc>
          <w:tcPr>
            <w:tcW w:type="pct" w:w="16.666666666666668%"/>
          </w:tcPr>
          <w:p>
            <w:pPr>
              <w:jc w:val="left"/>
            </w:pPr>
            <w:r>
              <w:rPr>
                <w:b/>
                <w:bCs/>
              </w:rPr>
              <w:t xml:space="preserve">Efficient Ports</w:t>
            </w:r>
          </w:p>
        </w:tc>
        <w:tc>
          <w:tcPr>
            <w:tcW w:type="pct" w:w="16.666666666666668%"/>
          </w:tcPr>
          <w:p>
            <w:pPr>
              <w:jc w:val="left"/>
            </w:pPr>
            <w:r>
              <w:t xml:space="preserve">66</w:t>
            </w:r>
          </w:p>
        </w:tc>
        <w:tc>
          <w:tcPr>
            <w:tcW w:type="pct" w:w="16.666666666666668%"/>
          </w:tcPr>
          <w:p>
            <w:pPr>
              <w:jc w:val="left"/>
            </w:pPr>
            <w:r>
              <w:t xml:space="preserve">0,92</w:t>
            </w:r>
          </w:p>
        </w:tc>
        <w:tc>
          <w:tcPr>
            <w:tcW w:type="pct" w:w="16.666666666666668%"/>
          </w:tcPr>
          <w:p>
            <w:pPr>
              <w:jc w:val="left"/>
            </w:pPr>
            <w:r>
              <w:t xml:space="preserve">628,82</w:t>
            </w:r>
          </w:p>
        </w:tc>
        <w:tc>
          <w:tcPr>
            <w:tcW w:type="pct" w:w="16.666666666666668%"/>
          </w:tcPr>
          <w:p>
            <w:pPr>
              <w:jc w:val="left"/>
            </w:pPr>
            <w:r>
              <w:t xml:space="preserve">41.502</w:t>
            </w:r>
          </w:p>
        </w:tc>
        <w:tc>
          <w:tcPr>
            <w:tcW w:type="pct" w:w="16.666666666666668%"/>
          </w:tcPr>
          <w:p>
            <w:pPr>
              <w:jc w:val="left"/>
            </w:pPr>
            <w:r>
              <w:t xml:space="preserve">3,59%</w:t>
            </w:r>
          </w:p>
        </w:tc>
      </w:tr>
    </w:tbl>
    <w:p>
      <w:r>
        <w:t xml:space="preserve">Hasil pemetaan menegaskan terjadinya konsentrasi beban kerja yang sangat tidak merata di Indonesia. Meskipun jumlah pelabuhan di kuadran </w:t>
      </w:r>
      <w:r>
        <w:rPr>
          <w:i/>
          <w:iCs/>
        </w:rPr>
        <w:t xml:space="preserve">Congested</w:t>
      </w:r>
      <w:r>
        <w:t xml:space="preserve"> hanya mencakup sekitar $25%$ dari keseluruhan pelabuhan, kelompok ini menangani </w:t>
      </w:r>
      <w:r>
        <w:rPr>
          <w:b/>
          <w:bCs/>
        </w:rPr>
        <w:t xml:space="preserve">$65,32%$ (hampir dua pertiga) total volume transaksi logistik nasional</w:t>
      </w:r>
      <w:r>
        <w:t xml:space="preserve">. Tingginya tekanan transaksi tersebut berkorelasi kuat dengan degradasi efisiensi administrasi, yang tecermin dari rendahnya rata-rata indeks kinerja komposit mereka yaitu </w:t>
      </w:r>
      <w:r>
        <w:rPr>
          <w:b/>
          <w:bCs/>
        </w:rPr>
        <w:t xml:space="preserve">0,60</w:t>
      </w:r>
      <w:r>
        <w:t xml:space="preserve">.</w:t>
      </w:r>
    </w:p>
    <w:p>
      <w:r>
        <w:t xml:space="preserve">Sebaliknya, kelompok pelabuhan </w:t>
      </w:r>
      <w:r>
        <w:rPr>
          <w:i/>
          <w:iCs/>
        </w:rPr>
        <w:t xml:space="preserve">Developing</w:t>
      </w:r>
      <w:r>
        <w:t xml:space="preserve"> (seperti Agats, Pulau Telo, dan Sirombu yang hanya melayani 12 transaksi) berkinerja rendah (</w:t>
      </w:r>
      <w:r>
        <w:rPr>
          <w:b/>
          <w:bCs/>
        </w:rPr>
        <w:t xml:space="preserve">0,64</w:t>
      </w:r>
      <w:r>
        <w:t xml:space="preserve">) meskipun tidak menghadapi tekanan operasional yang berarti. Fenomena ini menunjukkan adanya kendala struktural non-volume di lapangan, seperti isolasi geografis, kesenjangan infrastruktur digital, serta ketidaksiapan kompetensi SDM aparat pelabuhan di wilayah terpencil.</w:t>
      </w:r>
    </w:p>
    <w:p>
      <w:pPr>
        <w:pBdr>
          <w:bottom w:val="single" w:color="999999" w:sz="6" w:space="1"/>
        </w:pBdr>
      </w:pPr>
    </w:p>
    <w:p>
      <w:pPr>
        <w:pStyle w:val="Heading3"/>
      </w:pPr>
      <w:r>
        <w:t xml:space="preserve">4. Kesimpulan</w:t>
      </w:r>
    </w:p>
    <w:p>
      <w:r>
        <w:t xml:space="preserve">Penelitian ini berhasil menyusun kerangka kerja evaluasi komprehensif berbasis data dengan mengintegrasikan </w:t>
      </w:r>
      <w:r>
        <w:rPr>
          <w:i/>
          <w:iCs/>
        </w:rPr>
        <w:t xml:space="preserve">Port Service Performance Index</w:t>
      </w:r>
      <w:r>
        <w:t xml:space="preserve"> (PSPI) berbasis metode </w:t>
      </w:r>
      <w:r>
        <w:rPr>
          <w:i/>
          <w:iCs/>
        </w:rPr>
        <w:t xml:space="preserve">Analytical Hierarchy Process</w:t>
      </w:r>
      <w:r>
        <w:t xml:space="preserve"> (AHP) dan </w:t>
      </w:r>
      <w:r>
        <w:rPr>
          <w:i/>
          <w:iCs/>
        </w:rPr>
        <w:t xml:space="preserve">Strategic Quadrant Analysis</w:t>
      </w:r>
      <w:r>
        <w:t xml:space="preserve">. Reformasi pembobotan menggunakan AHP terbukti mampu menyelesaikan kelemahan model indeks tradisional (</w:t>
      </w:r>
      <w:r>
        <w:rPr>
          <w:i/>
          <w:iCs/>
        </w:rPr>
        <w:t xml:space="preserve">equal weighting</w:t>
      </w:r>
      <w:r>
        <w:t xml:space="preserve">) dengan menyusun struktur bobot ilmiah yang didukung kuat oleh kriteria hukum Peraturan Menteri Perhubungan No PM 8 Tahun 2022 serta konsekuensi finansial denda penundaan logistik di lapangan.</w:t>
      </w:r>
    </w:p>
    <w:p>
      <w:r>
        <w:t xml:space="preserve">Melalui bobot AHP baru, bias performa semu (</w:t>
      </w:r>
      <w:r>
        <w:rPr>
          <w:i/>
          <w:iCs/>
        </w:rPr>
        <w:t xml:space="preserve">false performance</w:t>
      </w:r>
      <w:r>
        <w:t xml:space="preserve">) pada pelabuhan </w:t>
      </w:r>
      <w:r>
        <w:rPr>
          <w:i/>
          <w:iCs/>
        </w:rPr>
        <w:t xml:space="preserve">underperformer</w:t>
      </w:r>
      <w:r>
        <w:t xml:space="preserve"> (seperti Satui dan Pangkal Balam) berhasil dibersihkan, sekaligus memberikan penilaian yang adil dan apresiatif bagi pelabuhan hub utama yang mampu menjaga kepatuhan SLA yang tinggi (seperti Tanjung Priok).</w:t>
      </w:r>
    </w:p>
    <w:p>
      <w:r>
        <w:t xml:space="preserve">Kerangka kuadran strategis terintegrasi ini menyajikan alat pendukung keputusan yang sangat praktis bagi Kementerian Perhubungan RI untuk merancang kebijakan intervensi terarah:</w:t>
      </w:r>
    </w:p>
    <w:p>
      <w:pPr>
        <w:pStyle w:val="ListParagraph"/>
        <w:numPr>
          <w:ilvl w:val="0"/>
          <w:numId w:val="2"/>
        </w:numPr>
      </w:pPr>
      <w:r>
        <w:rPr>
          <w:b/>
          <w:bCs/>
        </w:rPr>
        <w:t xml:space="preserve">Benchmark Ports (Tg. Priok, Tg. Perak):</w:t>
      </w:r>
      <w:r>
        <w:t xml:space="preserve"> Mempertahankan keunggulan operasional dan melakukan diseminasi tata kelola (</w:t>
      </w:r>
      <w:r>
        <w:rPr>
          <w:i/>
          <w:iCs/>
        </w:rPr>
        <w:t xml:space="preserve">best practices</w:t>
      </w:r>
      <w:r>
        <w:t xml:space="preserve">) ke pelabuhan lain.</w:t>
      </w:r>
    </w:p>
    <w:p>
      <w:pPr>
        <w:pStyle w:val="ListParagraph"/>
        <w:numPr>
          <w:ilvl w:val="0"/>
          <w:numId w:val="2"/>
        </w:numPr>
      </w:pPr>
      <w:r>
        <w:rPr>
          <w:b/>
          <w:bCs/>
        </w:rPr>
        <w:t xml:space="preserve">Efficient Ports:</w:t>
      </w:r>
      <w:r>
        <w:t xml:space="preserve"> Melakukan perencanaan kapasitas (</w:t>
      </w:r>
      <w:r>
        <w:rPr>
          <w:i/>
          <w:iCs/>
        </w:rPr>
        <w:t xml:space="preserve">capacity planning</w:t>
      </w:r>
      <w:r>
        <w:t xml:space="preserve">) dan optimasi pencegahan alur kerja untuk mengantisipasi lonjakan trafik di masa depan.</w:t>
      </w:r>
    </w:p>
    <w:p>
      <w:pPr>
        <w:pStyle w:val="ListParagraph"/>
        <w:numPr>
          <w:ilvl w:val="0"/>
          <w:numId w:val="2"/>
        </w:numPr>
      </w:pPr>
      <w:r>
        <w:rPr>
          <w:b/>
          <w:bCs/>
        </w:rPr>
        <w:t xml:space="preserve">Congested Ports (Batam):</w:t>
      </w:r>
      <w:r>
        <w:t xml:space="preserve"> Melakukan prioritas intervensi operasional melalui rekayasa ulang proses bisnis (</w:t>
      </w:r>
      <w:r>
        <w:rPr>
          <w:i/>
          <w:iCs/>
        </w:rPr>
        <w:t xml:space="preserve">process reengineering</w:t>
      </w:r>
      <w:r>
        <w:t xml:space="preserve">), penambahan staf pelayanan, serta otomatisasi verifikasi data.</w:t>
      </w:r>
    </w:p>
    <w:p>
      <w:pPr>
        <w:pStyle w:val="ListParagraph"/>
        <w:numPr>
          <w:ilvl w:val="0"/>
          <w:numId w:val="2"/>
        </w:numPr>
      </w:pPr>
      <w:r>
        <w:rPr>
          <w:b/>
          <w:bCs/>
        </w:rPr>
        <w:t xml:space="preserve">Developing Ports (Sirombu, Agats):</w:t>
      </w:r>
      <w:r>
        <w:t xml:space="preserve"> Fokus pada penguatan kapasitas organisasi, bimbingan teknis kompetensi digital, serta peningkatan keandalan infrastruktur jaringan internet di wilayah terpencil.</w:t>
      </w:r>
    </w:p>
    <w:p>
      <w:r>
        <w:t xml:space="preserve">Penelitian ini memiliki beberapa keterbatasan, termasuk cakupan data log yang terbatas pada satu tahun pengamatan (2025) dan fokus tunggal pada dokumen perizinan kedatangan kapal (PKK). Penelitian masa depan disarankan untuk memperluas cakupan dengan analisis data multi-tahun, mengintegrasikan dokumen digital kepelabuhanan lainnya (seperti persetujuan berangkat kapal/SPB), serta memasukkan variabel penjelas seperti kapasitas SDM dan tingkat anggaran guna menyajikan evaluasi kinerja digital kepelabuhanan yang semakin paripurna.</w:t>
      </w:r>
    </w:p>
    <w:p>
      <w:pPr>
        <w:pBdr>
          <w:bottom w:val="single" w:color="999999" w:sz="6" w:space="1"/>
        </w:pBdr>
      </w:pPr>
    </w:p>
    <w:p>
      <w:pPr>
        <w:pStyle w:val="Heading3"/>
      </w:pPr>
      <w:r>
        <w:t xml:space="preserve">Referensi</w:t>
      </w:r>
    </w:p>
    <w:p>
      <w:pPr>
        <w:pStyle w:val="ListParagraph"/>
        <w:numPr>
          <w:ilvl w:val="0"/>
          <w:numId w:val="1"/>
        </w:numPr>
      </w:pPr>
      <w:r>
        <w:t xml:space="preserve">Abuzaid, A., &amp; Alkrunz, I. (2024). A Comparative Study on Univariate Outlier Winsorization Methods in Data Science Context. </w:t>
      </w:r>
      <w:r>
        <w:rPr>
          <w:i/>
          <w:iCs/>
        </w:rPr>
        <w:t xml:space="preserve">Statistica Applicata</w:t>
      </w:r>
      <w:r>
        <w:t xml:space="preserve">, 36(1), 85-99.</w:t>
      </w:r>
    </w:p>
    <w:p>
      <w:pPr>
        <w:pStyle w:val="ListParagraph"/>
        <w:numPr>
          <w:ilvl w:val="0"/>
          <w:numId w:val="1"/>
        </w:numPr>
      </w:pPr>
      <w:r>
        <w:t xml:space="preserve">Admin, P. (2018). Kemenhub Luncurkan Aplikasi Inaportnet 2.0 dan DO Online di Lima Pelabuhan. Kementerian Perhubungan Republik Indonesia.</w:t>
      </w:r>
    </w:p>
    <w:p>
      <w:pPr>
        <w:pStyle w:val="ListParagraph"/>
        <w:numPr>
          <w:ilvl w:val="0"/>
          <w:numId w:val="1"/>
        </w:numPr>
      </w:pPr>
      <w:r>
        <w:t xml:space="preserve">Akinsolu, O., &amp; Krmac, E. (2025). Analyses of the container throughput: Case study on the selected ports of Europe and China. </w:t>
      </w:r>
      <w:r>
        <w:rPr>
          <w:i/>
          <w:iCs/>
        </w:rPr>
        <w:t xml:space="preserve">Transportation Research Procedia</w:t>
      </w:r>
      <w:r>
        <w:t xml:space="preserve">.</w:t>
      </w:r>
    </w:p>
    <w:p>
      <w:pPr>
        <w:pStyle w:val="ListParagraph"/>
        <w:numPr>
          <w:ilvl w:val="0"/>
          <w:numId w:val="1"/>
        </w:numPr>
      </w:pPr>
      <w:r>
        <w:t xml:space="preserve">Bindu, K. H., Raghava, M., Dey, N., &amp; Rao, C. R. (2019). Coefficient of variation and machine learning applications.</w:t>
      </w:r>
    </w:p>
    <w:p>
      <w:pPr>
        <w:pStyle w:val="ListParagraph"/>
        <w:numPr>
          <w:ilvl w:val="0"/>
          <w:numId w:val="1"/>
        </w:numPr>
      </w:pPr>
      <w:r>
        <w:t xml:space="preserve">Bolat, P., Kayı̇şoğlu, G., Güneş, E., Kizilay, F. E., &amp; Özsöğüt, S. (2020). Weighting Key Factors for Port Congestion by AHP Method. </w:t>
      </w:r>
      <w:r>
        <w:rPr>
          <w:i/>
          <w:iCs/>
        </w:rPr>
        <w:t xml:space="preserve">Journal of Eta Maritime Science</w:t>
      </w:r>
      <w:r>
        <w:t xml:space="preserve">, 8(4), 252-273.</w:t>
      </w:r>
    </w:p>
    <w:p>
      <w:pPr>
        <w:pStyle w:val="ListParagraph"/>
        <w:numPr>
          <w:ilvl w:val="0"/>
          <w:numId w:val="1"/>
        </w:numPr>
      </w:pPr>
      <w:r>
        <w:t xml:space="preserve">Business, I. (2026). Indonesia’s Maritime Economy Enters 2026 With Growth Ambitions, but Security Still Shapes the Trade Outlook.</w:t>
      </w:r>
    </w:p>
    <w:p>
      <w:pPr>
        <w:pStyle w:val="ListParagraph"/>
        <w:numPr>
          <w:ilvl w:val="0"/>
          <w:numId w:val="1"/>
        </w:numPr>
      </w:pPr>
      <w:r>
        <w:t xml:space="preserve">Deggim, H., Yasnikouski, J., &amp; Istanbullu, C. O. (2023). Supporting world trade through efficient maritime communications. </w:t>
      </w:r>
      <w:r>
        <w:rPr>
          <w:i/>
          <w:iCs/>
        </w:rPr>
        <w:t xml:space="preserve">ITU News</w:t>
      </w:r>
      <w:r>
        <w:t xml:space="preserve">(3), 38-41.</w:t>
      </w:r>
    </w:p>
    <w:p>
      <w:pPr>
        <w:pStyle w:val="ListParagraph"/>
        <w:numPr>
          <w:ilvl w:val="0"/>
          <w:numId w:val="1"/>
        </w:numPr>
      </w:pPr>
      <w:r>
        <w:t xml:space="preserve">Haddad, S., Mokdad, L., &amp; Youcef, S. (2010). Response time of BPEL4WS constructors. </w:t>
      </w:r>
      <w:r>
        <w:rPr>
          <w:i/>
          <w:iCs/>
        </w:rPr>
        <w:t xml:space="preserve">IEEE Symposium on Computers and Communications</w:t>
      </w:r>
      <w:r>
        <w:t xml:space="preserve">.</w:t>
      </w:r>
    </w:p>
    <w:p>
      <w:pPr>
        <w:pStyle w:val="ListParagraph"/>
        <w:numPr>
          <w:ilvl w:val="0"/>
          <w:numId w:val="1"/>
        </w:numPr>
      </w:pPr>
      <w:r>
        <w:t xml:space="preserve">Lee, I. C., Lu, J. F. R., Fu, C. W., &amp; Teng, C. I. (2017). Why can some service employees provide service of a consistently high quality while others cannot? </w:t>
      </w:r>
      <w:r>
        <w:rPr>
          <w:i/>
          <w:iCs/>
        </w:rPr>
        <w:t xml:space="preserve">Service Science</w:t>
      </w:r>
      <w:r>
        <w:t xml:space="preserve">, 9(2), 167-180.</w:t>
      </w:r>
    </w:p>
    <w:p>
      <w:pPr>
        <w:pStyle w:val="ListParagraph"/>
        <w:numPr>
          <w:ilvl w:val="0"/>
          <w:numId w:val="1"/>
        </w:numPr>
      </w:pPr>
      <w:r>
        <w:t xml:space="preserve">Parast, M., &amp; Golmohammadi, D. (2022). The Impact of Firm Size and Business Strategy on Response to Service Disruptions: Evidence From the U.S. Domestic Airline Industry. </w:t>
      </w:r>
      <w:r>
        <w:rPr>
          <w:i/>
          <w:iCs/>
        </w:rPr>
        <w:t xml:space="preserve">IEEE Transactions on Engineering Management</w:t>
      </w:r>
      <w:r>
        <w:t xml:space="preserve">, 69(5), 1944-1957.</w:t>
      </w:r>
    </w:p>
    <w:p>
      <w:pPr>
        <w:pStyle w:val="ListParagraph"/>
        <w:numPr>
          <w:ilvl w:val="0"/>
          <w:numId w:val="1"/>
        </w:numPr>
      </w:pPr>
      <w:r>
        <w:t xml:space="preserve">Saaty, T. L. (1980). </w:t>
      </w:r>
      <w:r>
        <w:rPr>
          <w:i/>
          <w:iCs/>
        </w:rPr>
        <w:t xml:space="preserve">The Analytic Hierarchy Process: Planning, Priority Setting, Resource Allocation</w:t>
      </w:r>
      <w:r>
        <w:t xml:space="preserve">. McGraw-Hill.</w:t>
      </w:r>
    </w:p>
    <w:p>
      <w:pPr>
        <w:pStyle w:val="ListParagraph"/>
        <w:numPr>
          <w:ilvl w:val="0"/>
          <w:numId w:val="1"/>
        </w:numPr>
      </w:pPr>
      <w:r>
        <w:t xml:space="preserve">Shanbhog, M., Chaudhary, K., Singh, M., &amp; Mishra, S. (2017). Development of secured trust SLA model from SLA life cycle phases. </w:t>
      </w:r>
      <w:r>
        <w:rPr>
          <w:i/>
          <w:iCs/>
        </w:rPr>
        <w:t xml:space="preserve">Communications in Computer and Information Science</w:t>
      </w:r>
      <w:r>
        <w:t xml:space="preserve">.</w:t>
      </w:r>
    </w:p>
    <w:p>
      <w:pPr>
        <w:pStyle w:val="ListParagraph"/>
        <w:numPr>
          <w:ilvl w:val="0"/>
          <w:numId w:val="1"/>
        </w:numPr>
      </w:pPr>
      <w:r>
        <w:t xml:space="preserve">Taylor, B. W. (2014). </w:t>
      </w:r>
      <w:r>
        <w:rPr>
          <w:i/>
          <w:iCs/>
        </w:rPr>
        <w:t xml:space="preserve">Introduction to Management Science</w:t>
      </w:r>
      <w:r>
        <w:t xml:space="preserve">. Salemba Empat.</w:t>
      </w:r>
    </w:p>
    <w:p>
      <w:pPr>
        <w:pStyle w:val="ListParagraph"/>
        <w:numPr>
          <w:ilvl w:val="0"/>
          <w:numId w:val="1"/>
        </w:numPr>
      </w:pPr>
      <w:r>
        <w:t xml:space="preserve">Wibisono, D. (2006). </w:t>
      </w:r>
      <w:r>
        <w:rPr>
          <w:i/>
          <w:iCs/>
        </w:rPr>
        <w:t xml:space="preserve">Manajemen Kinerja, Konsep, Desain dan Teknik: Meningkatkan Daya Saing Perusahaan</w:t>
      </w:r>
      <w:r>
        <w:t xml:space="preserve">. Erlangga.</w:t>
      </w:r>
    </w:p>
    <w:p>
      <w:pPr>
        <w:pStyle w:val="ListParagraph"/>
        <w:numPr>
          <w:ilvl w:val="0"/>
          <w:numId w:val="1"/>
        </w:numPr>
      </w:pPr>
      <w:r>
        <w:t xml:space="preserve">Yao, H., Ni, R., Chen, F., Wang, D., Zhang, M., &amp; Qi, Y. (2024). Berth utilization rate of coastal ports based on AIS big data coupling analysis. </w:t>
      </w:r>
      <w:r>
        <w:rPr>
          <w:i/>
          <w:iCs/>
        </w:rPr>
        <w:t xml:space="preserve">Port and Waterway Engineering</w:t>
      </w:r>
      <w:r>
        <w:t xml:space="preserve">(6), 184-192.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after="120" w:line="300"/>
      </w:pPr>
    </w:pPrDefault>
  </w:docDefaults>
  <w:style w:type="paragraph" w:styleId="Title">
    <w:name w:val="Title"/>
    <w:basedOn w:val="Normal"/>
    <w:next w:val="Normal"/>
    <w:qFormat/>
    <w:pPr>
      <w:spacing w:before="0" w:after="360"/>
      <w:jc w:val="left"/>
    </w:pPr>
    <w:rPr>
      <w:b/>
      <w:bCs/>
      <w:color w:val="1F1F1F"/>
      <w:sz w:val="48"/>
      <w:szCs w:val="48"/>
      <w:rFonts w:ascii="Calibri" w:cs="Calibri" w:eastAsia="Calibri" w:hAnsi="Calibri"/>
    </w:rPr>
  </w:style>
  <w:style w:type="paragraph" w:styleId="Heading1">
    <w:name w:val="Heading 1"/>
    <w:basedOn w:val="Normal"/>
    <w:next w:val="Normal"/>
    <w:qFormat/>
    <w:pPr>
      <w:spacing w:before="320" w:after="160"/>
    </w:pPr>
    <w:rPr>
      <w:b/>
      <w:bCs/>
      <w:color w:val="1F1F1F"/>
      <w:sz w:val="36"/>
      <w:szCs w:val="36"/>
      <w:rFonts w:ascii="Calibri" w:cs="Calibri" w:eastAsia="Calibri" w:hAnsi="Calibri"/>
    </w:rPr>
  </w:style>
  <w:style w:type="paragraph" w:styleId="Heading2">
    <w:name w:val="Heading 2"/>
    <w:basedOn w:val="Normal"/>
    <w:next w:val="Normal"/>
    <w:qFormat/>
    <w:pPr>
      <w:spacing w:before="280" w:after="140"/>
    </w:pPr>
    <w:rPr>
      <w:b/>
      <w:bCs/>
      <w:color w:val="1A73E8"/>
      <w:sz w:val="30"/>
      <w:szCs w:val="30"/>
      <w:rFonts w:ascii="Calibri" w:cs="Calibri" w:eastAsia="Calibri" w:hAnsi="Calibri"/>
    </w:rPr>
  </w:style>
  <w:style w:type="paragraph" w:styleId="Heading3">
    <w:name w:val="Heading 3"/>
    <w:basedOn w:val="Normal"/>
    <w:next w:val="Normal"/>
    <w:qFormat/>
    <w:pPr>
      <w:spacing w:before="240" w:after="100"/>
    </w:pPr>
    <w:rPr>
      <w:b/>
      <w:bCs/>
      <w:color w:val="1F1F1F"/>
      <w:sz w:val="26"/>
      <w:szCs w:val="26"/>
      <w:rFonts w:ascii="Calibri" w:cs="Calibri" w:eastAsia="Calibri" w:hAnsi="Calibri"/>
    </w:rPr>
  </w:style>
  <w:style w:type="paragraph" w:styleId="Heading4">
    <w:name w:val="Heading 4"/>
    <w:basedOn w:val="Normal"/>
    <w:next w:val="Normal"/>
    <w:qFormat/>
    <w:pPr>
      <w:spacing w:before="180" w:after="80"/>
    </w:pPr>
    <w:rPr>
      <w:b/>
      <w:bCs/>
      <w:color w:val="5F6368"/>
      <w:sz w:val="22"/>
      <w:szCs w:val="22"/>
      <w:rFonts w:ascii="Calibri" w:cs="Calibri" w:eastAsia="Calibri" w:hAnsi="Calibri"/>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InaportnetAnalytics - Gemini Notebook</dc:title>
  <dc:creator>NotebookLM to PDF</dc:creator>
  <cp:lastModifiedBy>Un-named</cp:lastModifiedBy>
  <cp:revision>1</cp:revision>
  <dcterms:created xsi:type="dcterms:W3CDTF">2026-08-04T09:59:32.284Z</dcterms:created>
  <dcterms:modified xsi:type="dcterms:W3CDTF">2026-08-04T09:59:32.284Z</dcterms:modified>
</cp:coreProperties>
</file>

<file path=docProps/custom.xml><?xml version="1.0" encoding="utf-8"?>
<Properties xmlns="http://schemas.openxmlformats.org/officeDocument/2006/custom-properties" xmlns:vt="http://schemas.openxmlformats.org/officeDocument/2006/docPropsVTypes"/>
</file>