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91" w:rsidRDefault="00930391" w:rsidP="00930391">
      <w:r>
        <w:t>Hello Eddie,</w:t>
      </w:r>
    </w:p>
    <w:p w:rsidR="00930391" w:rsidRDefault="00930391" w:rsidP="00930391"/>
    <w:p w:rsidR="00930391" w:rsidRDefault="00930391" w:rsidP="00930391">
      <w:r>
        <w:t>I’m out today, and will be out next week. For the acoustic test station, would it be possible for you to modify the limits? I know you are swamped, if this is not possible let me know.</w:t>
      </w:r>
    </w:p>
    <w:p w:rsidR="00930391" w:rsidRDefault="00930391" w:rsidP="00930391"/>
    <w:p w:rsidR="00930391" w:rsidRDefault="00930391" w:rsidP="00930391"/>
    <w:p w:rsidR="00930391" w:rsidRDefault="00930391" w:rsidP="00930391">
      <w:r>
        <w:t>Instead of a single pass/fail for each of the three distortion masks: 1.) Norm THD, 2.) Norm Rub and Buzz, and 3.) Perceptual Rub and Buzz</w:t>
      </w:r>
    </w:p>
    <w:p w:rsidR="00930391" w:rsidRDefault="00930391" w:rsidP="00930391"/>
    <w:p w:rsidR="00930391" w:rsidRDefault="00930391" w:rsidP="00930391">
      <w:r>
        <w:t>Can you separate the masks into 4 bands each?</w:t>
      </w:r>
    </w:p>
    <w:p w:rsidR="00930391" w:rsidRDefault="00930391" w:rsidP="00930391">
      <w:r>
        <w:t xml:space="preserve">Then the fault and rework codes will correspond to these failures: </w:t>
      </w:r>
    </w:p>
    <w:p w:rsidR="00930391" w:rsidRDefault="00930391" w:rsidP="00930391"/>
    <w:tbl>
      <w:tblPr>
        <w:tblW w:w="11420" w:type="dxa"/>
        <w:tblInd w:w="2" w:type="dxa"/>
        <w:tblCellMar>
          <w:left w:w="0" w:type="dxa"/>
          <w:right w:w="0" w:type="dxa"/>
        </w:tblCellMar>
        <w:tblLook w:val="04A0" w:firstRow="1" w:lastRow="0" w:firstColumn="1" w:lastColumn="0" w:noHBand="0" w:noVBand="1"/>
      </w:tblPr>
      <w:tblGrid>
        <w:gridCol w:w="1600"/>
        <w:gridCol w:w="4540"/>
        <w:gridCol w:w="5280"/>
      </w:tblGrid>
      <w:tr w:rsidR="00930391" w:rsidTr="00930391">
        <w:trPr>
          <w:trHeight w:val="288"/>
        </w:trPr>
        <w:tc>
          <w:tcPr>
            <w:tcW w:w="160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930391" w:rsidRDefault="00930391">
            <w:pPr>
              <w:rPr>
                <w:b/>
                <w:bCs/>
                <w:color w:val="000000"/>
                <w:sz w:val="20"/>
                <w:szCs w:val="20"/>
              </w:rPr>
            </w:pPr>
            <w:r>
              <w:rPr>
                <w:b/>
                <w:bCs/>
                <w:color w:val="000000"/>
                <w:sz w:val="20"/>
                <w:szCs w:val="20"/>
              </w:rPr>
              <w:t>Frequency Band</w:t>
            </w:r>
          </w:p>
        </w:tc>
        <w:tc>
          <w:tcPr>
            <w:tcW w:w="454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930391" w:rsidRDefault="00930391">
            <w:pPr>
              <w:rPr>
                <w:b/>
                <w:bCs/>
                <w:color w:val="000000"/>
                <w:sz w:val="20"/>
                <w:szCs w:val="20"/>
              </w:rPr>
            </w:pPr>
            <w:r>
              <w:rPr>
                <w:b/>
                <w:bCs/>
                <w:color w:val="000000"/>
                <w:sz w:val="20"/>
                <w:szCs w:val="20"/>
              </w:rPr>
              <w:t>Potential Fault (may be other causes)</w:t>
            </w:r>
          </w:p>
        </w:tc>
        <w:tc>
          <w:tcPr>
            <w:tcW w:w="528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930391" w:rsidRDefault="00930391">
            <w:pPr>
              <w:rPr>
                <w:b/>
                <w:bCs/>
                <w:color w:val="000000"/>
                <w:sz w:val="20"/>
                <w:szCs w:val="20"/>
              </w:rPr>
            </w:pPr>
            <w:r>
              <w:rPr>
                <w:b/>
                <w:bCs/>
                <w:color w:val="000000"/>
                <w:sz w:val="20"/>
                <w:szCs w:val="20"/>
              </w:rPr>
              <w:t>Re-work</w:t>
            </w:r>
          </w:p>
        </w:tc>
      </w:tr>
      <w:tr w:rsidR="00930391" w:rsidTr="00930391">
        <w:trPr>
          <w:trHeight w:val="522"/>
        </w:trPr>
        <w:tc>
          <w:tcPr>
            <w:tcW w:w="1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30391" w:rsidRDefault="00930391">
            <w:pPr>
              <w:jc w:val="right"/>
              <w:rPr>
                <w:color w:val="000000"/>
                <w:sz w:val="20"/>
                <w:szCs w:val="20"/>
              </w:rPr>
            </w:pPr>
            <w:r>
              <w:rPr>
                <w:color w:val="000000"/>
                <w:sz w:val="20"/>
                <w:szCs w:val="20"/>
              </w:rPr>
              <w:t>20-200</w:t>
            </w:r>
          </w:p>
        </w:tc>
        <w:tc>
          <w:tcPr>
            <w:tcW w:w="4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 xml:space="preserve">Bad Speaker, Bad Speaker to </w:t>
            </w:r>
            <w:proofErr w:type="spellStart"/>
            <w:r>
              <w:rPr>
                <w:color w:val="000000"/>
                <w:sz w:val="20"/>
                <w:szCs w:val="20"/>
              </w:rPr>
              <w:t>Headstrap</w:t>
            </w:r>
            <w:proofErr w:type="spellEnd"/>
            <w:r>
              <w:rPr>
                <w:color w:val="000000"/>
                <w:sz w:val="20"/>
                <w:szCs w:val="20"/>
              </w:rPr>
              <w:t xml:space="preserve"> connection, Bad </w:t>
            </w:r>
            <w:proofErr w:type="spellStart"/>
            <w:r>
              <w:rPr>
                <w:color w:val="000000"/>
                <w:sz w:val="20"/>
                <w:szCs w:val="20"/>
              </w:rPr>
              <w:t>Headstrap</w:t>
            </w:r>
            <w:proofErr w:type="spellEnd"/>
            <w:r>
              <w:rPr>
                <w:color w:val="000000"/>
                <w:sz w:val="20"/>
                <w:szCs w:val="20"/>
              </w:rPr>
              <w:t xml:space="preserve"> Construction</w:t>
            </w:r>
          </w:p>
        </w:tc>
        <w:tc>
          <w:tcPr>
            <w:tcW w:w="52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 xml:space="preserve">Replace speaker, replace </w:t>
            </w:r>
            <w:proofErr w:type="spellStart"/>
            <w:r>
              <w:rPr>
                <w:color w:val="000000"/>
                <w:sz w:val="20"/>
                <w:szCs w:val="20"/>
              </w:rPr>
              <w:t>headstrap</w:t>
            </w:r>
            <w:proofErr w:type="spellEnd"/>
          </w:p>
        </w:tc>
      </w:tr>
      <w:tr w:rsidR="00930391" w:rsidTr="00930391">
        <w:trPr>
          <w:trHeight w:val="288"/>
        </w:trPr>
        <w:tc>
          <w:tcPr>
            <w:tcW w:w="1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30391" w:rsidRDefault="00930391">
            <w:pPr>
              <w:jc w:val="right"/>
              <w:rPr>
                <w:color w:val="000000"/>
                <w:sz w:val="20"/>
                <w:szCs w:val="20"/>
              </w:rPr>
            </w:pPr>
            <w:r>
              <w:rPr>
                <w:color w:val="000000"/>
                <w:sz w:val="20"/>
                <w:szCs w:val="20"/>
              </w:rPr>
              <w:t>201-800</w:t>
            </w:r>
          </w:p>
        </w:tc>
        <w:tc>
          <w:tcPr>
            <w:tcW w:w="4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 xml:space="preserve">Bad </w:t>
            </w:r>
            <w:proofErr w:type="spellStart"/>
            <w:r>
              <w:rPr>
                <w:color w:val="000000"/>
                <w:sz w:val="20"/>
                <w:szCs w:val="20"/>
              </w:rPr>
              <w:t>Headstrap</w:t>
            </w:r>
            <w:proofErr w:type="spellEnd"/>
            <w:r>
              <w:rPr>
                <w:color w:val="000000"/>
                <w:sz w:val="20"/>
                <w:szCs w:val="20"/>
              </w:rPr>
              <w:t xml:space="preserve"> Construction</w:t>
            </w:r>
          </w:p>
        </w:tc>
        <w:tc>
          <w:tcPr>
            <w:tcW w:w="52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 xml:space="preserve">Replace </w:t>
            </w:r>
            <w:proofErr w:type="spellStart"/>
            <w:r>
              <w:rPr>
                <w:color w:val="000000"/>
                <w:sz w:val="20"/>
                <w:szCs w:val="20"/>
              </w:rPr>
              <w:t>headstrap</w:t>
            </w:r>
            <w:proofErr w:type="spellEnd"/>
            <w:r>
              <w:rPr>
                <w:color w:val="000000"/>
                <w:sz w:val="20"/>
                <w:szCs w:val="20"/>
              </w:rPr>
              <w:t xml:space="preserve">, (maybe add foam to rework </w:t>
            </w:r>
            <w:proofErr w:type="spellStart"/>
            <w:r>
              <w:rPr>
                <w:color w:val="000000"/>
                <w:sz w:val="20"/>
                <w:szCs w:val="20"/>
              </w:rPr>
              <w:t>headstraps</w:t>
            </w:r>
            <w:proofErr w:type="spellEnd"/>
            <w:r>
              <w:rPr>
                <w:color w:val="000000"/>
                <w:sz w:val="20"/>
                <w:szCs w:val="20"/>
              </w:rPr>
              <w:t>)</w:t>
            </w:r>
          </w:p>
        </w:tc>
      </w:tr>
      <w:tr w:rsidR="00930391" w:rsidTr="00930391">
        <w:trPr>
          <w:trHeight w:val="288"/>
        </w:trPr>
        <w:tc>
          <w:tcPr>
            <w:tcW w:w="1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30391" w:rsidRDefault="00930391">
            <w:pPr>
              <w:jc w:val="right"/>
              <w:rPr>
                <w:color w:val="000000"/>
                <w:sz w:val="20"/>
                <w:szCs w:val="20"/>
              </w:rPr>
            </w:pPr>
            <w:r>
              <w:rPr>
                <w:color w:val="000000"/>
                <w:sz w:val="20"/>
                <w:szCs w:val="20"/>
              </w:rPr>
              <w:t>801-6,000</w:t>
            </w:r>
          </w:p>
        </w:tc>
        <w:tc>
          <w:tcPr>
            <w:tcW w:w="4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Bad speaker metal grill (especially at 1-2kHz)</w:t>
            </w:r>
          </w:p>
        </w:tc>
        <w:tc>
          <w:tcPr>
            <w:tcW w:w="52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IGNORE FOR EV2 - needs new material (design)</w:t>
            </w:r>
          </w:p>
        </w:tc>
      </w:tr>
      <w:tr w:rsidR="00930391" w:rsidTr="00930391">
        <w:trPr>
          <w:trHeight w:val="522"/>
        </w:trPr>
        <w:tc>
          <w:tcPr>
            <w:tcW w:w="1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30391" w:rsidRDefault="00930391">
            <w:pPr>
              <w:jc w:val="right"/>
              <w:rPr>
                <w:color w:val="000000"/>
                <w:sz w:val="20"/>
                <w:szCs w:val="20"/>
              </w:rPr>
            </w:pPr>
            <w:r>
              <w:rPr>
                <w:color w:val="000000"/>
                <w:sz w:val="20"/>
                <w:szCs w:val="20"/>
              </w:rPr>
              <w:t>6,001-10,000</w:t>
            </w:r>
          </w:p>
        </w:tc>
        <w:tc>
          <w:tcPr>
            <w:tcW w:w="4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Unknown, maybe noise floor too high</w:t>
            </w:r>
          </w:p>
        </w:tc>
        <w:tc>
          <w:tcPr>
            <w:tcW w:w="52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If noise floor too high, check clay at back of box to make sure well sealed. (Especially at 10kHz)</w:t>
            </w:r>
          </w:p>
        </w:tc>
      </w:tr>
    </w:tbl>
    <w:p w:rsidR="00930391" w:rsidRDefault="00930391" w:rsidP="00930391"/>
    <w:p w:rsidR="00930391" w:rsidRDefault="00930391" w:rsidP="00930391">
      <w:r>
        <w:t xml:space="preserve">The 20-200 band and 201-800 band limit masks may need to go up slightly for EV2. </w:t>
      </w:r>
    </w:p>
    <w:p w:rsidR="00930391" w:rsidRDefault="00930391" w:rsidP="00930391">
      <w:r>
        <w:t xml:space="preserve">I audibly screens some units for best EV2 can do levels of distortion and maybe we can use these to set that threshold. They were used for lens rework. It is possible they broke on rework, but if we get statistics on these we can </w:t>
      </w:r>
      <w:proofErr w:type="gramStart"/>
      <w:r>
        <w:t>set  limit</w:t>
      </w:r>
      <w:proofErr w:type="gramEnd"/>
      <w:r>
        <w:t xml:space="preserve"> for EV2.</w:t>
      </w:r>
    </w:p>
    <w:p w:rsidR="00930391" w:rsidRDefault="00930391" w:rsidP="00930391"/>
    <w:p w:rsidR="00930391" w:rsidRDefault="00930391" w:rsidP="00930391">
      <w:r>
        <w:t xml:space="preserve">Pass units in the 801-6,000 Hz band. This may release some bad units that have non-grill failures, but I think it is an acceptable risk for </w:t>
      </w:r>
      <w:proofErr w:type="gramStart"/>
      <w:r>
        <w:t>a</w:t>
      </w:r>
      <w:proofErr w:type="gramEnd"/>
      <w:r>
        <w:t xml:space="preserve"> EV2 level system.</w:t>
      </w:r>
    </w:p>
    <w:p w:rsidR="00930391" w:rsidRDefault="00930391" w:rsidP="00930391"/>
    <w:p w:rsidR="00930391" w:rsidRDefault="00930391" w:rsidP="00930391">
      <w:pPr>
        <w:rPr>
          <w:color w:val="000000"/>
          <w:sz w:val="20"/>
          <w:szCs w:val="20"/>
        </w:rPr>
      </w:pPr>
      <w:r>
        <w:rPr>
          <w:color w:val="000000"/>
          <w:sz w:val="20"/>
          <w:szCs w:val="20"/>
        </w:rPr>
        <w:t xml:space="preserve">Other issues may be PCB components, HMD cables (need to wrap in foam the metal cable on top of PCB, or other parts), connection from </w:t>
      </w:r>
      <w:proofErr w:type="spellStart"/>
      <w:r>
        <w:rPr>
          <w:color w:val="000000"/>
          <w:sz w:val="20"/>
          <w:szCs w:val="20"/>
        </w:rPr>
        <w:t>headstrap</w:t>
      </w:r>
      <w:proofErr w:type="spellEnd"/>
      <w:r>
        <w:rPr>
          <w:color w:val="000000"/>
          <w:sz w:val="20"/>
          <w:szCs w:val="20"/>
        </w:rPr>
        <w:t xml:space="preserve"> to the HMD (i.e. pogo pins, loose screws,  poor connection, etc.), or breakage/defect</w:t>
      </w:r>
    </w:p>
    <w:p w:rsidR="00930391" w:rsidRDefault="00930391" w:rsidP="00930391"/>
    <w:tbl>
      <w:tblPr>
        <w:tblW w:w="11790" w:type="dxa"/>
        <w:tblCellMar>
          <w:left w:w="0" w:type="dxa"/>
          <w:right w:w="0" w:type="dxa"/>
        </w:tblCellMar>
        <w:tblLook w:val="04A0" w:firstRow="1" w:lastRow="0" w:firstColumn="1" w:lastColumn="0" w:noHBand="0" w:noVBand="1"/>
      </w:tblPr>
      <w:tblGrid>
        <w:gridCol w:w="7457"/>
        <w:gridCol w:w="4333"/>
      </w:tblGrid>
      <w:tr w:rsidR="00930391" w:rsidTr="00930391">
        <w:trPr>
          <w:trHeight w:val="288"/>
        </w:trPr>
        <w:tc>
          <w:tcPr>
            <w:tcW w:w="7460" w:type="dxa"/>
            <w:tcMar>
              <w:top w:w="0" w:type="dxa"/>
              <w:left w:w="108" w:type="dxa"/>
              <w:bottom w:w="0" w:type="dxa"/>
              <w:right w:w="108" w:type="dxa"/>
            </w:tcMar>
            <w:vAlign w:val="bottom"/>
            <w:hideMark/>
          </w:tcPr>
          <w:p w:rsidR="00930391" w:rsidRDefault="00930391">
            <w:pPr>
              <w:rPr>
                <w:b/>
                <w:bCs/>
                <w:color w:val="000000"/>
                <w:sz w:val="20"/>
                <w:szCs w:val="20"/>
              </w:rPr>
            </w:pPr>
            <w:r>
              <w:rPr>
                <w:b/>
                <w:bCs/>
                <w:color w:val="000000"/>
                <w:sz w:val="20"/>
                <w:szCs w:val="20"/>
              </w:rPr>
              <w:t>To Do:</w:t>
            </w:r>
          </w:p>
        </w:tc>
        <w:tc>
          <w:tcPr>
            <w:tcW w:w="4335" w:type="dxa"/>
            <w:vAlign w:val="center"/>
            <w:hideMark/>
          </w:tcPr>
          <w:p w:rsidR="00930391" w:rsidRDefault="00930391">
            <w:r>
              <w:t> </w:t>
            </w:r>
          </w:p>
        </w:tc>
      </w:tr>
      <w:tr w:rsidR="00930391" w:rsidTr="00930391">
        <w:trPr>
          <w:trHeight w:val="288"/>
        </w:trPr>
        <w:tc>
          <w:tcPr>
            <w:tcW w:w="11790" w:type="dxa"/>
            <w:gridSpan w:val="2"/>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 xml:space="preserve">Fix IQC </w:t>
            </w:r>
            <w:proofErr w:type="spellStart"/>
            <w:r>
              <w:rPr>
                <w:color w:val="000000"/>
                <w:sz w:val="20"/>
                <w:szCs w:val="20"/>
              </w:rPr>
              <w:t>headstrap</w:t>
            </w:r>
            <w:proofErr w:type="spellEnd"/>
            <w:r>
              <w:rPr>
                <w:color w:val="000000"/>
                <w:sz w:val="20"/>
                <w:szCs w:val="20"/>
              </w:rPr>
              <w:t xml:space="preserve"> station to properly screen issues</w:t>
            </w:r>
          </w:p>
        </w:tc>
      </w:tr>
      <w:tr w:rsidR="00930391" w:rsidTr="00930391">
        <w:trPr>
          <w:trHeight w:val="288"/>
        </w:trPr>
        <w:tc>
          <w:tcPr>
            <w:tcW w:w="11790" w:type="dxa"/>
            <w:gridSpan w:val="2"/>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 xml:space="preserve">Screen </w:t>
            </w:r>
            <w:proofErr w:type="spellStart"/>
            <w:r>
              <w:rPr>
                <w:color w:val="000000"/>
                <w:sz w:val="20"/>
                <w:szCs w:val="20"/>
              </w:rPr>
              <w:t>headstraps</w:t>
            </w:r>
            <w:proofErr w:type="spellEnd"/>
            <w:r>
              <w:rPr>
                <w:color w:val="000000"/>
                <w:sz w:val="20"/>
                <w:szCs w:val="20"/>
              </w:rPr>
              <w:t xml:space="preserve"> for "good" units</w:t>
            </w:r>
          </w:p>
        </w:tc>
      </w:tr>
      <w:tr w:rsidR="00930391" w:rsidTr="00930391">
        <w:trPr>
          <w:trHeight w:val="522"/>
        </w:trPr>
        <w:tc>
          <w:tcPr>
            <w:tcW w:w="11790" w:type="dxa"/>
            <w:gridSpan w:val="2"/>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 xml:space="preserve">On failed systems, replace the </w:t>
            </w:r>
            <w:proofErr w:type="spellStart"/>
            <w:r>
              <w:rPr>
                <w:color w:val="000000"/>
                <w:sz w:val="20"/>
                <w:szCs w:val="20"/>
              </w:rPr>
              <w:t>headstrap</w:t>
            </w:r>
            <w:proofErr w:type="spellEnd"/>
            <w:r>
              <w:rPr>
                <w:color w:val="000000"/>
                <w:sz w:val="20"/>
                <w:szCs w:val="20"/>
              </w:rPr>
              <w:t xml:space="preserve"> (If 20-200Hz, replacing the speaker makes more sense, if there was stock in-house.)</w:t>
            </w:r>
          </w:p>
        </w:tc>
      </w:tr>
      <w:tr w:rsidR="00930391" w:rsidTr="00930391">
        <w:trPr>
          <w:trHeight w:val="288"/>
        </w:trPr>
        <w:tc>
          <w:tcPr>
            <w:tcW w:w="11790" w:type="dxa"/>
            <w:gridSpan w:val="2"/>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Re-test</w:t>
            </w:r>
          </w:p>
        </w:tc>
      </w:tr>
      <w:tr w:rsidR="00930391" w:rsidTr="00930391">
        <w:trPr>
          <w:trHeight w:val="108"/>
        </w:trPr>
        <w:tc>
          <w:tcPr>
            <w:tcW w:w="11790" w:type="dxa"/>
            <w:gridSpan w:val="2"/>
            <w:tcMar>
              <w:top w:w="0" w:type="dxa"/>
              <w:left w:w="108" w:type="dxa"/>
              <w:bottom w:w="0" w:type="dxa"/>
              <w:right w:w="108" w:type="dxa"/>
            </w:tcMar>
            <w:vAlign w:val="bottom"/>
            <w:hideMark/>
          </w:tcPr>
          <w:p w:rsidR="00930391" w:rsidRDefault="00930391">
            <w:pPr>
              <w:rPr>
                <w:color w:val="000000"/>
                <w:sz w:val="20"/>
                <w:szCs w:val="20"/>
              </w:rPr>
            </w:pPr>
            <w:r>
              <w:rPr>
                <w:color w:val="000000"/>
                <w:sz w:val="20"/>
                <w:szCs w:val="20"/>
              </w:rPr>
              <w:t>If still fails, set aside HMD as potential other issue.</w:t>
            </w:r>
          </w:p>
        </w:tc>
      </w:tr>
    </w:tbl>
    <w:p w:rsidR="00930391" w:rsidRDefault="00930391" w:rsidP="00930391"/>
    <w:p w:rsidR="00930391" w:rsidRDefault="00930391" w:rsidP="00930391"/>
    <w:p w:rsidR="00930391" w:rsidRDefault="00930391" w:rsidP="00930391">
      <w:r>
        <w:t>Regards,</w:t>
      </w:r>
    </w:p>
    <w:p w:rsidR="00930391" w:rsidRDefault="00930391" w:rsidP="00930391">
      <w:r>
        <w:t>Joy</w:t>
      </w:r>
    </w:p>
    <w:p w:rsidR="00F6105A" w:rsidRDefault="00F6105A">
      <w:bookmarkStart w:id="0" w:name="_GoBack"/>
      <w:bookmarkEnd w:id="0"/>
    </w:p>
    <w:sectPr w:rsidR="00F6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8E"/>
    <w:rsid w:val="00696B8E"/>
    <w:rsid w:val="00930391"/>
    <w:rsid w:val="00F6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8F180-CACC-4043-B921-517B759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9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eddiek@valve.org</dc:creator>
  <cp:keywords/>
  <dc:description/>
  <cp:lastModifiedBy>eddiek@valve.org</cp:lastModifiedBy>
  <cp:revision>2</cp:revision>
  <dcterms:created xsi:type="dcterms:W3CDTF">2018-09-21T16:46:00Z</dcterms:created>
  <dcterms:modified xsi:type="dcterms:W3CDTF">2018-09-21T16:46:00Z</dcterms:modified>
</cp:coreProperties>
</file>