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Modeling Paradigm</w:t>
            </w:r>
          </w:p>
        </w:tc>
        <w:tc>
          <w:tcPr>
            <w:tcW w:type="dxa" w:w="1440"/>
          </w:tcPr>
          <w:p>
            <w:r>
              <w:t>Common Method</w:t>
            </w:r>
          </w:p>
        </w:tc>
        <w:tc>
          <w:tcPr>
            <w:tcW w:type="dxa" w:w="1440"/>
          </w:tcPr>
          <w:p>
            <w:r>
              <w:t>Structural Assumption</w:t>
            </w:r>
          </w:p>
        </w:tc>
        <w:tc>
          <w:tcPr>
            <w:tcW w:type="dxa" w:w="1440"/>
          </w:tcPr>
          <w:p>
            <w:r>
              <w:t>Predictive Output</w:t>
            </w:r>
          </w:p>
        </w:tc>
        <w:tc>
          <w:tcPr>
            <w:tcW w:type="dxa" w:w="1440"/>
          </w:tcPr>
          <w:p>
            <w:r>
              <w:t>Key UQ Limitation</w:t>
            </w:r>
          </w:p>
        </w:tc>
        <w:tc>
          <w:tcPr>
            <w:tcW w:type="dxa" w:w="1440"/>
          </w:tcPr>
          <w:p>
            <w:r>
              <w:t>Vulnerability under Non-Stationarity</w:t>
            </w:r>
          </w:p>
        </w:tc>
      </w:tr>
      <w:tr>
        <w:tc>
          <w:tcPr>
            <w:tcW w:type="dxa" w:w="1440"/>
          </w:tcPr>
          <w:p>
            <w:r>
              <w:t>Classical Econometrics</w:t>
            </w:r>
          </w:p>
        </w:tc>
        <w:tc>
          <w:tcPr>
            <w:tcW w:type="dxa" w:w="1440"/>
          </w:tcPr>
          <w:p>
            <w:r>
              <w:t>GARCH, ARCH</w:t>
            </w:r>
          </w:p>
        </w:tc>
        <w:tc>
          <w:tcPr>
            <w:tcW w:type="dxa" w:w="1440"/>
          </w:tcPr>
          <w:p>
            <w:r>
              <w:t>Rigid distribution (Gaussian/Student-t)</w:t>
            </w:r>
          </w:p>
        </w:tc>
        <w:tc>
          <w:tcPr>
            <w:tcW w:type="dxa" w:w="1440"/>
          </w:tcPr>
          <w:p>
            <w:r>
              <w:t>Volatility Parameter (σ_t)</w:t>
            </w:r>
          </w:p>
        </w:tc>
        <w:tc>
          <w:tcPr>
            <w:tcW w:type="dxa" w:w="1440"/>
          </w:tcPr>
          <w:p>
            <w:r>
              <w:t>Reliant on assumed residual distribution; fails under fat tails.</w:t>
            </w:r>
          </w:p>
        </w:tc>
        <w:tc>
          <w:tcPr>
            <w:tcW w:type="dxa" w:w="1440"/>
          </w:tcPr>
          <w:p>
            <w:r>
              <w:t>High. Misspecifies variance during abrupt structural breaks.</w:t>
            </w:r>
          </w:p>
        </w:tc>
      </w:tr>
      <w:tr>
        <w:tc>
          <w:tcPr>
            <w:tcW w:type="dxa" w:w="1440"/>
          </w:tcPr>
          <w:p>
            <w:r>
              <w:t>Standard Deep Learning</w:t>
            </w:r>
          </w:p>
        </w:tc>
        <w:tc>
          <w:tcPr>
            <w:tcW w:type="dxa" w:w="1440"/>
          </w:tcPr>
          <w:p>
            <w:r>
              <w:t>LSTM, GRU</w:t>
            </w:r>
          </w:p>
        </w:tc>
        <w:tc>
          <w:tcPr>
            <w:tcW w:type="dxa" w:w="1440"/>
          </w:tcPr>
          <w:p>
            <w:r>
              <w:t>Flexible (Non-linear sequence mapping)</w:t>
            </w:r>
          </w:p>
        </w:tc>
        <w:tc>
          <w:tcPr>
            <w:tcW w:type="dxa" w:w="1440"/>
          </w:tcPr>
          <w:p>
            <w:r>
              <w:t>Deterministic Point Forecast (ŷ_{t+1})</w:t>
            </w:r>
          </w:p>
        </w:tc>
        <w:tc>
          <w:tcPr>
            <w:tcW w:type="dxa" w:w="1440"/>
          </w:tcPr>
          <w:p>
            <w:r>
              <w:t>No inherent risk measurement; tends to be overconfident (Gal &amp; Ghahramani, 2016).</w:t>
            </w:r>
          </w:p>
        </w:tc>
        <w:tc>
          <w:tcPr>
            <w:tcW w:type="dxa" w:w="1440"/>
          </w:tcPr>
          <w:p>
            <w:r>
              <w:t>Severe. Degrades into overconfident guesswork without reliable risk guardrails.</w:t>
            </w:r>
          </w:p>
        </w:tc>
      </w:tr>
      <w:tr>
        <w:tc>
          <w:tcPr>
            <w:tcW w:type="dxa" w:w="1440"/>
          </w:tcPr>
          <w:p>
            <w:r>
              <w:t>Trustworthy DL (This Study)</w:t>
            </w:r>
          </w:p>
        </w:tc>
        <w:tc>
          <w:tcPr>
            <w:tcW w:type="dxa" w:w="1440"/>
          </w:tcPr>
          <w:p>
            <w:r>
              <w:t>CP-LSTM / CP-GRU</w:t>
            </w:r>
          </w:p>
        </w:tc>
        <w:tc>
          <w:tcPr>
            <w:tcW w:type="dxa" w:w="1440"/>
          </w:tcPr>
          <w:p>
            <w:r>
              <w:t>Minimal (Assumes bounded residuals, distribution-free)</w:t>
            </w:r>
          </w:p>
        </w:tc>
        <w:tc>
          <w:tcPr>
            <w:tcW w:type="dxa" w:w="1440"/>
          </w:tcPr>
          <w:p>
            <w:r>
              <w:t>Probabilistic Prediction Interval [L_t, U_t]</w:t>
            </w:r>
          </w:p>
        </w:tc>
        <w:tc>
          <w:tcPr>
            <w:tcW w:type="dxa" w:w="1440"/>
          </w:tcPr>
          <w:p>
            <w:r>
              <w:t>Balances coverage vs. width; explicit efficiency/reliability trade-off.</w:t>
            </w:r>
          </w:p>
        </w:tc>
        <w:tc>
          <w:tcPr>
            <w:tcW w:type="dxa" w:w="1440"/>
          </w:tcPr>
          <w:p>
            <w:r>
              <w:t>Mitigated. Adaptive CP methods update intervals dynamically.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