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C283" w14:textId="77777777" w:rsidR="00B864E3" w:rsidRPr="00B864E3" w:rsidRDefault="00B864E3" w:rsidP="00B864E3">
      <w:pPr>
        <w:rPr>
          <w:b/>
          <w:bCs/>
        </w:rPr>
      </w:pPr>
      <w:r w:rsidRPr="00B864E3">
        <w:rPr>
          <w:b/>
          <w:bCs/>
        </w:rPr>
        <w:t>OLIST — Marketing &amp; Growth Analytics</w:t>
      </w:r>
    </w:p>
    <w:p w14:paraId="7D7CF679" w14:textId="77777777" w:rsidR="00B864E3" w:rsidRPr="00B864E3" w:rsidRDefault="00B864E3" w:rsidP="00B864E3">
      <w:pPr>
        <w:rPr>
          <w:b/>
          <w:bCs/>
        </w:rPr>
      </w:pPr>
      <w:r w:rsidRPr="00B864E3">
        <w:rPr>
          <w:b/>
          <w:bCs/>
        </w:rPr>
        <w:t>Business Insights &amp; Recommendations</w:t>
      </w:r>
    </w:p>
    <w:p w14:paraId="3E088CD3" w14:textId="77777777" w:rsidR="00B864E3" w:rsidRPr="00B864E3" w:rsidRDefault="00B864E3" w:rsidP="00B864E3">
      <w:pPr>
        <w:rPr>
          <w:b/>
          <w:bCs/>
        </w:rPr>
      </w:pPr>
      <w:r w:rsidRPr="00B864E3">
        <w:rPr>
          <w:b/>
          <w:bCs/>
        </w:rPr>
        <w:t>Executive Summary</w:t>
      </w:r>
    </w:p>
    <w:p w14:paraId="690F40B5" w14:textId="152C98DB" w:rsidR="00B864E3" w:rsidRPr="00B864E3" w:rsidRDefault="00546818" w:rsidP="00B864E3">
      <w:r w:rsidRPr="00B864E3">
        <w:t>Analysed</w:t>
      </w:r>
      <w:r w:rsidR="00B864E3" w:rsidRPr="00B864E3">
        <w:t xml:space="preserve"> 8,000 marketing-qualified leads, 842 closed deals, and an e-commerce dataset containing 99,441 orders to evaluate acquisition performance, seller activity, and sales contribution.</w:t>
      </w:r>
    </w:p>
    <w:p w14:paraId="09325997" w14:textId="3430F8C0" w:rsidR="00B864E3" w:rsidRPr="00B864E3" w:rsidRDefault="00B864E3" w:rsidP="00B864E3">
      <w:r w:rsidRPr="00B864E3">
        <w:t xml:space="preserve">The overall lead-to-deal conversion rate was </w:t>
      </w:r>
      <w:r w:rsidRPr="00B864E3">
        <w:rPr>
          <w:b/>
          <w:bCs/>
        </w:rPr>
        <w:t>10.53%</w:t>
      </w:r>
      <w:r w:rsidRPr="00B864E3">
        <w:t xml:space="preserve">. Among sellers linked to marketing acquisition, 376 generated qualifying post-acquisition delivered sales </w:t>
      </w:r>
      <w:r w:rsidR="00FC2582" w:rsidRPr="00B864E3">
        <w:t>totalling</w:t>
      </w:r>
      <w:r w:rsidRPr="00B864E3">
        <w:t xml:space="preserve"> approximately </w:t>
      </w:r>
      <w:r w:rsidRPr="00B864E3">
        <w:rPr>
          <w:b/>
          <w:bCs/>
        </w:rPr>
        <w:t>R$664.86K</w:t>
      </w:r>
      <w:r w:rsidRPr="00B864E3">
        <w:t>.</w:t>
      </w:r>
    </w:p>
    <w:p w14:paraId="6BA3B6AB" w14:textId="77777777" w:rsidR="00B864E3" w:rsidRPr="00B864E3" w:rsidRDefault="00B864E3" w:rsidP="00B864E3">
      <w:pPr>
        <w:rPr>
          <w:b/>
          <w:bCs/>
        </w:rPr>
      </w:pPr>
      <w:r w:rsidRPr="00B864E3">
        <w:rPr>
          <w:b/>
          <w:bCs/>
        </w:rPr>
        <w:t>Key Business Insights</w:t>
      </w:r>
    </w:p>
    <w:p w14:paraId="02A39C89" w14:textId="77777777" w:rsidR="00B864E3" w:rsidRPr="00B864E3" w:rsidRDefault="00B864E3" w:rsidP="00B864E3">
      <w:r w:rsidRPr="00B864E3">
        <w:rPr>
          <w:b/>
          <w:bCs/>
        </w:rPr>
        <w:t>1. Organic Search drives the highest acquisition volume.</w:t>
      </w:r>
    </w:p>
    <w:p w14:paraId="59B8E226" w14:textId="77777777" w:rsidR="00B864E3" w:rsidRPr="00B864E3" w:rsidRDefault="00B864E3" w:rsidP="00B864E3">
      <w:r w:rsidRPr="00B864E3">
        <w:t>Organic Search generated 2,296 qualified leads and 271 closed deals, achieving an 11.80% conversion rate. It is the largest identifiable source of acquired sellers.</w:t>
      </w:r>
    </w:p>
    <w:p w14:paraId="24C8B65B" w14:textId="77777777" w:rsidR="00B864E3" w:rsidRPr="00B864E3" w:rsidRDefault="00B864E3" w:rsidP="00B864E3">
      <w:r w:rsidRPr="00B864E3">
        <w:rPr>
          <w:b/>
          <w:bCs/>
        </w:rPr>
        <w:t>2. Paid Search demonstrates strong conversion efficiency.</w:t>
      </w:r>
    </w:p>
    <w:p w14:paraId="430896C7" w14:textId="2AC8147C" w:rsidR="00B864E3" w:rsidRPr="00B864E3" w:rsidRDefault="00B864E3" w:rsidP="00B864E3">
      <w:r w:rsidRPr="00B864E3">
        <w:t xml:space="preserve">Paid Search achieved a 12.30% conversion rate, compared with 5.56% for Social and 3.04% for </w:t>
      </w:r>
      <w:r w:rsidR="00A77C4A" w:rsidRPr="00B864E3">
        <w:t>email</w:t>
      </w:r>
      <w:r w:rsidRPr="00B864E3">
        <w:t>.</w:t>
      </w:r>
    </w:p>
    <w:p w14:paraId="3B8D2257" w14:textId="77777777" w:rsidR="00B864E3" w:rsidRPr="00B864E3" w:rsidRDefault="00B864E3" w:rsidP="00B864E3">
      <w:r w:rsidRPr="00B864E3">
        <w:rPr>
          <w:b/>
          <w:bCs/>
        </w:rPr>
        <w:t>3. Marketing attribution requires improvement.</w:t>
      </w:r>
    </w:p>
    <w:p w14:paraId="306B3979" w14:textId="77777777" w:rsidR="00B864E3" w:rsidRPr="00B864E3" w:rsidRDefault="00B864E3" w:rsidP="00B864E3">
      <w:r w:rsidRPr="00B864E3">
        <w:t>The Unknown acquisition category accounts for 1,159 leads and 193 closed deals, with a 16.65% conversion rate. Its large contribution makes channel performance harder to interpret reliably.</w:t>
      </w:r>
    </w:p>
    <w:p w14:paraId="1C88B6F1" w14:textId="77777777" w:rsidR="00B864E3" w:rsidRPr="00B864E3" w:rsidRDefault="00B864E3" w:rsidP="00B864E3">
      <w:r w:rsidRPr="00B864E3">
        <w:rPr>
          <w:b/>
          <w:bCs/>
        </w:rPr>
        <w:t>4. Seller sales are highly concentrated.</w:t>
      </w:r>
    </w:p>
    <w:p w14:paraId="43DF092D" w14:textId="77777777" w:rsidR="00B864E3" w:rsidRPr="00B864E3" w:rsidRDefault="00B864E3" w:rsidP="00B864E3">
      <w:r w:rsidRPr="00B864E3">
        <w:t>Approximately 10% of active acquired sellers (38 sellers) generated 64.82% of qualifying post-acquisition product sales. This indicates dependence on a relatively small group of sellers.</w:t>
      </w:r>
    </w:p>
    <w:p w14:paraId="5E6FE414" w14:textId="77777777" w:rsidR="00B864E3" w:rsidRPr="00B864E3" w:rsidRDefault="00B864E3" w:rsidP="00B864E3">
      <w:r w:rsidRPr="00B864E3">
        <w:rPr>
          <w:b/>
          <w:bCs/>
        </w:rPr>
        <w:t>5. Closed deals do not guarantee observable marketplace activity.</w:t>
      </w:r>
    </w:p>
    <w:p w14:paraId="058DC037" w14:textId="77777777" w:rsidR="00B864E3" w:rsidRPr="00B864E3" w:rsidRDefault="00B864E3" w:rsidP="00B864E3">
      <w:r w:rsidRPr="00B864E3">
        <w:t>Of 842 closed deals, 462 did not match sellers in the e-commerce seller dataset. This may reflect differences in dataset coverage and should not automatically be interpreted as seller inactivity.</w:t>
      </w:r>
    </w:p>
    <w:p w14:paraId="2A13B581" w14:textId="77777777" w:rsidR="00B864E3" w:rsidRPr="00B864E3" w:rsidRDefault="00B864E3" w:rsidP="00B864E3">
      <w:pPr>
        <w:rPr>
          <w:b/>
          <w:bCs/>
        </w:rPr>
      </w:pPr>
      <w:r w:rsidRPr="00B864E3">
        <w:rPr>
          <w:b/>
          <w:bCs/>
        </w:rPr>
        <w:t>Business Recommendations</w:t>
      </w:r>
    </w:p>
    <w:p w14:paraId="5126E031" w14:textId="77777777" w:rsidR="00B864E3" w:rsidRPr="00B864E3" w:rsidRDefault="00B864E3" w:rsidP="00B864E3">
      <w:r w:rsidRPr="00B864E3">
        <w:rPr>
          <w:b/>
          <w:bCs/>
        </w:rPr>
        <w:t>Recommendation 1 — Improve marketing attribution.</w:t>
      </w:r>
    </w:p>
    <w:p w14:paraId="5B7398D5" w14:textId="77777777" w:rsidR="00B864E3" w:rsidRPr="00B864E3" w:rsidRDefault="00B864E3" w:rsidP="00B864E3">
      <w:r w:rsidRPr="00B864E3">
        <w:t>Investigate missing acquisition-source information and standardize channel tracking to reduce the Unknown category.</w:t>
      </w:r>
    </w:p>
    <w:p w14:paraId="7CBB05D5" w14:textId="77777777" w:rsidR="00B864E3" w:rsidRPr="00B864E3" w:rsidRDefault="00B864E3" w:rsidP="00B864E3">
      <w:r w:rsidRPr="00B864E3">
        <w:rPr>
          <w:b/>
          <w:bCs/>
        </w:rPr>
        <w:t>Recommendation 2 — Investigate channel conversion differences.</w:t>
      </w:r>
    </w:p>
    <w:p w14:paraId="2DDBB025" w14:textId="77777777" w:rsidR="00B864E3" w:rsidRPr="00B864E3" w:rsidRDefault="00B864E3" w:rsidP="00B864E3">
      <w:r w:rsidRPr="00B864E3">
        <w:t>Examine lead quality and sales follow-up processes across Paid Search, Organic Search, Social, and Email before reallocating marketing budgets.</w:t>
      </w:r>
    </w:p>
    <w:p w14:paraId="60014758" w14:textId="77777777" w:rsidR="00B864E3" w:rsidRPr="00B864E3" w:rsidRDefault="00B864E3" w:rsidP="00B864E3">
      <w:r w:rsidRPr="00B864E3">
        <w:rPr>
          <w:b/>
          <w:bCs/>
        </w:rPr>
        <w:t>Recommendation 3 — Strengthen seller activation and retention.</w:t>
      </w:r>
    </w:p>
    <w:p w14:paraId="2C1AD4E2" w14:textId="554D1D1E" w:rsidR="00B864E3" w:rsidRPr="00B864E3" w:rsidRDefault="00A601DD" w:rsidP="00B864E3">
      <w:r w:rsidRPr="00B864E3">
        <w:t>Analyse</w:t>
      </w:r>
      <w:r w:rsidR="00B864E3" w:rsidRPr="00B864E3">
        <w:t xml:space="preserve"> the onboarding and engagement characteristics of high-performing sellers to identify opportunities to support other acquired sellers.</w:t>
      </w:r>
    </w:p>
    <w:p w14:paraId="1C65BABF" w14:textId="77777777" w:rsidR="00B864E3" w:rsidRPr="00B864E3" w:rsidRDefault="00B864E3" w:rsidP="00B864E3">
      <w:r w:rsidRPr="00B864E3">
        <w:rPr>
          <w:b/>
          <w:bCs/>
        </w:rPr>
        <w:t>Recommendation 4 — Reduce revenue concentration risk.</w:t>
      </w:r>
    </w:p>
    <w:p w14:paraId="05B9E04C" w14:textId="77777777" w:rsidR="00B864E3" w:rsidRPr="00B864E3" w:rsidRDefault="00B864E3" w:rsidP="00B864E3">
      <w:r w:rsidRPr="00B864E3">
        <w:t>Track dependence on high-performing sellers and develop initiatives to help more sellers generate consistent sales.</w:t>
      </w:r>
    </w:p>
    <w:p w14:paraId="46DE6BD9" w14:textId="77777777" w:rsidR="00B864E3" w:rsidRPr="00B864E3" w:rsidRDefault="00B864E3" w:rsidP="00B864E3">
      <w:r w:rsidRPr="00B864E3">
        <w:rPr>
          <w:b/>
          <w:bCs/>
        </w:rPr>
        <w:t>Recommendation 5 — Improve acquisition-to-transaction tracking.</w:t>
      </w:r>
    </w:p>
    <w:p w14:paraId="5DDC2C10" w14:textId="77777777" w:rsidR="00B864E3" w:rsidRPr="00B864E3" w:rsidRDefault="00B864E3" w:rsidP="00B864E3">
      <w:r w:rsidRPr="00B864E3">
        <w:lastRenderedPageBreak/>
        <w:t>Introduce reliable tracking from closed deal to seller activation and first transaction to improve the measurement of acquisition outcomes.</w:t>
      </w:r>
    </w:p>
    <w:p w14:paraId="62933F8C" w14:textId="77777777" w:rsidR="00B864E3" w:rsidRPr="00B864E3" w:rsidRDefault="00B864E3" w:rsidP="00B864E3">
      <w:pPr>
        <w:rPr>
          <w:b/>
          <w:bCs/>
        </w:rPr>
      </w:pPr>
      <w:r w:rsidRPr="00B864E3">
        <w:rPr>
          <w:b/>
          <w:bCs/>
        </w:rPr>
        <w:t>Analytical Limitations</w:t>
      </w:r>
    </w:p>
    <w:p w14:paraId="45F9C09D" w14:textId="77777777" w:rsidR="00B864E3" w:rsidRPr="00B864E3" w:rsidRDefault="00B864E3" w:rsidP="00B864E3">
      <w:pPr>
        <w:numPr>
          <w:ilvl w:val="0"/>
          <w:numId w:val="1"/>
        </w:numPr>
      </w:pPr>
      <w:r w:rsidRPr="00B864E3">
        <w:t>Advertising spend was unavailable, so CAC, ROAS, and marketing profitability could not be calculated.</w:t>
      </w:r>
    </w:p>
    <w:p w14:paraId="195F3050" w14:textId="77777777" w:rsidR="00B864E3" w:rsidRPr="00B864E3" w:rsidRDefault="00B864E3" w:rsidP="00B864E3">
      <w:pPr>
        <w:numPr>
          <w:ilvl w:val="0"/>
          <w:numId w:val="1"/>
        </w:numPr>
      </w:pPr>
      <w:r w:rsidRPr="00B864E3">
        <w:t>Post-acquisition sales are associated with acquired sellers; they are not proven incremental revenue caused by marketing.</w:t>
      </w:r>
    </w:p>
    <w:p w14:paraId="73CD2867" w14:textId="77777777" w:rsidR="00B864E3" w:rsidRPr="00B864E3" w:rsidRDefault="00B864E3" w:rsidP="00B864E3">
      <w:pPr>
        <w:numPr>
          <w:ilvl w:val="0"/>
          <w:numId w:val="1"/>
        </w:numPr>
      </w:pPr>
      <w:r w:rsidRPr="00B864E3">
        <w:t>Sales calculations include delivered orders purchased on or after the seller's recorded deal-closing date and exclude freight.</w:t>
      </w:r>
    </w:p>
    <w:p w14:paraId="2093F23A" w14:textId="77777777" w:rsidR="00B864E3" w:rsidRPr="00B864E3" w:rsidRDefault="00B864E3" w:rsidP="00B864E3">
      <w:pPr>
        <w:numPr>
          <w:ilvl w:val="0"/>
          <w:numId w:val="1"/>
        </w:numPr>
      </w:pPr>
      <w:r w:rsidRPr="00B864E3">
        <w:t>Revenue concentration was calculated in Python and represented as a fixed historical result in Power BI.</w:t>
      </w:r>
    </w:p>
    <w:p w14:paraId="66C069D1" w14:textId="77777777" w:rsidR="00B864E3" w:rsidRPr="00B864E3" w:rsidRDefault="00B864E3" w:rsidP="00B864E3">
      <w:pPr>
        <w:numPr>
          <w:ilvl w:val="0"/>
          <w:numId w:val="1"/>
        </w:numPr>
      </w:pPr>
      <w:r w:rsidRPr="00B864E3">
        <w:t>The e-commerce and marketing datasets have coverage limitations that affect seller matching.</w:t>
      </w:r>
    </w:p>
    <w:p w14:paraId="7EA87374" w14:textId="77777777" w:rsidR="00B864E3" w:rsidRPr="00B864E3" w:rsidRDefault="00B864E3" w:rsidP="00B864E3">
      <w:pPr>
        <w:rPr>
          <w:b/>
          <w:bCs/>
        </w:rPr>
      </w:pPr>
      <w:r w:rsidRPr="00B864E3">
        <w:rPr>
          <w:b/>
          <w:bCs/>
        </w:rPr>
        <w:t>Conclusion</w:t>
      </w:r>
    </w:p>
    <w:p w14:paraId="0DC3A074" w14:textId="7A2EB7EC" w:rsidR="00AF5630" w:rsidRDefault="00B864E3">
      <w:r w:rsidRPr="00B864E3">
        <w:t>Organic Search and Paid Search are important identifiable acquisition channels. However, incomplete attribution, uneven conversion performance, and concentrated seller sales present opportunities for improved tracking, acquisition quality analysis, and seller development.</w:t>
      </w:r>
    </w:p>
    <w:sectPr w:rsidR="00AF5630" w:rsidSect="00C550F2">
      <w:pgSz w:w="11906" w:h="16838"/>
      <w:pgMar w:top="63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B3ED2"/>
    <w:multiLevelType w:val="multilevel"/>
    <w:tmpl w:val="DF7C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447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986"/>
    <w:rsid w:val="00146B66"/>
    <w:rsid w:val="003B3E1E"/>
    <w:rsid w:val="003D268B"/>
    <w:rsid w:val="00546818"/>
    <w:rsid w:val="00646A35"/>
    <w:rsid w:val="006A77CC"/>
    <w:rsid w:val="00921CE3"/>
    <w:rsid w:val="00A601DD"/>
    <w:rsid w:val="00A77C4A"/>
    <w:rsid w:val="00AC3759"/>
    <w:rsid w:val="00AF5630"/>
    <w:rsid w:val="00B86190"/>
    <w:rsid w:val="00B864E3"/>
    <w:rsid w:val="00C16305"/>
    <w:rsid w:val="00C550F2"/>
    <w:rsid w:val="00EE0986"/>
    <w:rsid w:val="00FC2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4E17"/>
  <w15:chartTrackingRefBased/>
  <w15:docId w15:val="{B5DCD69B-6C9A-40FF-8576-C46FB2B5B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9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09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09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09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09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0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9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09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09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09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09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0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986"/>
    <w:rPr>
      <w:rFonts w:eastAsiaTheme="majorEastAsia" w:cstheme="majorBidi"/>
      <w:color w:val="272727" w:themeColor="text1" w:themeTint="D8"/>
    </w:rPr>
  </w:style>
  <w:style w:type="paragraph" w:styleId="Title">
    <w:name w:val="Title"/>
    <w:basedOn w:val="Normal"/>
    <w:next w:val="Normal"/>
    <w:link w:val="TitleChar"/>
    <w:uiPriority w:val="10"/>
    <w:qFormat/>
    <w:rsid w:val="00EE0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986"/>
    <w:pPr>
      <w:spacing w:before="160"/>
      <w:jc w:val="center"/>
    </w:pPr>
    <w:rPr>
      <w:i/>
      <w:iCs/>
      <w:color w:val="404040" w:themeColor="text1" w:themeTint="BF"/>
    </w:rPr>
  </w:style>
  <w:style w:type="character" w:customStyle="1" w:styleId="QuoteChar">
    <w:name w:val="Quote Char"/>
    <w:basedOn w:val="DefaultParagraphFont"/>
    <w:link w:val="Quote"/>
    <w:uiPriority w:val="29"/>
    <w:rsid w:val="00EE0986"/>
    <w:rPr>
      <w:i/>
      <w:iCs/>
      <w:color w:val="404040" w:themeColor="text1" w:themeTint="BF"/>
    </w:rPr>
  </w:style>
  <w:style w:type="paragraph" w:styleId="ListParagraph">
    <w:name w:val="List Paragraph"/>
    <w:basedOn w:val="Normal"/>
    <w:uiPriority w:val="34"/>
    <w:qFormat/>
    <w:rsid w:val="00EE0986"/>
    <w:pPr>
      <w:ind w:left="720"/>
      <w:contextualSpacing/>
    </w:pPr>
  </w:style>
  <w:style w:type="character" w:styleId="IntenseEmphasis">
    <w:name w:val="Intense Emphasis"/>
    <w:basedOn w:val="DefaultParagraphFont"/>
    <w:uiPriority w:val="21"/>
    <w:qFormat/>
    <w:rsid w:val="00EE0986"/>
    <w:rPr>
      <w:i/>
      <w:iCs/>
      <w:color w:val="2F5496" w:themeColor="accent1" w:themeShade="BF"/>
    </w:rPr>
  </w:style>
  <w:style w:type="paragraph" w:styleId="IntenseQuote">
    <w:name w:val="Intense Quote"/>
    <w:basedOn w:val="Normal"/>
    <w:next w:val="Normal"/>
    <w:link w:val="IntenseQuoteChar"/>
    <w:uiPriority w:val="30"/>
    <w:qFormat/>
    <w:rsid w:val="00EE0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0986"/>
    <w:rPr>
      <w:i/>
      <w:iCs/>
      <w:color w:val="2F5496" w:themeColor="accent1" w:themeShade="BF"/>
    </w:rPr>
  </w:style>
  <w:style w:type="character" w:styleId="IntenseReference">
    <w:name w:val="Intense Reference"/>
    <w:basedOn w:val="DefaultParagraphFont"/>
    <w:uiPriority w:val="32"/>
    <w:qFormat/>
    <w:rsid w:val="00EE09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Ekansh Mathur</dc:creator>
  <cp:keywords/>
  <dc:description/>
  <cp:lastModifiedBy>Ekansh Mathur</cp:lastModifiedBy>
  <cp:revision>10</cp:revision>
  <dcterms:created xsi:type="dcterms:W3CDTF">2026-10-15T09:11:00Z</dcterms:created>
  <dcterms:modified xsi:type="dcterms:W3CDTF">2026-10-15T09:13:00Z</dcterms:modified>
</cp:coreProperties>
</file>