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7.png" ContentType="image/png"/>
  <Override PartName="/word/media/rId5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w:t>
      </w:r>
      <w:r>
        <w:t xml:space="preserve"> </w:t>
      </w:r>
      <w:r>
        <w:t xml:space="preserve">Technologies</w:t>
      </w:r>
      <w:r>
        <w:t xml:space="preserve"> </w:t>
      </w:r>
      <w:r>
        <w:t xml:space="preserve">as</w:t>
      </w:r>
      <w:r>
        <w:t xml:space="preserve"> </w:t>
      </w:r>
      <w:r>
        <w:t xml:space="preserve">Strategic</w:t>
      </w:r>
      <w:r>
        <w:t xml:space="preserve"> </w:t>
      </w:r>
      <w:r>
        <w:t xml:space="preserve">Infrastructure:</w:t>
      </w:r>
      <w:r>
        <w:t xml:space="preserve"> </w:t>
      </w:r>
      <w:r>
        <w:t xml:space="preserve">Evidence,</w:t>
      </w:r>
      <w:r>
        <w:t xml:space="preserve"> </w:t>
      </w:r>
      <w:r>
        <w:t xml:space="preserve">Adoption</w:t>
      </w:r>
      <w:r>
        <w:t xml:space="preserve"> </w:t>
      </w:r>
      <w:r>
        <w:t xml:space="preserve">Pathways,</w:t>
      </w:r>
      <w:r>
        <w:t xml:space="preserve"> </w:t>
      </w:r>
      <w:r>
        <w:t xml:space="preserve">and</w:t>
      </w:r>
      <w:r>
        <w:t xml:space="preserve"> </w:t>
      </w:r>
      <w:r>
        <w:t xml:space="preserve">a</w:t>
      </w:r>
      <w:r>
        <w:t xml:space="preserve"> </w:t>
      </w:r>
      <w:r>
        <w:t xml:space="preserve">National</w:t>
      </w:r>
      <w:r>
        <w:t xml:space="preserve"> </w:t>
      </w:r>
      <w:r>
        <w:t xml:space="preserve">Research</w:t>
      </w:r>
      <w:r>
        <w:t xml:space="preserve"> </w:t>
      </w:r>
      <w:r>
        <w:t xml:space="preserve">Agenda</w:t>
      </w:r>
      <w:r>
        <w:t xml:space="preserve"> </w:t>
      </w:r>
      <w:r>
        <w:t xml:space="preserve">for</w:t>
      </w:r>
      <w:r>
        <w:t xml:space="preserve"> </w:t>
      </w:r>
      <w:r>
        <w:t xml:space="preserve">2025-2035</w:t>
      </w:r>
    </w:p>
    <w:p>
      <w:pPr>
        <w:pStyle w:val="Author"/>
      </w:pPr>
      <w:r>
        <w:t xml:space="preserve">Edgar</w:t>
      </w:r>
      <w:r>
        <w:t xml:space="preserve"> </w:t>
      </w:r>
      <w:r>
        <w:t xml:space="preserve">Valdés,</w:t>
      </w:r>
      <w:r>
        <w:t xml:space="preserve"> </w:t>
      </w:r>
      <w:r>
        <w:t xml:space="preserve">Hadox</w:t>
      </w:r>
      <w:r>
        <w:t xml:space="preserve"> </w:t>
      </w:r>
      <w:r>
        <w:t xml:space="preserve">Research</w:t>
      </w:r>
      <w:r>
        <w:t xml:space="preserve"> </w:t>
      </w:r>
      <w:r>
        <w:t xml:space="preserve">Labs</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Quantum technologies have moved from a predominantly scientific programme into a strategic infrastructure domain affecting computation, sensing, communications, cybersecurity, industrial research, and national innovation policy. The 2025-2035 adoption horizon is examined through an integrative synthesis of the quantum information science literature, innovation systems theory, enterprise-adoption research, OECD national strategy data, OECD-EPO patent mapping, OpenAlex bibliometric indicators, NIST standards, high-performance computing (HPC) integration studies, and public readiness surveys. The analysis finds that quantum adoption is not a single market transition but a layered capability transition: post-quantum cryptography and selected quantum sensing applications already have institutional relevance; quantum communication develops through specialized network and security testbeds; and general-purpose quantum computing remains contingent on error correction, logical-qubit economics, application-level benchmarking, hybrid quantum-classical integration, and the ability to couple quantum processing units to HPC environments. The empirical record shows acceleration as well as structural unevenness. Governments had announced approximately USD 55.7 billion in quantum commitments by October 2025; OECD Fundstat identified USD 11.235 billion PPP in 12,209 quantum-related R&amp;D awards during 2015-2023; OECD-EPO mapping identified 31,700 quantum patent families from 2005-2024; and OpenAlex bibliometrics show a publication geography concentrated in the United States, China, Germany, the United Kingdom, and France. These findings support a shift from hardware-centered readiness metrics toward absorptive capacity: the capacity of firms and states to understand, test, benchmark, procure, secure, regulate, and eventually produce quantum technologies. The article concludes with a staged roadmap, a critique of common adoption errors, and a frontier research agenda for nations seeking long-term technological sovereignty.</w:t>
      </w:r>
    </w:p>
    <w:p>
      <w:pPr>
        <w:pStyle w:val="BodyText"/>
      </w:pPr>
      <w:r>
        <w:rPr>
          <w:b/>
          <w:bCs/>
        </w:rPr>
        <w:t xml:space="preserve">Keywords:</w:t>
      </w:r>
      <w:r>
        <w:t xml:space="preserve"> </w:t>
      </w:r>
      <w:r>
        <w:t xml:space="preserve">quantum technologies, quantum computing, quantum sensing, post-quantum cryptography, quantum communication, national innovation systems, absorptive capacity, quantum policy, strategic infrastructure</w:t>
      </w:r>
    </w:p>
    <w:bookmarkEnd w:id="20"/>
    <w:bookmarkStart w:id="21" w:name="introduction"/>
    <w:p>
      <w:pPr>
        <w:pStyle w:val="Heading1"/>
      </w:pPr>
      <w:r>
        <w:t xml:space="preserve">1. Introduction</w:t>
      </w:r>
    </w:p>
    <w:p>
      <w:pPr>
        <w:pStyle w:val="FirstParagraph"/>
      </w:pPr>
      <w:r>
        <w:t xml:space="preserve">The term</w:t>
      </w:r>
      <w:r>
        <w:t xml:space="preserve"> </w:t>
      </w:r>
      <w:r>
        <w:t xml:space="preserve">“</w:t>
      </w:r>
      <w:r>
        <w:t xml:space="preserve">quantum technology</w:t>
      </w:r>
      <w:r>
        <w:t xml:space="preserve">”</w:t>
      </w:r>
      <w:r>
        <w:t xml:space="preserve"> </w:t>
      </w:r>
      <w:r>
        <w:t xml:space="preserve">now carries two different meanings. In public discourse it is often used as a synonym for quantum computing, accompanied by claims that quantum processors will soon transform every computational problem. In the research literature it denotes a broader family of technologies that exploit controlled quantum states for computation, measurement, communication, simulation, timing, and security</w:t>
      </w:r>
      <w:r>
        <w:t xml:space="preserve"> </w:t>
      </w:r>
      <w:r>
        <w:t xml:space="preserve">(</w:t>
      </w:r>
      <w:hyperlink w:anchor="ref-dowling2003">
        <w:r>
          <w:rPr>
            <w:rStyle w:val="Hyperlink"/>
          </w:rPr>
          <w:t xml:space="preserve">Dowling and Milburn 2003</w:t>
        </w:r>
      </w:hyperlink>
      <w:r>
        <w:t xml:space="preserve">;</w:t>
      </w:r>
      <w:r>
        <w:t xml:space="preserve"> </w:t>
      </w:r>
      <w:hyperlink w:anchor="ref-acin2018">
        <w:r>
          <w:rPr>
            <w:rStyle w:val="Hyperlink"/>
          </w:rPr>
          <w:t xml:space="preserve">Acin et al. 2018</w:t>
        </w:r>
      </w:hyperlink>
      <w:r>
        <w:t xml:space="preserve">)</w:t>
      </w:r>
      <w:r>
        <w:t xml:space="preserve">. This distinction is analytically consequential because it changes how adoption, policy, investment, and national strategy are evaluated.</w:t>
      </w:r>
    </w:p>
    <w:p>
      <w:pPr>
        <w:pStyle w:val="BodyText"/>
      </w:pPr>
      <w:r>
        <w:t xml:space="preserve">The first quantum revolution produced technologies such as transistors, lasers, magnetic resonance imaging, semiconductor electronics, and atomic clocks. These devices used quantum theory indirectly, often through bulk or statistical properties of matter. The second quantum revolution is different because it seeks direct engineering of individual or collective quantum states, including superposition, entanglement, squeezing, tunneling, and measurement back-action</w:t>
      </w:r>
      <w:r>
        <w:t xml:space="preserve"> </w:t>
      </w:r>
      <w:r>
        <w:t xml:space="preserve">(</w:t>
      </w:r>
      <w:hyperlink w:anchor="ref-dowling2003">
        <w:r>
          <w:rPr>
            <w:rStyle w:val="Hyperlink"/>
          </w:rPr>
          <w:t xml:space="preserve">Dowling and Milburn 2003</w:t>
        </w:r>
      </w:hyperlink>
      <w:r>
        <w:t xml:space="preserve">;</w:t>
      </w:r>
      <w:r>
        <w:t xml:space="preserve"> </w:t>
      </w:r>
      <w:hyperlink w:anchor="ref-giovannetti2011">
        <w:r>
          <w:rPr>
            <w:rStyle w:val="Hyperlink"/>
          </w:rPr>
          <w:t xml:space="preserve">Giovannetti, Lloyd, and Maccone 2011</w:t>
        </w:r>
      </w:hyperlink>
      <w:r>
        <w:t xml:space="preserve">)</w:t>
      </w:r>
      <w:r>
        <w:t xml:space="preserve">. Quantum technologies therefore sit at the boundary between physics and infrastructure. They are scientific instruments, but they are also future components of cybersecurity, finance, telecommunications, energy, medicine, logistics, materials discovery, defense, and public administration.</w:t>
      </w:r>
    </w:p>
    <w:p>
      <w:pPr>
        <w:pStyle w:val="BodyText"/>
      </w:pPr>
      <w:r>
        <w:t xml:space="preserve">The analysis treats quantum technologies as strategic infrastructure. That framing has three implications. First, quantum technologies are not a single product market. They form a stack of scientific, industrial, software, security, metrology, and governance capabilities. Second, their economic value will not be captured simply by the earliest vendors or by the largest hardware announcements. It will be captured by organizations and countries that develop the capacity to evaluate quantum claims, integrate quantum tools with classical systems, and adapt procurement, standards, talent, and cybersecurity. Third, the most important near-term actions are not always those that sound most futuristic. Post-quantum cryptography (PQC), quantum-safe procurement, quantum sensing pilots, metrology, workforce formation, and cloud-mediated experimentation may produce more strategic value before universal fault-tolerant quantum computing arrives.</w:t>
      </w:r>
    </w:p>
    <w:p>
      <w:pPr>
        <w:pStyle w:val="BodyText"/>
      </w:pPr>
      <w:r>
        <w:t xml:space="preserve">Five research questions structure the analysis.</w:t>
      </w:r>
    </w:p>
    <w:p>
      <w:pPr>
        <w:pStyle w:val="Compact"/>
        <w:numPr>
          <w:ilvl w:val="0"/>
          <w:numId w:val="1001"/>
        </w:numPr>
      </w:pPr>
      <w:r>
        <w:t xml:space="preserve">What does the scholarly literature imply about the maturity and adoption pathways of quantum computing, sensing, communication, and post-quantum cryptography?</w:t>
      </w:r>
    </w:p>
    <w:p>
      <w:pPr>
        <w:pStyle w:val="Compact"/>
        <w:numPr>
          <w:ilvl w:val="0"/>
          <w:numId w:val="1001"/>
        </w:numPr>
      </w:pPr>
      <w:r>
        <w:t xml:space="preserve">What quantitative indicators can be used to estimate global quantum readiness when direct adoption data remain incomplete?</w:t>
      </w:r>
    </w:p>
    <w:p>
      <w:pPr>
        <w:pStyle w:val="Compact"/>
        <w:numPr>
          <w:ilvl w:val="0"/>
          <w:numId w:val="1001"/>
        </w:numPr>
      </w:pPr>
      <w:r>
        <w:t xml:space="preserve">How does high-performance computing change the adoption pathway for quantum computing?</w:t>
      </w:r>
    </w:p>
    <w:p>
      <w:pPr>
        <w:pStyle w:val="Compact"/>
        <w:numPr>
          <w:ilvl w:val="0"/>
          <w:numId w:val="1001"/>
        </w:numPr>
      </w:pPr>
      <w:r>
        <w:t xml:space="preserve">How can nations and enterprises compare quantum technologies under conditions of technical uncertainty, hype, and geopolitical competition?</w:t>
      </w:r>
    </w:p>
    <w:p>
      <w:pPr>
        <w:pStyle w:val="Compact"/>
        <w:numPr>
          <w:ilvl w:val="0"/>
          <w:numId w:val="1001"/>
        </w:numPr>
      </w:pPr>
      <w:r>
        <w:t xml:space="preserve">What are the principal barriers to quantum adoption between 2025 and 2035?</w:t>
      </w:r>
    </w:p>
    <w:p>
      <w:pPr>
        <w:pStyle w:val="Compact"/>
        <w:numPr>
          <w:ilvl w:val="0"/>
          <w:numId w:val="1001"/>
        </w:numPr>
      </w:pPr>
      <w:r>
        <w:t xml:space="preserve">What roadmap can guide a nation toward quantum capability without premature lock-in to immature hardware or rhetorical innovation policy?</w:t>
      </w:r>
    </w:p>
    <w:p>
      <w:pPr>
        <w:pStyle w:val="FirstParagraph"/>
      </w:pPr>
      <w:r>
        <w:t xml:space="preserve">The argument is intentionally critical. Quantum technologies are real and strategically important, but their adoption is often discussed with weak evidence. Market forecasts can be useful signals, but they are not adoption data. Qubit counts are not system capability. Random-circuit advantage is not automatically commercial value. Quantum key distribution is not a universal replacement for post-quantum cryptography. Quantum machine learning is not automatically superior to classical machine learning. A credible national strategy requires clear separation among scientific possibility, engineering feasibility, organizational readiness, and public value.</w:t>
      </w:r>
    </w:p>
    <w:bookmarkEnd w:id="21"/>
    <w:bookmarkStart w:id="25" w:name="literature-review-and-theoretical-frame"/>
    <w:p>
      <w:pPr>
        <w:pStyle w:val="Heading1"/>
      </w:pPr>
      <w:r>
        <w:t xml:space="preserve">2. Literature Review and Theoretical Frame</w:t>
      </w:r>
    </w:p>
    <w:bookmarkStart w:id="22" w:name="Xb589449ea87337bfd01e5ce2f89617ee2d384d4"/>
    <w:p>
      <w:pPr>
        <w:pStyle w:val="Heading2"/>
      </w:pPr>
      <w:r>
        <w:t xml:space="preserve">2.1 From Quantum Revolution to Infrastructure</w:t>
      </w:r>
    </w:p>
    <w:p>
      <w:pPr>
        <w:pStyle w:val="FirstParagraph"/>
      </w:pPr>
      <w:r>
        <w:t xml:space="preserve">The modern quantum technology agenda begins with the claim that individual quantum systems can be engineered as resources rather than treated as unavoidable microscopic phenomena.</w:t>
      </w:r>
      <w:r>
        <w:t xml:space="preserve"> </w:t>
      </w:r>
      <w:r>
        <w:t xml:space="preserve">Dowling and Milburn (</w:t>
      </w:r>
      <w:hyperlink w:anchor="ref-dowling2003">
        <w:r>
          <w:rPr>
            <w:rStyle w:val="Hyperlink"/>
          </w:rPr>
          <w:t xml:space="preserve">2003</w:t>
        </w:r>
      </w:hyperlink>
      <w:r>
        <w:t xml:space="preserve">)</w:t>
      </w:r>
      <w:r>
        <w:t xml:space="preserve"> </w:t>
      </w:r>
      <w:r>
        <w:t xml:space="preserve">described this as the second quantum revolution. The European quantum roadmap later organized the field into quantum communication, quantum computation, quantum simulation, quantum metrology and sensing, quantum control, and quantum software</w:t>
      </w:r>
      <w:r>
        <w:t xml:space="preserve"> </w:t>
      </w:r>
      <w:r>
        <w:t xml:space="preserve">(</w:t>
      </w:r>
      <w:hyperlink w:anchor="ref-acin2018">
        <w:r>
          <w:rPr>
            <w:rStyle w:val="Hyperlink"/>
          </w:rPr>
          <w:t xml:space="preserve">Acin et al. 2018</w:t>
        </w:r>
      </w:hyperlink>
      <w:r>
        <w:t xml:space="preserve">)</w:t>
      </w:r>
      <w:r>
        <w:t xml:space="preserve">. This taxonomy remains useful, but national strategy requires an additional classification by adoption readiness, infrastructure burden, security urgency, and dependence on fault tolerance.</w:t>
      </w:r>
    </w:p>
    <w:p>
      <w:pPr>
        <w:pStyle w:val="BodyText"/>
      </w:pPr>
      <w:r>
        <w:t xml:space="preserve">Quantum computing receives the most attention because its long-run computational implications are profound.</w:t>
      </w:r>
      <w:r>
        <w:t xml:space="preserve"> </w:t>
      </w:r>
      <w:r>
        <w:t xml:space="preserve">Montanaro (</w:t>
      </w:r>
      <w:hyperlink w:anchor="ref-montanaro2016">
        <w:r>
          <w:rPr>
            <w:rStyle w:val="Hyperlink"/>
          </w:rPr>
          <w:t xml:space="preserve">2016</w:t>
        </w:r>
      </w:hyperlink>
      <w:r>
        <w:t xml:space="preserve">)</w:t>
      </w:r>
      <w:r>
        <w:t xml:space="preserve"> </w:t>
      </w:r>
      <w:r>
        <w:t xml:space="preserve">shows that quantum algorithms can offer speedups in areas such as search, optimization, simulation, linear systems, and cryptography.</w:t>
      </w:r>
      <w:r>
        <w:t xml:space="preserve"> </w:t>
      </w:r>
      <w:r>
        <w:t xml:space="preserve">Preskill (</w:t>
      </w:r>
      <w:hyperlink w:anchor="ref-preskill2018">
        <w:r>
          <w:rPr>
            <w:rStyle w:val="Hyperlink"/>
          </w:rPr>
          <w:t xml:space="preserve">2018</w:t>
        </w:r>
      </w:hyperlink>
      <w:r>
        <w:t xml:space="preserve">)</w:t>
      </w:r>
      <w:r>
        <w:t xml:space="preserve"> </w:t>
      </w:r>
      <w:r>
        <w:t xml:space="preserve">framed the present era as noisy intermediate-scale quantum computing, in which devices are large enough to be scientifically interesting but too noisy for many fault-tolerant algorithms.</w:t>
      </w:r>
      <w:r>
        <w:t xml:space="preserve"> </w:t>
      </w:r>
      <w:r>
        <w:t xml:space="preserve">Bharti et al. (</w:t>
      </w:r>
      <w:hyperlink w:anchor="ref-bharti2022">
        <w:r>
          <w:rPr>
            <w:rStyle w:val="Hyperlink"/>
          </w:rPr>
          <w:t xml:space="preserve">2022</w:t>
        </w:r>
      </w:hyperlink>
      <w:r>
        <w:t xml:space="preserve">)</w:t>
      </w:r>
      <w:r>
        <w:t xml:space="preserve"> </w:t>
      </w:r>
      <w:r>
        <w:t xml:space="preserve">and</w:t>
      </w:r>
      <w:r>
        <w:t xml:space="preserve"> </w:t>
      </w:r>
      <w:r>
        <w:t xml:space="preserve">Cerezo et al. (</w:t>
      </w:r>
      <w:hyperlink w:anchor="ref-cerezo2021">
        <w:r>
          <w:rPr>
            <w:rStyle w:val="Hyperlink"/>
          </w:rPr>
          <w:t xml:space="preserve">2021</w:t>
        </w:r>
      </w:hyperlink>
      <w:r>
        <w:t xml:space="preserve">)</w:t>
      </w:r>
      <w:r>
        <w:t xml:space="preserve"> </w:t>
      </w:r>
      <w:r>
        <w:t xml:space="preserve">show that the near-term algorithmic landscape is dominated by variational and hybrid quantum-classical methods, not by the mature execution of Shor-scale fault-tolerant algorithms. This matters because the route from laboratory device to operational advantage is not a straight line; it runs through error correction, benchmark design, software tooling, and application-specific validation.</w:t>
      </w:r>
    </w:p>
    <w:p>
      <w:pPr>
        <w:pStyle w:val="BodyText"/>
      </w:pPr>
      <w:r>
        <w:t xml:space="preserve">Quantum simulation and quantum chemistry provide the clearest intellectual case for future quantum computation because the target systems are themselves quantum mechanical.</w:t>
      </w:r>
      <w:r>
        <w:t xml:space="preserve"> </w:t>
      </w:r>
      <w:r>
        <w:t xml:space="preserve">Georgescu, Ashhab, and Nori (</w:t>
      </w:r>
      <w:hyperlink w:anchor="ref-georgescu2014">
        <w:r>
          <w:rPr>
            <w:rStyle w:val="Hyperlink"/>
          </w:rPr>
          <w:t xml:space="preserve">2014</w:t>
        </w:r>
      </w:hyperlink>
      <w:r>
        <w:t xml:space="preserve">)</w:t>
      </w:r>
      <w:r>
        <w:t xml:space="preserve"> </w:t>
      </w:r>
      <w:r>
        <w:t xml:space="preserve">present quantum simulation as a natural application class, while</w:t>
      </w:r>
      <w:r>
        <w:t xml:space="preserve"> </w:t>
      </w:r>
      <w:r>
        <w:t xml:space="preserve">Cao et al. (</w:t>
      </w:r>
      <w:hyperlink w:anchor="ref-cao2019">
        <w:r>
          <w:rPr>
            <w:rStyle w:val="Hyperlink"/>
          </w:rPr>
          <w:t xml:space="preserve">2019</w:t>
        </w:r>
      </w:hyperlink>
      <w:r>
        <w:t xml:space="preserve">)</w:t>
      </w:r>
      <w:r>
        <w:t xml:space="preserve"> </w:t>
      </w:r>
      <w:r>
        <w:t xml:space="preserve">and</w:t>
      </w:r>
      <w:r>
        <w:t xml:space="preserve"> </w:t>
      </w:r>
      <w:r>
        <w:t xml:space="preserve">Bauer et al. (</w:t>
      </w:r>
      <w:hyperlink w:anchor="ref-bauer2020">
        <w:r>
          <w:rPr>
            <w:rStyle w:val="Hyperlink"/>
          </w:rPr>
          <w:t xml:space="preserve">2020</w:t>
        </w:r>
      </w:hyperlink>
      <w:r>
        <w:t xml:space="preserve">)</w:t>
      </w:r>
      <w:r>
        <w:t xml:space="preserve"> </w:t>
      </w:r>
      <w:r>
        <w:t xml:space="preserve">review algorithms for chemistry and materials science. Yet even here the adoption problem is not solved by theoretical advantage. Useful workflows require chemical accuracy, problem encoding, error mitigation or correction, validation against experiments, and integration into existing research pipelines.</w:t>
      </w:r>
    </w:p>
    <w:p>
      <w:pPr>
        <w:pStyle w:val="BodyText"/>
      </w:pPr>
      <w:r>
        <w:t xml:space="preserve">Quantum sensing follows a different path.</w:t>
      </w:r>
      <w:r>
        <w:t xml:space="preserve"> </w:t>
      </w:r>
      <w:r>
        <w:t xml:space="preserve">Degen, Reinhard, and Cappellaro (</w:t>
      </w:r>
      <w:hyperlink w:anchor="ref-degen2017">
        <w:r>
          <w:rPr>
            <w:rStyle w:val="Hyperlink"/>
          </w:rPr>
          <w:t xml:space="preserve">2017</w:t>
        </w:r>
      </w:hyperlink>
      <w:r>
        <w:t xml:space="preserve">)</w:t>
      </w:r>
      <w:r>
        <w:t xml:space="preserve"> </w:t>
      </w:r>
      <w:r>
        <w:t xml:space="preserve">define quantum sensing as the use of quantum systems to measure physical quantities with high sensitivity.</w:t>
      </w:r>
      <w:r>
        <w:t xml:space="preserve"> </w:t>
      </w:r>
      <w:r>
        <w:t xml:space="preserve">Giovannetti, Lloyd, and Maccone (</w:t>
      </w:r>
      <w:hyperlink w:anchor="ref-giovannetti2011">
        <w:r>
          <w:rPr>
            <w:rStyle w:val="Hyperlink"/>
          </w:rPr>
          <w:t xml:space="preserve">2011</w:t>
        </w:r>
      </w:hyperlink>
      <w:r>
        <w:t xml:space="preserve">)</w:t>
      </w:r>
      <w:r>
        <w:t xml:space="preserve"> </w:t>
      </w:r>
      <w:r>
        <w:t xml:space="preserve">and</w:t>
      </w:r>
      <w:r>
        <w:t xml:space="preserve"> </w:t>
      </w:r>
      <w:r>
        <w:t xml:space="preserve">Pezze et al. (</w:t>
      </w:r>
      <w:hyperlink w:anchor="ref-pezze2018">
        <w:r>
          <w:rPr>
            <w:rStyle w:val="Hyperlink"/>
          </w:rPr>
          <w:t xml:space="preserve">2018</w:t>
        </w:r>
      </w:hyperlink>
      <w:r>
        <w:t xml:space="preserve">)</w:t>
      </w:r>
      <w:r>
        <w:t xml:space="preserve"> </w:t>
      </w:r>
      <w:r>
        <w:t xml:space="preserve">show why entanglement and nonclassical states can improve metrology. Applications such as clocks, magnetometers, gravimeters, inertial sensors, navigation, geodesy, and biomedical sensing do not require universal fault-tolerant quantum computation. This makes sensing a nearer-term adoption domain, although the engineering requirements remain demanding: ruggedization, calibration, cost, environmental stability, field deployment, and integration into domain workflows.</w:t>
      </w:r>
    </w:p>
    <w:p>
      <w:pPr>
        <w:pStyle w:val="BodyText"/>
      </w:pPr>
      <w:r>
        <w:t xml:space="preserve">Quantum communication also has a distinct maturity profile.</w:t>
      </w:r>
      <w:r>
        <w:t xml:space="preserve"> </w:t>
      </w:r>
      <w:r>
        <w:t xml:space="preserve">Kimble (</w:t>
      </w:r>
      <w:hyperlink w:anchor="ref-kimble2008">
        <w:r>
          <w:rPr>
            <w:rStyle w:val="Hyperlink"/>
          </w:rPr>
          <w:t xml:space="preserve">2008</w:t>
        </w:r>
      </w:hyperlink>
      <w:r>
        <w:t xml:space="preserve">)</w:t>
      </w:r>
      <w:r>
        <w:t xml:space="preserve"> </w:t>
      </w:r>
      <w:r>
        <w:t xml:space="preserve">and</w:t>
      </w:r>
      <w:r>
        <w:t xml:space="preserve"> </w:t>
      </w:r>
      <w:r>
        <w:t xml:space="preserve">Wehner, Elkouss, and Hanson (</w:t>
      </w:r>
      <w:hyperlink w:anchor="ref-wehner2018">
        <w:r>
          <w:rPr>
            <w:rStyle w:val="Hyperlink"/>
          </w:rPr>
          <w:t xml:space="preserve">2018</w:t>
        </w:r>
      </w:hyperlink>
      <w:r>
        <w:t xml:space="preserve">)</w:t>
      </w:r>
      <w:r>
        <w:t xml:space="preserve"> </w:t>
      </w:r>
      <w:r>
        <w:t xml:space="preserve">describe the quantum internet as a future network for entanglement distribution, secure communication, distributed sensing, and eventually distributed quantum computation.</w:t>
      </w:r>
      <w:r>
        <w:t xml:space="preserve"> </w:t>
      </w:r>
      <w:r>
        <w:t xml:space="preserve">Pirandola et al. (</w:t>
      </w:r>
      <w:hyperlink w:anchor="ref-pirandola2020">
        <w:r>
          <w:rPr>
            <w:rStyle w:val="Hyperlink"/>
          </w:rPr>
          <w:t xml:space="preserve">2020</w:t>
        </w:r>
      </w:hyperlink>
      <w:r>
        <w:t xml:space="preserve">)</w:t>
      </w:r>
      <w:r>
        <w:t xml:space="preserve"> </w:t>
      </w:r>
      <w:r>
        <w:t xml:space="preserve">and</w:t>
      </w:r>
      <w:r>
        <w:t xml:space="preserve"> </w:t>
      </w:r>
      <w:r>
        <w:t xml:space="preserve">Xu et al. (</w:t>
      </w:r>
      <w:hyperlink w:anchor="ref-xu2020">
        <w:r>
          <w:rPr>
            <w:rStyle w:val="Hyperlink"/>
          </w:rPr>
          <w:t xml:space="preserve">2020</w:t>
        </w:r>
      </w:hyperlink>
      <w:r>
        <w:t xml:space="preserve">)</w:t>
      </w:r>
      <w:r>
        <w:t xml:space="preserve"> </w:t>
      </w:r>
      <w:r>
        <w:t xml:space="preserve">review quantum cryptography and QKD with realistic devices. The research case is strong, but practical deployment faces distance limits, loss, authentication, trusted nodes, device vulnerabilities, cost, and standards. The result is a specialized infrastructure pathway rather than a universal cybersecurity solution.</w:t>
      </w:r>
    </w:p>
    <w:p>
      <w:pPr>
        <w:pStyle w:val="BodyText"/>
      </w:pPr>
      <w:r>
        <w:t xml:space="preserve">PQC is conceptually different from quantum communication. It is classical cryptography designed to resist quantum attacks.</w:t>
      </w:r>
      <w:r>
        <w:t xml:space="preserve"> </w:t>
      </w:r>
      <w:r>
        <w:t xml:space="preserve">Bernstein and Lange (</w:t>
      </w:r>
      <w:hyperlink w:anchor="ref-bernstein2017">
        <w:r>
          <w:rPr>
            <w:rStyle w:val="Hyperlink"/>
          </w:rPr>
          <w:t xml:space="preserve">2017</w:t>
        </w:r>
      </w:hyperlink>
      <w:r>
        <w:t xml:space="preserve">)</w:t>
      </w:r>
      <w:r>
        <w:t xml:space="preserve"> </w:t>
      </w:r>
      <w:r>
        <w:t xml:space="preserve">review the technical foundations of post-quantum cryptography;</w:t>
      </w:r>
      <w:r>
        <w:t xml:space="preserve"> </w:t>
      </w:r>
      <w:r>
        <w:t xml:space="preserve">Mosca (</w:t>
      </w:r>
      <w:hyperlink w:anchor="ref-mosca2018">
        <w:r>
          <w:rPr>
            <w:rStyle w:val="Hyperlink"/>
          </w:rPr>
          <w:t xml:space="preserve">2018</w:t>
        </w:r>
      </w:hyperlink>
      <w:r>
        <w:t xml:space="preserve">)</w:t>
      </w:r>
      <w:r>
        <w:t xml:space="preserve"> </w:t>
      </w:r>
      <w:r>
        <w:t xml:space="preserve">frames the cybersecurity problem through the relation between data shelf life, migration time, and the timeline for cryptographically relevant quantum computers.</w:t>
      </w:r>
      <w:r>
        <w:t xml:space="preserve"> </w:t>
      </w:r>
      <w:r>
        <w:t xml:space="preserve">Gidney and Ekera (</w:t>
      </w:r>
      <w:hyperlink w:anchor="ref-gidney2021">
        <w:r>
          <w:rPr>
            <w:rStyle w:val="Hyperlink"/>
          </w:rPr>
          <w:t xml:space="preserve">2021</w:t>
        </w:r>
      </w:hyperlink>
      <w:r>
        <w:t xml:space="preserve">)</w:t>
      </w:r>
      <w:r>
        <w:t xml:space="preserve"> </w:t>
      </w:r>
      <w:r>
        <w:t xml:space="preserve">show why the threat is not imminent in an operational sense but is strategically serious: resource estimates for attacking RSA-2048 require very large fault-tolerant machines, yet the</w:t>
      </w:r>
      <w:r>
        <w:t xml:space="preserve"> </w:t>
      </w:r>
      <w:r>
        <w:t xml:space="preserve">“</w:t>
      </w:r>
      <w:r>
        <w:t xml:space="preserve">harvest now, decrypt later</w:t>
      </w:r>
      <w:r>
        <w:t xml:space="preserve">”</w:t>
      </w:r>
      <w:r>
        <w:t xml:space="preserve"> </w:t>
      </w:r>
      <w:r>
        <w:t xml:space="preserve">problem begins before those machines exist. This makes PQC the clearest near-term national adoption domain.</w:t>
      </w:r>
    </w:p>
    <w:bookmarkEnd w:id="22"/>
    <w:bookmarkStart w:id="23" w:name="Xf7e89263a9833eeb8cfe56b2a6fffaf818b7371"/>
    <w:p>
      <w:pPr>
        <w:pStyle w:val="Heading2"/>
      </w:pPr>
      <w:r>
        <w:t xml:space="preserve">2.2 Adoption Theory: Absorptive Capacity and National Innovation Systems</w:t>
      </w:r>
    </w:p>
    <w:p>
      <w:pPr>
        <w:pStyle w:val="FirstParagraph"/>
      </w:pPr>
      <w:r>
        <w:t xml:space="preserve">Quantum adoption is not only a hardware problem. It is an absorptive capacity problem.</w:t>
      </w:r>
      <w:r>
        <w:t xml:space="preserve"> </w:t>
      </w:r>
      <w:r>
        <w:t xml:space="preserve">Cohen and Levinthal (</w:t>
      </w:r>
      <w:hyperlink w:anchor="ref-cohen1990">
        <w:r>
          <w:rPr>
            <w:rStyle w:val="Hyperlink"/>
          </w:rPr>
          <w:t xml:space="preserve">1990</w:t>
        </w:r>
      </w:hyperlink>
      <w:r>
        <w:t xml:space="preserve">)</w:t>
      </w:r>
      <w:r>
        <w:t xml:space="preserve"> </w:t>
      </w:r>
      <w:r>
        <w:t xml:space="preserve">define absorptive capacity as the ability to recognize, assimilate, and exploit external knowledge. Quantum technologies require unusually high absorptive capacity because they are difficult to evaluate, require specialized expertise, and depend on complementary assets such as standards, laboratories, software platforms, cryptographic inventories, and procurement rules.</w:t>
      </w:r>
    </w:p>
    <w:p>
      <w:pPr>
        <w:pStyle w:val="BodyText"/>
      </w:pPr>
      <w:r>
        <w:t xml:space="preserve">National innovation systems theory reinforces this point. Technological performance depends on networks of universities, firms, public agencies, standards bodies, financial institutions, and industrial users rather than isolated inventions</w:t>
      </w:r>
      <w:r>
        <w:t xml:space="preserve"> </w:t>
      </w:r>
      <w:r>
        <w:t xml:space="preserve">(</w:t>
      </w:r>
      <w:hyperlink w:anchor="ref-lundvall1992">
        <w:r>
          <w:rPr>
            <w:rStyle w:val="Hyperlink"/>
          </w:rPr>
          <w:t xml:space="preserve">Lundvall 1992</w:t>
        </w:r>
      </w:hyperlink>
      <w:r>
        <w:t xml:space="preserve">;</w:t>
      </w:r>
      <w:r>
        <w:t xml:space="preserve"> </w:t>
      </w:r>
      <w:hyperlink w:anchor="ref-nelson1993">
        <w:r>
          <w:rPr>
            <w:rStyle w:val="Hyperlink"/>
          </w:rPr>
          <w:t xml:space="preserve">Nelson 1993</w:t>
        </w:r>
      </w:hyperlink>
      <w:r>
        <w:t xml:space="preserve">)</w:t>
      </w:r>
      <w:r>
        <w:t xml:space="preserve">. Mission-oriented innovation policy adds that governments can shape markets when they define public missions, coordinate capabilities, and create demand for difficult technologies</w:t>
      </w:r>
      <w:r>
        <w:t xml:space="preserve"> </w:t>
      </w:r>
      <w:r>
        <w:t xml:space="preserve">(</w:t>
      </w:r>
      <w:hyperlink w:anchor="ref-mazzucato2018">
        <w:r>
          <w:rPr>
            <w:rStyle w:val="Hyperlink"/>
          </w:rPr>
          <w:t xml:space="preserve">Mazzucato 2018</w:t>
        </w:r>
      </w:hyperlink>
      <w:r>
        <w:t xml:space="preserve">)</w:t>
      </w:r>
      <w:r>
        <w:t xml:space="preserve">. Quantum technologies fit this framework because the private sector alone is unlikely to fund all foundational science, cybersecurity transition, standards, workforce development, and testbed infrastructure required for adoption.</w:t>
      </w:r>
    </w:p>
    <w:p>
      <w:pPr>
        <w:pStyle w:val="BodyText"/>
      </w:pPr>
      <w:r>
        <w:t xml:space="preserve">Enterprise adoption evidence is beginning to catch up with the physics.</w:t>
      </w:r>
      <w:r>
        <w:t xml:space="preserve"> </w:t>
      </w:r>
      <w:r>
        <w:t xml:space="preserve">Kwon et al. (</w:t>
      </w:r>
      <w:hyperlink w:anchor="ref-kwon2026">
        <w:r>
          <w:rPr>
            <w:rStyle w:val="Hyperlink"/>
          </w:rPr>
          <w:t xml:space="preserve">2026</w:t>
        </w:r>
      </w:hyperlink>
      <w:r>
        <w:t xml:space="preserve">)</w:t>
      </w:r>
      <w:r>
        <w:t xml:space="preserve"> </w:t>
      </w:r>
      <w:r>
        <w:t xml:space="preserve">analyze quantum computing adoption intention through expert interviews and a survey of 250 IT decision-makers. They find that perceived quantum advantage, belief in quantum superiority, continuous budget allocation, regulatory support, and co-creation increase adoption intention, while organizational resistance and financial risk reduce it. The result is consistent with the broader innovation diffusion literature: adoption requires not just technological promise but relative advantage, compatibility, trialability, organizational resources, and institutional support</w:t>
      </w:r>
      <w:r>
        <w:t xml:space="preserve"> </w:t>
      </w:r>
      <w:r>
        <w:t xml:space="preserve">(</w:t>
      </w:r>
      <w:hyperlink w:anchor="ref-rogers2003">
        <w:r>
          <w:rPr>
            <w:rStyle w:val="Hyperlink"/>
          </w:rPr>
          <w:t xml:space="preserve">Rogers 2003</w:t>
        </w:r>
      </w:hyperlink>
      <w:r>
        <w:t xml:space="preserve">)</w:t>
      </w:r>
      <w:r>
        <w:t xml:space="preserve">.</w:t>
      </w:r>
    </w:p>
    <w:bookmarkEnd w:id="23"/>
    <w:bookmarkStart w:id="24" w:name="X14c6a527422c5738d3be1d872c77a22ff0d497a"/>
    <w:p>
      <w:pPr>
        <w:pStyle w:val="Heading2"/>
      </w:pPr>
      <w:r>
        <w:t xml:space="preserve">2.3 The Strategic Error: Confusing Scientific Milestones with Adoption</w:t>
      </w:r>
    </w:p>
    <w:p>
      <w:pPr>
        <w:pStyle w:val="FirstParagraph"/>
      </w:pPr>
      <w:r>
        <w:t xml:space="preserve">The quantum field has produced genuine scientific milestones.</w:t>
      </w:r>
      <w:r>
        <w:t xml:space="preserve"> </w:t>
      </w:r>
      <w:r>
        <w:t xml:space="preserve">Arute et al. (</w:t>
      </w:r>
      <w:hyperlink w:anchor="ref-arute2019">
        <w:r>
          <w:rPr>
            <w:rStyle w:val="Hyperlink"/>
          </w:rPr>
          <w:t xml:space="preserve">2019</w:t>
        </w:r>
      </w:hyperlink>
      <w:r>
        <w:t xml:space="preserve">)</w:t>
      </w:r>
      <w:r>
        <w:t xml:space="preserve"> </w:t>
      </w:r>
      <w:r>
        <w:t xml:space="preserve">demonstrated quantum computational advantage on a programmable superconducting processor for a sampling task.</w:t>
      </w:r>
      <w:r>
        <w:t xml:space="preserve"> </w:t>
      </w:r>
      <w:r>
        <w:t xml:space="preserve">Harrow and Montanaro (</w:t>
      </w:r>
      <w:hyperlink w:anchor="ref-harrow2017">
        <w:r>
          <w:rPr>
            <w:rStyle w:val="Hyperlink"/>
          </w:rPr>
          <w:t xml:space="preserve">2017</w:t>
        </w:r>
      </w:hyperlink>
      <w:r>
        <w:t xml:space="preserve">)</w:t>
      </w:r>
      <w:r>
        <w:t xml:space="preserve"> </w:t>
      </w:r>
      <w:r>
        <w:t xml:space="preserve">explain why such demonstrations matter for computational complexity. However, scientific advantage and economic advantage are not the same. A random-circuit sampling task can demonstrate that a quantum device is difficult to simulate classically without solving a valuable business problem. This is not a criticism of the science; it is a warning against using the wrong inference for policy.</w:t>
      </w:r>
    </w:p>
    <w:p>
      <w:pPr>
        <w:pStyle w:val="BodyText"/>
      </w:pPr>
      <w:r>
        <w:t xml:space="preserve">The same distinction applies to quantum machine learning.</w:t>
      </w:r>
      <w:r>
        <w:t xml:space="preserve"> </w:t>
      </w:r>
      <w:r>
        <w:t xml:space="preserve">Biamonte et al. (</w:t>
      </w:r>
      <w:hyperlink w:anchor="ref-biamonte2017">
        <w:r>
          <w:rPr>
            <w:rStyle w:val="Hyperlink"/>
          </w:rPr>
          <w:t xml:space="preserve">2017</w:t>
        </w:r>
      </w:hyperlink>
      <w:r>
        <w:t xml:space="preserve">)</w:t>
      </w:r>
      <w:r>
        <w:t xml:space="preserve"> </w:t>
      </w:r>
      <w:r>
        <w:t xml:space="preserve">and</w:t>
      </w:r>
      <w:r>
        <w:t xml:space="preserve"> </w:t>
      </w:r>
      <w:r>
        <w:t xml:space="preserve">Schuld and Killoran (</w:t>
      </w:r>
      <w:hyperlink w:anchor="ref-schuld2019">
        <w:r>
          <w:rPr>
            <w:rStyle w:val="Hyperlink"/>
          </w:rPr>
          <w:t xml:space="preserve">2019</w:t>
        </w:r>
      </w:hyperlink>
      <w:r>
        <w:t xml:space="preserve">)</w:t>
      </w:r>
      <w:r>
        <w:t xml:space="preserve"> </w:t>
      </w:r>
      <w:r>
        <w:t xml:space="preserve">identify plausible quantum machine learning mechanisms, especially through feature maps and Hilbert-space representations.</w:t>
      </w:r>
      <w:r>
        <w:t xml:space="preserve"> </w:t>
      </w:r>
      <w:r>
        <w:t xml:space="preserve">McClean et al. (</w:t>
      </w:r>
      <w:hyperlink w:anchor="ref-mcclean2018">
        <w:r>
          <w:rPr>
            <w:rStyle w:val="Hyperlink"/>
          </w:rPr>
          <w:t xml:space="preserve">2018</w:t>
        </w:r>
      </w:hyperlink>
      <w:r>
        <w:t xml:space="preserve">)</w:t>
      </w:r>
      <w:r>
        <w:t xml:space="preserve">, however, identify barren plateaus as a serious training obstacle. For enterprise strategy, the relevant question is not whether a circuit is quantum, but whether it improves accuracy, time-to-solution, energy consumption, robustness, interpretability, or cost relative to the best classical baseline.</w:t>
      </w:r>
    </w:p>
    <w:bookmarkEnd w:id="24"/>
    <w:bookmarkEnd w:id="25"/>
    <w:bookmarkStart w:id="36" w:name="data-and-methods"/>
    <w:p>
      <w:pPr>
        <w:pStyle w:val="Heading1"/>
      </w:pPr>
      <w:r>
        <w:t xml:space="preserve">3. Data and Methods</w:t>
      </w:r>
    </w:p>
    <w:bookmarkStart w:id="27" w:name="research-design"/>
    <w:p>
      <w:pPr>
        <w:pStyle w:val="Heading2"/>
      </w:pPr>
      <w:r>
        <w:t xml:space="preserve">3.1 Research Design</w:t>
      </w:r>
    </w:p>
    <w:p>
      <w:pPr>
        <w:pStyle w:val="FirstParagraph"/>
      </w:pPr>
      <w:r>
        <w:t xml:space="preserve">The study is designed as an integrative research synthesis. This design is appropriate because the object of inquiry is not a single empirical estimate but a strategic interpretation of a heterogeneous evidence base. The evidentiary corpus includes quantum information science, innovation theory, policy reports, open bibliometric data, patent mapping, standards documents, and business-readiness surveys.</w:t>
      </w:r>
    </w:p>
    <w:p>
      <w:pPr>
        <w:pStyle w:val="BodyText"/>
      </w:pPr>
      <w:r>
        <w:t xml:space="preserve">The methodology follows four steps. First, the literature was organized into seven domains: quantum computing, quantum sensing, quantum communication, PQC, high-performance computing integration, innovation/adoption theory, and national policy. Second, each domain was evaluated according to technology readiness, adoption barriers, infrastructure requirements, and relevance to national strategy. Third, quantitative adoption proxies were assembled from OECD, OECD-EPO, OpenAlex, NIST, and readiness survey sources.</w:t>
      </w:r>
      <w:r>
        <w:rPr>
          <w:rStyle w:val="FootnoteReference"/>
        </w:rPr>
        <w:footnoteReference w:id="26"/>
      </w:r>
      <w:r>
        <w:t xml:space="preserve"> </w:t>
      </w:r>
      <w:r>
        <w:t xml:space="preserve">Fourth, the evidence was translated into a strategic roadmap and a set of decision criteria for nations and enterprises.</w:t>
      </w:r>
    </w:p>
    <w:p>
      <w:pPr>
        <w:pStyle w:val="BodyText"/>
      </w:pPr>
      <w:r>
        <w:t xml:space="preserve">The design is not a systematic review in the narrow PRISMA sense, since the objective is not to estimate an effect size across comparable empirical studies. It is a structured narrative review and evidence synthesis of an emerging technology field in which relevant evidence comes from physics, computer science, cybersecurity, policy, and management research. The inclusion criteria prioritized major review articles, highly cited foundational papers, empirical adoption studies, standards-relevant cybersecurity literature, and recent policy datasets from public institutions.</w:t>
      </w:r>
    </w:p>
    <w:bookmarkEnd w:id="27"/>
    <w:bookmarkStart w:id="28" w:name="source-selection"/>
    <w:p>
      <w:pPr>
        <w:pStyle w:val="Heading2"/>
      </w:pPr>
      <w:r>
        <w:t xml:space="preserve">3.2 Source Selection</w:t>
      </w:r>
    </w:p>
    <w:p>
      <w:pPr>
        <w:pStyle w:val="FirstParagraph"/>
      </w:pPr>
      <w:r>
        <w:t xml:space="preserve">The scholarly corpus was drawn from journals and proceedings in physics, computer science, engineering, cryptography, management, and innovation policy. It includes work published in</w:t>
      </w:r>
      <w:r>
        <w:t xml:space="preserve"> </w:t>
      </w:r>
      <w:r>
        <w:rPr>
          <w:i/>
          <w:iCs/>
        </w:rPr>
        <w:t xml:space="preserve">Reviews of Modern Physics</w:t>
      </w:r>
      <w:r>
        <w:t xml:space="preserve">,</w:t>
      </w:r>
      <w:r>
        <w:t xml:space="preserve"> </w:t>
      </w:r>
      <w:r>
        <w:rPr>
          <w:i/>
          <w:iCs/>
        </w:rPr>
        <w:t xml:space="preserve">Nature</w:t>
      </w:r>
      <w:r>
        <w:t xml:space="preserve">,</w:t>
      </w:r>
      <w:r>
        <w:t xml:space="preserve"> </w:t>
      </w:r>
      <w:r>
        <w:rPr>
          <w:i/>
          <w:iCs/>
        </w:rPr>
        <w:t xml:space="preserve">Nature Reviews Physics</w:t>
      </w:r>
      <w:r>
        <w:t xml:space="preserve">,</w:t>
      </w:r>
      <w:r>
        <w:t xml:space="preserve"> </w:t>
      </w:r>
      <w:r>
        <w:rPr>
          <w:i/>
          <w:iCs/>
        </w:rPr>
        <w:t xml:space="preserve">Nature Communications</w:t>
      </w:r>
      <w:r>
        <w:t xml:space="preserve">,</w:t>
      </w:r>
      <w:r>
        <w:t xml:space="preserve"> </w:t>
      </w:r>
      <w:r>
        <w:rPr>
          <w:i/>
          <w:iCs/>
        </w:rPr>
        <w:t xml:space="preserve">Physical Review Letters</w:t>
      </w:r>
      <w:r>
        <w:t xml:space="preserve">,</w:t>
      </w:r>
      <w:r>
        <w:t xml:space="preserve"> </w:t>
      </w:r>
      <w:r>
        <w:rPr>
          <w:i/>
          <w:iCs/>
        </w:rPr>
        <w:t xml:space="preserve">Physical Review A</w:t>
      </w:r>
      <w:r>
        <w:t xml:space="preserve">,</w:t>
      </w:r>
      <w:r>
        <w:t xml:space="preserve"> </w:t>
      </w:r>
      <w:r>
        <w:rPr>
          <w:i/>
          <w:iCs/>
        </w:rPr>
        <w:t xml:space="preserve">PRX Quantum</w:t>
      </w:r>
      <w:r>
        <w:t xml:space="preserve">,</w:t>
      </w:r>
      <w:r>
        <w:t xml:space="preserve"> </w:t>
      </w:r>
      <w:r>
        <w:rPr>
          <w:i/>
          <w:iCs/>
        </w:rPr>
        <w:t xml:space="preserve">npj Quantum Information</w:t>
      </w:r>
      <w:r>
        <w:t xml:space="preserve">,</w:t>
      </w:r>
      <w:r>
        <w:t xml:space="preserve"> </w:t>
      </w:r>
      <w:r>
        <w:rPr>
          <w:i/>
          <w:iCs/>
        </w:rPr>
        <w:t xml:space="preserve">Quantum</w:t>
      </w:r>
      <w:r>
        <w:t xml:space="preserve">,</w:t>
      </w:r>
      <w:r>
        <w:t xml:space="preserve"> </w:t>
      </w:r>
      <w:r>
        <w:rPr>
          <w:i/>
          <w:iCs/>
        </w:rPr>
        <w:t xml:space="preserve">Chemical Reviews</w:t>
      </w:r>
      <w:r>
        <w:t xml:space="preserve">,</w:t>
      </w:r>
      <w:r>
        <w:t xml:space="preserve"> </w:t>
      </w:r>
      <w:r>
        <w:rPr>
          <w:i/>
          <w:iCs/>
        </w:rPr>
        <w:t xml:space="preserve">Applied Physics Reviews</w:t>
      </w:r>
      <w:r>
        <w:t xml:space="preserve">,</w:t>
      </w:r>
      <w:r>
        <w:t xml:space="preserve"> </w:t>
      </w:r>
      <w:r>
        <w:rPr>
          <w:i/>
          <w:iCs/>
        </w:rPr>
        <w:t xml:space="preserve">Annual Review of Condensed Matter Physics</w:t>
      </w:r>
      <w:r>
        <w:t xml:space="preserve">,</w:t>
      </w:r>
      <w:r>
        <w:t xml:space="preserve"> </w:t>
      </w:r>
      <w:r>
        <w:rPr>
          <w:i/>
          <w:iCs/>
        </w:rPr>
        <w:t xml:space="preserve">IEEE Transactions on Quantum Engineering</w:t>
      </w:r>
      <w:r>
        <w:t xml:space="preserve">,</w:t>
      </w:r>
      <w:r>
        <w:t xml:space="preserve"> </w:t>
      </w:r>
      <w:r>
        <w:rPr>
          <w:i/>
          <w:iCs/>
        </w:rPr>
        <w:t xml:space="preserve">IEEE Security &amp; Privacy</w:t>
      </w:r>
      <w:r>
        <w:t xml:space="preserve">,</w:t>
      </w:r>
      <w:r>
        <w:t xml:space="preserve"> </w:t>
      </w:r>
      <w:r>
        <w:rPr>
          <w:i/>
          <w:iCs/>
        </w:rPr>
        <w:t xml:space="preserve">International Journal of Information Management</w:t>
      </w:r>
      <w:r>
        <w:t xml:space="preserve">,</w:t>
      </w:r>
      <w:r>
        <w:t xml:space="preserve"> </w:t>
      </w:r>
      <w:r>
        <w:rPr>
          <w:i/>
          <w:iCs/>
        </w:rPr>
        <w:t xml:space="preserve">Administrative Science Quarterly</w:t>
      </w:r>
      <w:r>
        <w:t xml:space="preserve">, and</w:t>
      </w:r>
      <w:r>
        <w:t xml:space="preserve"> </w:t>
      </w:r>
      <w:r>
        <w:rPr>
          <w:i/>
          <w:iCs/>
        </w:rPr>
        <w:t xml:space="preserve">Industrial and Corporate Change</w:t>
      </w:r>
      <w:r>
        <w:t xml:space="preserve">.</w:t>
      </w:r>
    </w:p>
    <w:p>
      <w:pPr>
        <w:pStyle w:val="BodyText"/>
      </w:pPr>
      <w:r>
        <w:t xml:space="preserve">The quantitative layer uses public datasets and official sources. OECD national strategy material provides estimates of public commitments and governance models. OECD Fundstat provides project-award evidence. OECD-EPO mapping provides patent-family evidence. OpenAlex provides publication and country-affiliation proxies. NIST, NSA, and CISA provide standards and cybersecurity guidance. These sources are not treated as interchangeable. Funding measures state commitment; patents measure invention and appropriation; publications measure scientific absorptive capacity; standards measure institutional readiness; surveys measure organizational preparation.</w:t>
      </w:r>
    </w:p>
    <w:bookmarkEnd w:id="28"/>
    <w:bookmarkStart w:id="35" w:name="bibliometric-extraction"/>
    <w:p>
      <w:pPr>
        <w:pStyle w:val="Heading2"/>
      </w:pPr>
      <w:r>
        <w:t xml:space="preserve">3.3 Bibliometric Extraction</w:t>
      </w:r>
    </w:p>
    <w:p>
      <w:pPr>
        <w:pStyle w:val="FirstParagraph"/>
      </w:pPr>
      <w:r>
        <w:t xml:space="preserve">OpenAlex data were extracted for 2015-2025 using the concepts</w:t>
      </w:r>
      <w:r>
        <w:t xml:space="preserve"> </w:t>
      </w:r>
      <w:r>
        <w:t xml:space="preserve">“</w:t>
      </w:r>
      <w:r>
        <w:t xml:space="preserve">Quantum technology</w:t>
      </w:r>
      <w:r>
        <w:t xml:space="preserve">”</w:t>
      </w:r>
      <w:r>
        <w:t xml:space="preserve"> </w:t>
      </w:r>
      <w:r>
        <w:t xml:space="preserve">(C190463098) and</w:t>
      </w:r>
      <w:r>
        <w:t xml:space="preserve"> </w:t>
      </w:r>
      <w:r>
        <w:t xml:space="preserve">“</w:t>
      </w:r>
      <w:r>
        <w:t xml:space="preserve">Post-quantum cryptography</w:t>
      </w:r>
      <w:r>
        <w:t xml:space="preserve">”</w:t>
      </w:r>
      <w:r>
        <w:t xml:space="preserve"> </w:t>
      </w:r>
      <w:r>
        <w:t xml:space="preserve">(C108277079), grouped by publication year and institutional country. The quantum technology query returned 15,279 works in the extracted concept set. The leading country affiliations were the United States (2,584), China (1,641), Germany (1,225), the United Kingdom (1,102), France (607), Italy (552), India (551), Japan (519), Canada (463), and Australia (438). Mexico appeared with 56 works. The post-quantum cryptography query showed a different distribution: the United States (168), India (163), China (132), the United Kingdom (61), Germany (60), Japan (52), France (42), Korea (36), Spain (30), and Russia (29) led the extracted country counts; Mexico appeared with 5 works.</w:t>
      </w:r>
    </w:p>
    <w:p>
      <w:pPr>
        <w:pStyle w:val="BodyText"/>
      </w:pPr>
      <w:r>
        <w:t xml:space="preserve">These counts are used cautiously. OpenAlex concept assignment, affiliation metadata, co-authorship, and indexing practices affect results. The 2025 quantum technology count is especially high relative to prior years; the year trend is therefore interpreted as a query-index indicator rather than a precise measurement of annual global production. The country counts are more useful as a broad proxy for scientific absorptive capacity.</w:t>
      </w:r>
    </w:p>
    <w:p>
      <w:pPr>
        <w:pStyle w:val="CaptionedFigure"/>
      </w:pPr>
      <w:r>
        <w:drawing>
          <wp:inline>
            <wp:extent cx="5067300" cy="3209290"/>
            <wp:effectExtent b="0" l="0" r="0" t="0"/>
            <wp:docPr descr="Global distribution of quantum-technology publication capacity. OpenAlex country-affiliation counts for the concept “Quantum technology” show a concentrated geography led by the United States, China, Germany, the United Kingdom, and France, with Mexico included as a comparison case. Counts are bibliometric proxies rather than direct deployment measures." title="" id="30" name="Picture"/>
            <a:graphic>
              <a:graphicData uri="http://schemas.openxmlformats.org/drawingml/2006/picture">
                <pic:pic>
                  <pic:nvPicPr>
                    <pic:cNvPr descr="figures/fig1_global_country_distribution.png" id="31" name="Picture"/>
                    <pic:cNvPicPr>
                      <a:picLocks noChangeArrowheads="1" noChangeAspect="1"/>
                    </pic:cNvPicPr>
                  </pic:nvPicPr>
                  <pic:blipFill>
                    <a:blip r:embed="rId29"/>
                    <a:stretch>
                      <a:fillRect/>
                    </a:stretch>
                  </pic:blipFill>
                  <pic:spPr bwMode="auto">
                    <a:xfrm>
                      <a:off x="0" y="0"/>
                      <a:ext cx="5067300" cy="3209290"/>
                    </a:xfrm>
                    <a:prstGeom prst="rect">
                      <a:avLst/>
                    </a:prstGeom>
                    <a:noFill/>
                    <a:ln w="9525">
                      <a:noFill/>
                      <a:headEnd/>
                      <a:tailEnd/>
                    </a:ln>
                  </pic:spPr>
                </pic:pic>
              </a:graphicData>
            </a:graphic>
          </wp:inline>
        </w:drawing>
      </w:r>
    </w:p>
    <w:p>
      <w:pPr>
        <w:pStyle w:val="ImageCaption"/>
      </w:pPr>
      <w:r>
        <w:t xml:space="preserve">Global distribution of quantum-technology publication capacity. OpenAlex country-affiliation counts for the concept</w:t>
      </w:r>
      <w:r>
        <w:t xml:space="preserve"> </w:t>
      </w:r>
      <w:r>
        <w:t xml:space="preserve">“</w:t>
      </w:r>
      <w:r>
        <w:t xml:space="preserve">Quantum technology</w:t>
      </w:r>
      <w:r>
        <w:t xml:space="preserve">”</w:t>
      </w:r>
      <w:r>
        <w:t xml:space="preserve"> </w:t>
      </w:r>
      <w:r>
        <w:t xml:space="preserve">show a concentrated geography led by the United States, China, Germany, the United Kingdom, and France, with Mexico included as a comparison case. Counts are bibliometric proxies rather than direct deployment measures.</w:t>
      </w:r>
    </w:p>
    <w:p>
      <w:pPr>
        <w:pStyle w:val="CaptionedFigure"/>
      </w:pPr>
      <w:r>
        <w:drawing>
          <wp:inline>
            <wp:extent cx="5067300" cy="3040380"/>
            <wp:effectExtent b="0" l="0" r="0" t="0"/>
            <wp:docPr descr="Indexed publication trajectory for quantum technology and post-quantum cryptography. OpenAlex annual counts are indexed to 2015=100 to compare differently sized literatures. The 2025 quantum-technology spike is interpreted as a query and indexing signal requiring cautious interpretation." title="" id="33" name="Picture"/>
            <a:graphic>
              <a:graphicData uri="http://schemas.openxmlformats.org/drawingml/2006/picture">
                <pic:pic>
                  <pic:nvPicPr>
                    <pic:cNvPr descr="figures/fig2_publication_trends.png" id="34" name="Picture"/>
                    <pic:cNvPicPr>
                      <a:picLocks noChangeArrowheads="1" noChangeAspect="1"/>
                    </pic:cNvPicPr>
                  </pic:nvPicPr>
                  <pic:blipFill>
                    <a:blip r:embed="rId32"/>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Indexed publication trajectory for quantum technology and post-quantum cryptography. OpenAlex annual counts are indexed to 2015=100 to compare differently sized literatures. The 2025 quantum-technology spike is interpreted as a query and indexing signal requiring cautious interpretation.</w:t>
      </w:r>
    </w:p>
    <w:bookmarkEnd w:id="35"/>
    <w:bookmarkEnd w:id="36"/>
    <w:bookmarkStart w:id="40" w:name="Xe88f786a63f34301418d36ecb4c71f25757f212"/>
    <w:p>
      <w:pPr>
        <w:pStyle w:val="Heading1"/>
      </w:pPr>
      <w:r>
        <w:t xml:space="preserve">4. Quantitative Evidence: What Can Be Measured</w:t>
      </w:r>
    </w:p>
    <w:p>
      <w:pPr>
        <w:pStyle w:val="FirstParagraph"/>
      </w:pPr>
      <w:r>
        <w:t xml:space="preserve">No comprehensive public database currently measures global quantum adoption directly. There is no single dataset covering deployed quantum sensors, QKD links, PQC migrations, enterprise pilots, QCaaS usage, cloud experiments, and quantum software workflows. The evidence is therefore triangulated across multiple proxies.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 layer</w:t>
            </w:r>
          </w:p>
        </w:tc>
        <w:tc>
          <w:tcPr/>
          <w:p>
            <w:pPr>
              <w:pStyle w:val="Compact"/>
              <w:jc w:val="left"/>
            </w:pPr>
            <w:r>
              <w:t xml:space="preserve">Quantitative signal</w:t>
            </w:r>
          </w:p>
        </w:tc>
        <w:tc>
          <w:tcPr/>
          <w:p>
            <w:pPr>
              <w:pStyle w:val="Compact"/>
              <w:jc w:val="left"/>
            </w:pPr>
            <w:r>
              <w:t xml:space="preserve">Interpretation</w:t>
            </w:r>
          </w:p>
        </w:tc>
      </w:tr>
      <w:tr>
        <w:tc>
          <w:tcPr/>
          <w:p>
            <w:pPr>
              <w:pStyle w:val="Compact"/>
              <w:jc w:val="left"/>
            </w:pPr>
            <w:r>
              <w:t xml:space="preserve">Public commitments</w:t>
            </w:r>
          </w:p>
        </w:tc>
        <w:tc>
          <w:tcPr/>
          <w:p>
            <w:pPr>
              <w:pStyle w:val="Compact"/>
              <w:jc w:val="left"/>
            </w:pPr>
            <w:r>
              <w:t xml:space="preserve">OECD reports approximately USD 55.7 billion in announced public quantum commitments worldwide since 2013, as of October 2025</w:t>
            </w:r>
          </w:p>
        </w:tc>
        <w:tc>
          <w:tcPr/>
          <w:p>
            <w:pPr>
              <w:pStyle w:val="Compact"/>
              <w:jc w:val="left"/>
            </w:pPr>
            <w:r>
              <w:t xml:space="preserve">Quantum has become a state-level strategic technology</w:t>
            </w:r>
          </w:p>
        </w:tc>
      </w:tr>
      <w:tr>
        <w:tc>
          <w:tcPr/>
          <w:p>
            <w:pPr>
              <w:pStyle w:val="Compact"/>
              <w:jc w:val="left"/>
            </w:pPr>
            <w:r>
              <w:t xml:space="preserve">Public R&amp;D awards</w:t>
            </w:r>
          </w:p>
        </w:tc>
        <w:tc>
          <w:tcPr/>
          <w:p>
            <w:pPr>
              <w:pStyle w:val="Compact"/>
              <w:jc w:val="left"/>
            </w:pPr>
            <w:r>
              <w:t xml:space="preserve">OECD Fundstat identifies USD 11.235 billion PPP across 12,209 quantum-related R&amp;D awards, 2015-2023</w:t>
            </w:r>
          </w:p>
        </w:tc>
        <w:tc>
          <w:tcPr/>
          <w:p>
            <w:pPr>
              <w:pStyle w:val="Compact"/>
              <w:jc w:val="left"/>
            </w:pPr>
            <w:r>
              <w:t xml:space="preserve">Public investment is organized through research and mission programmes</w:t>
            </w:r>
          </w:p>
        </w:tc>
      </w:tr>
      <w:tr>
        <w:tc>
          <w:tcPr/>
          <w:p>
            <w:pPr>
              <w:pStyle w:val="Compact"/>
              <w:jc w:val="left"/>
            </w:pPr>
            <w:r>
              <w:t xml:space="preserve">Patent families</w:t>
            </w:r>
          </w:p>
        </w:tc>
        <w:tc>
          <w:tcPr/>
          <w:p>
            <w:pPr>
              <w:pStyle w:val="Compact"/>
              <w:jc w:val="left"/>
            </w:pPr>
            <w:r>
              <w:t xml:space="preserve">OECD-EPO mapping identifies 31,700 quantum patent families with earliest publication years 2005-2024; quantum patenting increased sevenfold between 2005 and 2024 and grew at about 20 percent CAGR since 2014</w:t>
            </w:r>
          </w:p>
        </w:tc>
        <w:tc>
          <w:tcPr/>
          <w:p>
            <w:pPr>
              <w:pStyle w:val="Compact"/>
              <w:jc w:val="left"/>
            </w:pPr>
            <w:r>
              <w:t xml:space="preserve">Invention is accelerating but geographically concentrated</w:t>
            </w:r>
          </w:p>
        </w:tc>
      </w:tr>
      <w:tr>
        <w:tc>
          <w:tcPr/>
          <w:p>
            <w:pPr>
              <w:pStyle w:val="Compact"/>
              <w:jc w:val="left"/>
            </w:pPr>
            <w:r>
              <w:t xml:space="preserve">Publications</w:t>
            </w:r>
          </w:p>
        </w:tc>
        <w:tc>
          <w:tcPr/>
          <w:p>
            <w:pPr>
              <w:pStyle w:val="Compact"/>
              <w:jc w:val="left"/>
            </w:pPr>
            <w:r>
              <w:t xml:space="preserve">OpenAlex</w:t>
            </w:r>
            <w:r>
              <w:t xml:space="preserve"> </w:t>
            </w:r>
            <w:r>
              <w:t xml:space="preserve">“</w:t>
            </w:r>
            <w:r>
              <w:t xml:space="preserve">Quantum technology</w:t>
            </w:r>
            <w:r>
              <w:t xml:space="preserve">”</w:t>
            </w:r>
            <w:r>
              <w:t xml:space="preserve"> </w:t>
            </w:r>
            <w:r>
              <w:t xml:space="preserve">query returns 15,279 works, 2015-2025; top countries are the United States, China, Germany, the United Kingdom, and France</w:t>
            </w:r>
          </w:p>
        </w:tc>
        <w:tc>
          <w:tcPr/>
          <w:p>
            <w:pPr>
              <w:pStyle w:val="Compact"/>
              <w:jc w:val="left"/>
            </w:pPr>
            <w:r>
              <w:t xml:space="preserve">Scientific absorptive capacity is unevenly distributed</w:t>
            </w:r>
          </w:p>
        </w:tc>
      </w:tr>
      <w:tr>
        <w:tc>
          <w:tcPr/>
          <w:p>
            <w:pPr>
              <w:pStyle w:val="Compact"/>
              <w:jc w:val="left"/>
            </w:pPr>
            <w:r>
              <w:t xml:space="preserve">PQC publications</w:t>
            </w:r>
          </w:p>
        </w:tc>
        <w:tc>
          <w:tcPr/>
          <w:p>
            <w:pPr>
              <w:pStyle w:val="Compact"/>
              <w:jc w:val="left"/>
            </w:pPr>
            <w:r>
              <w:t xml:space="preserve">OpenAlex PQC query shows the United States, India, and China as leading country affiliations</w:t>
            </w:r>
          </w:p>
        </w:tc>
        <w:tc>
          <w:tcPr/>
          <w:p>
            <w:pPr>
              <w:pStyle w:val="Compact"/>
              <w:jc w:val="left"/>
            </w:pPr>
            <w:r>
              <w:t xml:space="preserve">PQC readiness depends on cryptographic and software capacity, not only physics hardware</w:t>
            </w:r>
          </w:p>
        </w:tc>
      </w:tr>
      <w:tr>
        <w:tc>
          <w:tcPr/>
          <w:p>
            <w:pPr>
              <w:pStyle w:val="Compact"/>
              <w:jc w:val="left"/>
            </w:pPr>
            <w:r>
              <w:t xml:space="preserve">Business readiness</w:t>
            </w:r>
          </w:p>
        </w:tc>
        <w:tc>
          <w:tcPr/>
          <w:p>
            <w:pPr>
              <w:pStyle w:val="Compact"/>
              <w:jc w:val="left"/>
            </w:pPr>
            <w:r>
              <w:t xml:space="preserve">OECD summarizes surveys in which expected disruption is high but planning, budgets, and use-case identification are low</w:t>
            </w:r>
          </w:p>
        </w:tc>
        <w:tc>
          <w:tcPr/>
          <w:p>
            <w:pPr>
              <w:pStyle w:val="Compact"/>
              <w:jc w:val="left"/>
            </w:pPr>
            <w:r>
              <w:t xml:space="preserve">Awareness does not equal readiness</w:t>
            </w:r>
          </w:p>
        </w:tc>
      </w:tr>
      <w:tr>
        <w:tc>
          <w:tcPr/>
          <w:p>
            <w:pPr>
              <w:pStyle w:val="Compact"/>
              <w:jc w:val="left"/>
            </w:pPr>
            <w:r>
              <w:t xml:space="preserve">Standards</w:t>
            </w:r>
          </w:p>
        </w:tc>
        <w:tc>
          <w:tcPr/>
          <w:p>
            <w:pPr>
              <w:pStyle w:val="Compact"/>
              <w:jc w:val="left"/>
            </w:pPr>
            <w:r>
              <w:t xml:space="preserve">NIST finalized ML-KEM, ML-DSA, and SLH-DSA in 2024</w:t>
            </w:r>
          </w:p>
        </w:tc>
        <w:tc>
          <w:tcPr/>
          <w:p>
            <w:pPr>
              <w:pStyle w:val="Compact"/>
              <w:jc w:val="left"/>
            </w:pPr>
            <w:r>
              <w:t xml:space="preserve">PQC migration has become an implementation agenda</w:t>
            </w:r>
          </w:p>
        </w:tc>
      </w:tr>
    </w:tbl>
    <w:p>
      <w:pPr>
        <w:pStyle w:val="BodyText"/>
      </w:pPr>
      <w:r>
        <w:t xml:space="preserve">The strongest pattern is not simple growth. It is uneven capability formation. Public funding is rising, patenting is accelerating, and publications are concentrated in a small set of countries. At the same time, enterprise readiness remains weak. In the OECD readiness evidence, 97 percent of UK executives in one survey expected quantum disruption, but only about one-third had begun readiness planning; 87 percent of financial-sector respondents in another survey viewed quantum as an opportunity, while 73 percent lacked a commercial-advantage use case and 87 percent lacked a dedicated budget; ISACA evidence summarized by OECD found that only 20 percent of respondents had formal quantum readiness plans despite broad expectations of impact</w:t>
      </w:r>
      <w:r>
        <w:t xml:space="preserve"> </w:t>
      </w:r>
      <w:r>
        <w:t xml:space="preserve">(</w:t>
      </w:r>
      <w:hyperlink w:anchor="ref-oecd2026">
        <w:r>
          <w:rPr>
            <w:rStyle w:val="Hyperlink"/>
          </w:rPr>
          <w:t xml:space="preserve">OECD 2026</w:t>
        </w:r>
      </w:hyperlink>
      <w:r>
        <w:t xml:space="preserve">)</w:t>
      </w:r>
      <w:r>
        <w:t xml:space="preserve">.</w:t>
      </w:r>
    </w:p>
    <w:p>
      <w:pPr>
        <w:pStyle w:val="BodyText"/>
      </w:pPr>
      <w:r>
        <w:t xml:space="preserve">This is the adoption gap. Countries and firms are hearing the quantum narrative, but many have not built the mechanisms required to act on it. The gap is not a public-relations problem. It is a capability problem.</w:t>
      </w:r>
    </w:p>
    <w:p>
      <w:pPr>
        <w:pStyle w:val="CaptionedFigure"/>
      </w:pPr>
      <w:r>
        <w:drawing>
          <wp:inline>
            <wp:extent cx="5067300" cy="3040380"/>
            <wp:effectExtent b="0" l="0" r="0" t="0"/>
            <wp:docPr descr="Awareness-readiness gap in quantum computing adoption. Survey evidence summarized by OECD indicates that high expected impact coexists with substantially lower levels of planning, use-case definition, and dedicated budget formation." title="" id="38" name="Picture"/>
            <a:graphic>
              <a:graphicData uri="http://schemas.openxmlformats.org/drawingml/2006/picture">
                <pic:pic>
                  <pic:nvPicPr>
                    <pic:cNvPr descr="figures/fig3_readiness_gap.png" id="39" name="Picture"/>
                    <pic:cNvPicPr>
                      <a:picLocks noChangeArrowheads="1" noChangeAspect="1"/>
                    </pic:cNvPicPr>
                  </pic:nvPicPr>
                  <pic:blipFill>
                    <a:blip r:embed="rId37"/>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Awareness-readiness gap in quantum computing adoption. Survey evidence summarized by OECD indicates that high expected impact coexists with substantially lower levels of planning, use-case definition, and dedicated budget formation.</w:t>
      </w:r>
    </w:p>
    <w:bookmarkEnd w:id="40"/>
    <w:bookmarkStart w:id="45" w:name="X396e2618fa125d6f66bf45bf037f6caad6b3ade"/>
    <w:p>
      <w:pPr>
        <w:pStyle w:val="Heading1"/>
      </w:pPr>
      <w:r>
        <w:t xml:space="preserve">5. Results: Adoption Pathways by Technology Domain</w:t>
      </w:r>
    </w:p>
    <w:bookmarkStart w:id="41" w:name="X177d7537287def467254b7a1085a5022202ecac"/>
    <w:p>
      <w:pPr>
        <w:pStyle w:val="Heading2"/>
      </w:pPr>
      <w:r>
        <w:t xml:space="preserve">5.1 Quantum Computing: High Optionality, Low Near-Term Certainty</w:t>
      </w:r>
    </w:p>
    <w:p>
      <w:pPr>
        <w:pStyle w:val="FirstParagraph"/>
      </w:pPr>
      <w:r>
        <w:t xml:space="preserve">Quantum computing has the largest long-term strategic upside and the greatest adoption uncertainty. Its theoretical foundation is strong. Quantum algorithms can offer asymptotic speedups in specific problem classes</w:t>
      </w:r>
      <w:r>
        <w:t xml:space="preserve"> </w:t>
      </w:r>
      <w:r>
        <w:t xml:space="preserve">(</w:t>
      </w:r>
      <w:hyperlink w:anchor="ref-montanaro2016">
        <w:r>
          <w:rPr>
            <w:rStyle w:val="Hyperlink"/>
          </w:rPr>
          <w:t xml:space="preserve">Montanaro 2016</w:t>
        </w:r>
      </w:hyperlink>
      <w:r>
        <w:t xml:space="preserve">)</w:t>
      </w:r>
      <w:r>
        <w:t xml:space="preserve">. Quantum simulation and chemistry are natural targets because classical computers struggle with the exponential structure of many quantum systems</w:t>
      </w:r>
      <w:r>
        <w:t xml:space="preserve"> </w:t>
      </w:r>
      <w:r>
        <w:t xml:space="preserve">(</w:t>
      </w:r>
      <w:hyperlink w:anchor="ref-georgescu2014">
        <w:r>
          <w:rPr>
            <w:rStyle w:val="Hyperlink"/>
          </w:rPr>
          <w:t xml:space="preserve">Georgescu, Ashhab, and Nori 2014</w:t>
        </w:r>
      </w:hyperlink>
      <w:r>
        <w:t xml:space="preserve">;</w:t>
      </w:r>
      <w:r>
        <w:t xml:space="preserve"> </w:t>
      </w:r>
      <w:hyperlink w:anchor="ref-cao2019">
        <w:r>
          <w:rPr>
            <w:rStyle w:val="Hyperlink"/>
          </w:rPr>
          <w:t xml:space="preserve">Cao et al. 2019</w:t>
        </w:r>
      </w:hyperlink>
      <w:r>
        <w:t xml:space="preserve">;</w:t>
      </w:r>
      <w:r>
        <w:t xml:space="preserve"> </w:t>
      </w:r>
      <w:hyperlink w:anchor="ref-bauer2020">
        <w:r>
          <w:rPr>
            <w:rStyle w:val="Hyperlink"/>
          </w:rPr>
          <w:t xml:space="preserve">Bauer et al. 2020</w:t>
        </w:r>
      </w:hyperlink>
      <w:r>
        <w:t xml:space="preserve">)</w:t>
      </w:r>
      <w:r>
        <w:t xml:space="preserve">. Hybrid variational algorithms offer near-term experimental pathways</w:t>
      </w:r>
      <w:r>
        <w:t xml:space="preserve"> </w:t>
      </w:r>
      <w:r>
        <w:t xml:space="preserve">(</w:t>
      </w:r>
      <w:hyperlink w:anchor="ref-peruzzo2014">
        <w:r>
          <w:rPr>
            <w:rStyle w:val="Hyperlink"/>
          </w:rPr>
          <w:t xml:space="preserve">Peruzzo et al. 2014</w:t>
        </w:r>
      </w:hyperlink>
      <w:r>
        <w:t xml:space="preserve">;</w:t>
      </w:r>
      <w:r>
        <w:t xml:space="preserve"> </w:t>
      </w:r>
      <w:hyperlink w:anchor="ref-kandala2017">
        <w:r>
          <w:rPr>
            <w:rStyle w:val="Hyperlink"/>
          </w:rPr>
          <w:t xml:space="preserve">Kandala et al. 2017</w:t>
        </w:r>
      </w:hyperlink>
      <w:r>
        <w:t xml:space="preserve">;</w:t>
      </w:r>
      <w:r>
        <w:t xml:space="preserve"> </w:t>
      </w:r>
      <w:hyperlink w:anchor="ref-cerezo2021">
        <w:r>
          <w:rPr>
            <w:rStyle w:val="Hyperlink"/>
          </w:rPr>
          <w:t xml:space="preserve">Cerezo et al. 2021</w:t>
        </w:r>
      </w:hyperlink>
      <w:r>
        <w:t xml:space="preserve">;</w:t>
      </w:r>
      <w:r>
        <w:t xml:space="preserve"> </w:t>
      </w:r>
      <w:hyperlink w:anchor="ref-bharti2022">
        <w:r>
          <w:rPr>
            <w:rStyle w:val="Hyperlink"/>
          </w:rPr>
          <w:t xml:space="preserve">Bharti et al. 2022</w:t>
        </w:r>
      </w:hyperlink>
      <w:r>
        <w:t xml:space="preserve">)</w:t>
      </w:r>
      <w:r>
        <w:t xml:space="preserve">.</w:t>
      </w:r>
    </w:p>
    <w:p>
      <w:pPr>
        <w:pStyle w:val="BodyText"/>
      </w:pPr>
      <w:r>
        <w:t xml:space="preserve">The hard constraint is that most valuable applications require deeper circuits, lower logical error rates, and better verification than current devices provide. Fault tolerance remains the transition point from experimental devices to reliable infrastructure. Surface codes provide a leading approach because they are compatible with two-dimensional local interactions, but they impose large overheads</w:t>
      </w:r>
      <w:r>
        <w:t xml:space="preserve"> </w:t>
      </w:r>
      <w:r>
        <w:t xml:space="preserve">(</w:t>
      </w:r>
      <w:hyperlink w:anchor="ref-fowler2012">
        <w:r>
          <w:rPr>
            <w:rStyle w:val="Hyperlink"/>
          </w:rPr>
          <w:t xml:space="preserve">Fowler et al. 2012</w:t>
        </w:r>
      </w:hyperlink>
      <w:r>
        <w:t xml:space="preserve">;</w:t>
      </w:r>
      <w:r>
        <w:t xml:space="preserve"> </w:t>
      </w:r>
      <w:hyperlink w:anchor="ref-campbell2017">
        <w:r>
          <w:rPr>
            <w:rStyle w:val="Hyperlink"/>
          </w:rPr>
          <w:t xml:space="preserve">Campbell, Terhal, and Vuillot 2017</w:t>
        </w:r>
      </w:hyperlink>
      <w:r>
        <w:t xml:space="preserve">)</w:t>
      </w:r>
      <w:r>
        <w:t xml:space="preserve">. Resource estimates for cryptographically relevant machines remain high, even when improved algorithms reduce requirements</w:t>
      </w:r>
      <w:r>
        <w:t xml:space="preserve"> </w:t>
      </w:r>
      <w:r>
        <w:t xml:space="preserve">(</w:t>
      </w:r>
      <w:hyperlink w:anchor="ref-gidney2021">
        <w:r>
          <w:rPr>
            <w:rStyle w:val="Hyperlink"/>
          </w:rPr>
          <w:t xml:space="preserve">Gidney and Ekera 2021</w:t>
        </w:r>
      </w:hyperlink>
      <w:r>
        <w:t xml:space="preserve">)</w:t>
      </w:r>
      <w:r>
        <w:t xml:space="preserve">.</w:t>
      </w:r>
    </w:p>
    <w:p>
      <w:pPr>
        <w:pStyle w:val="BodyText"/>
      </w:pPr>
      <w:r>
        <w:t xml:space="preserve">The adoption implication is that quantum computing functions in the near term as a learning, benchmarking, and option-value domain. The most rational enterprise and national actions are not mass deployment but targeted experimentation, workforce formation, algorithmic evaluation, access to QCaaS platforms, and careful benchmarking against classical alternatives.</w:t>
      </w:r>
    </w:p>
    <w:bookmarkEnd w:id="41"/>
    <w:bookmarkStart w:id="42" w:name="Xd814c097e28dc4691bac2404e3c952b32d3d7b2"/>
    <w:p>
      <w:pPr>
        <w:pStyle w:val="Heading2"/>
      </w:pPr>
      <w:r>
        <w:t xml:space="preserve">5.2 Quantum Sensing: The Most Immediate Public-Value Domain</w:t>
      </w:r>
    </w:p>
    <w:p>
      <w:pPr>
        <w:pStyle w:val="FirstParagraph"/>
      </w:pPr>
      <w:r>
        <w:t xml:space="preserve">Quantum sensing is the strongest near-term application domain because it can produce value without universal fault-tolerant quantum computers. It uses quantum systems as measurement devices: atomic clocks for timing, magnetometers for magnetic fields, gravimeters for subsurface mapping, inertial sensors for navigation, and quantum defects in diamond for local magnetic sensing</w:t>
      </w:r>
      <w:r>
        <w:t xml:space="preserve"> </w:t>
      </w:r>
      <w:r>
        <w:t xml:space="preserve">(</w:t>
      </w:r>
      <w:hyperlink w:anchor="ref-degen2017">
        <w:r>
          <w:rPr>
            <w:rStyle w:val="Hyperlink"/>
          </w:rPr>
          <w:t xml:space="preserve">Degen, Reinhard, and Cappellaro 2017</w:t>
        </w:r>
      </w:hyperlink>
      <w:r>
        <w:t xml:space="preserve">;</w:t>
      </w:r>
      <w:r>
        <w:t xml:space="preserve"> </w:t>
      </w:r>
      <w:hyperlink w:anchor="ref-barry2016">
        <w:r>
          <w:rPr>
            <w:rStyle w:val="Hyperlink"/>
          </w:rPr>
          <w:t xml:space="preserve">Barry et al. 2016</w:t>
        </w:r>
      </w:hyperlink>
      <w:r>
        <w:t xml:space="preserve">)</w:t>
      </w:r>
      <w:r>
        <w:t xml:space="preserve">. The underlying value proposition is not</w:t>
      </w:r>
      <w:r>
        <w:t xml:space="preserve"> </w:t>
      </w:r>
      <w:r>
        <w:t xml:space="preserve">“</w:t>
      </w:r>
      <w:r>
        <w:t xml:space="preserve">faster computation</w:t>
      </w:r>
      <w:r>
        <w:t xml:space="preserve">”</w:t>
      </w:r>
      <w:r>
        <w:t xml:space="preserve"> </w:t>
      </w:r>
      <w:r>
        <w:t xml:space="preserve">but improved information about the physical world.</w:t>
      </w:r>
    </w:p>
    <w:p>
      <w:pPr>
        <w:pStyle w:val="BodyText"/>
      </w:pPr>
      <w:r>
        <w:t xml:space="preserve">The distinction is important for public policy. Many countries have urgent problems in water, infrastructure, mining, health, energy, navigation, border monitoring, seismic risk, environmental monitoring, and industrial quality control. Quantum sensing can be linked to these missions earlier than quantum computing can be linked to general enterprise transformation. The barrier is not theoretical uncertainty but field deployment: instruments require ruggedization, calibration, cost-effectiveness, interoperability, and operational relevance.</w:t>
      </w:r>
    </w:p>
    <w:bookmarkEnd w:id="42"/>
    <w:bookmarkStart w:id="43" w:name="Xacc06dbeee2b8e891ba28f5d3f5257e7c3ef408"/>
    <w:p>
      <w:pPr>
        <w:pStyle w:val="Heading2"/>
      </w:pPr>
      <w:r>
        <w:t xml:space="preserve">5.3 Quantum Communication: Strategic, Specialized, and Infrastructure-Heavy</w:t>
      </w:r>
    </w:p>
    <w:p>
      <w:pPr>
        <w:pStyle w:val="FirstParagraph"/>
      </w:pPr>
      <w:r>
        <w:t xml:space="preserve">Quantum communication has strong long-term strategic significance, especially for entanglement distribution, secure links, distributed sensing, and future quantum networks</w:t>
      </w:r>
      <w:r>
        <w:t xml:space="preserve"> </w:t>
      </w:r>
      <w:r>
        <w:t xml:space="preserve">(</w:t>
      </w:r>
      <w:hyperlink w:anchor="ref-kimble2008">
        <w:r>
          <w:rPr>
            <w:rStyle w:val="Hyperlink"/>
          </w:rPr>
          <w:t xml:space="preserve">Kimble 2008</w:t>
        </w:r>
      </w:hyperlink>
      <w:r>
        <w:t xml:space="preserve">;</w:t>
      </w:r>
      <w:r>
        <w:t xml:space="preserve"> </w:t>
      </w:r>
      <w:hyperlink w:anchor="ref-wehner2018">
        <w:r>
          <w:rPr>
            <w:rStyle w:val="Hyperlink"/>
          </w:rPr>
          <w:t xml:space="preserve">Wehner, Elkouss, and Hanson 2018</w:t>
        </w:r>
      </w:hyperlink>
      <w:r>
        <w:t xml:space="preserve">)</w:t>
      </w:r>
      <w:r>
        <w:t xml:space="preserve">. QKD has already moved beyond pure laboratory demonstration, and the security literature has become sophisticated about realistic devices, side channels, and measurement-device-independent protocols</w:t>
      </w:r>
      <w:r>
        <w:t xml:space="preserve"> </w:t>
      </w:r>
      <w:r>
        <w:t xml:space="preserve">(</w:t>
      </w:r>
      <w:hyperlink w:anchor="ref-pirandola2020">
        <w:r>
          <w:rPr>
            <w:rStyle w:val="Hyperlink"/>
          </w:rPr>
          <w:t xml:space="preserve">Pirandola et al. 2020</w:t>
        </w:r>
      </w:hyperlink>
      <w:r>
        <w:t xml:space="preserve">;</w:t>
      </w:r>
      <w:r>
        <w:t xml:space="preserve"> </w:t>
      </w:r>
      <w:hyperlink w:anchor="ref-xu2020">
        <w:r>
          <w:rPr>
            <w:rStyle w:val="Hyperlink"/>
          </w:rPr>
          <w:t xml:space="preserve">Xu et al. 2020</w:t>
        </w:r>
      </w:hyperlink>
      <w:r>
        <w:t xml:space="preserve">)</w:t>
      </w:r>
      <w:r>
        <w:t xml:space="preserve">.</w:t>
      </w:r>
    </w:p>
    <w:p>
      <w:pPr>
        <w:pStyle w:val="BodyText"/>
      </w:pPr>
      <w:r>
        <w:t xml:space="preserve">The critique is equally important. QKD does not remove the need for authentication, endpoint security, network engineering, procurement standards, or cost-benefit analysis. It requires specialized infrastructure and can be limited by loss, distance, trusted-node assumptions, and device assurance. Quantum repeaters are the network analog of fault tolerance: without reliable repeaters, memories, entanglement swapping, and low-loss interfaces, large-scale quantum networks remain constrained.</w:t>
      </w:r>
    </w:p>
    <w:p>
      <w:pPr>
        <w:pStyle w:val="BodyText"/>
      </w:pPr>
      <w:r>
        <w:t xml:space="preserve">Consequently, quantum communication is best pursued through targeted testbeds and high-value links rather than broad claims that it will replace existing cybersecurity. Its national value lies in strategic learning, telecom experimentation, high-assurance niches, and preparation for future quantum networks.</w:t>
      </w:r>
    </w:p>
    <w:bookmarkEnd w:id="43"/>
    <w:bookmarkStart w:id="44" w:name="X7d22a2a510a1c398236255f01930fb4c9ee5911"/>
    <w:p>
      <w:pPr>
        <w:pStyle w:val="Heading2"/>
      </w:pPr>
      <w:r>
        <w:t xml:space="preserve">5.4 Post-Quantum Cryptography: The First National Adoption Mandate</w:t>
      </w:r>
    </w:p>
    <w:p>
      <w:pPr>
        <w:pStyle w:val="FirstParagraph"/>
      </w:pPr>
      <w:r>
        <w:t xml:space="preserve">PQC is the most urgent adoption domain because it addresses a real security transition that can begin before cryptographically relevant quantum computers exist. Shor’s algorithm threatens RSA, Diffie-Hellman, and elliptic-curve cryptography once large fault-tolerant machines exist. The relevant risk is not only future attack; it is present-day collection of long-lived encrypted data</w:t>
      </w:r>
      <w:r>
        <w:t xml:space="preserve"> </w:t>
      </w:r>
      <w:r>
        <w:t xml:space="preserve">(</w:t>
      </w:r>
      <w:hyperlink w:anchor="ref-mosca2018">
        <w:r>
          <w:rPr>
            <w:rStyle w:val="Hyperlink"/>
          </w:rPr>
          <w:t xml:space="preserve">Mosca 2018</w:t>
        </w:r>
      </w:hyperlink>
      <w:r>
        <w:t xml:space="preserve">)</w:t>
      </w:r>
      <w:r>
        <w:t xml:space="preserve">. NIST’s 2024 standards give organizations a concrete migration target, especially ML-KEM, ML-DSA, and SLH-DSA</w:t>
      </w:r>
      <w:r>
        <w:t xml:space="preserve"> </w:t>
      </w:r>
      <w:r>
        <w:t xml:space="preserve">(</w:t>
      </w:r>
      <w:hyperlink w:anchor="ref-nist2024">
        <w:r>
          <w:rPr>
            <w:rStyle w:val="Hyperlink"/>
          </w:rPr>
          <w:t xml:space="preserve">NIST 2024</w:t>
        </w:r>
      </w:hyperlink>
      <w:r>
        <w:t xml:space="preserve">)</w:t>
      </w:r>
      <w:r>
        <w:t xml:space="preserve">.</w:t>
      </w:r>
    </w:p>
    <w:p>
      <w:pPr>
        <w:pStyle w:val="BodyText"/>
      </w:pPr>
      <w:r>
        <w:t xml:space="preserve">The hard part is not choosing an algorithm in isolation. Migration requires cryptographic inventories, crypto-agility, vendor coordination, protocol testing, legacy system replacement, procurement language, compliance governance, and prioritization by data shelf life. PQC is therefore a digital-infrastructure programme. Treating it as a narrow cybersecurity patch underestimates the institutional work involved.</w:t>
      </w:r>
    </w:p>
    <w:bookmarkEnd w:id="44"/>
    <w:bookmarkEnd w:id="45"/>
    <w:bookmarkStart w:id="46" w:name="Xa4e354c304c19b5f22702a20888dfafa7264785"/>
    <w:p>
      <w:pPr>
        <w:pStyle w:val="Heading1"/>
      </w:pPr>
      <w:r>
        <w:t xml:space="preserve">6. Hardware Comparison and Logical-Qubit Economics</w:t>
      </w:r>
    </w:p>
    <w:p>
      <w:pPr>
        <w:pStyle w:val="FirstParagraph"/>
      </w:pPr>
      <w:r>
        <w:t xml:space="preserve">No hardware modality has won. Each platform expresses a different engineering bargain.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Modality</w:t>
            </w:r>
          </w:p>
        </w:tc>
        <w:tc>
          <w:tcPr/>
          <w:p>
            <w:pPr>
              <w:pStyle w:val="Compact"/>
              <w:jc w:val="left"/>
            </w:pPr>
            <w:r>
              <w:t xml:space="preserve">Strength</w:t>
            </w:r>
          </w:p>
        </w:tc>
        <w:tc>
          <w:tcPr/>
          <w:p>
            <w:pPr>
              <w:pStyle w:val="Compact"/>
              <w:jc w:val="left"/>
            </w:pPr>
            <w:r>
              <w:t xml:space="preserve">Bottleneck</w:t>
            </w:r>
          </w:p>
        </w:tc>
        <w:tc>
          <w:tcPr/>
          <w:p>
            <w:pPr>
              <w:pStyle w:val="Compact"/>
              <w:jc w:val="left"/>
            </w:pPr>
            <w:r>
              <w:t xml:space="preserve">Strategic interpretation</w:t>
            </w:r>
          </w:p>
        </w:tc>
      </w:tr>
      <w:tr>
        <w:tc>
          <w:tcPr/>
          <w:p>
            <w:pPr>
              <w:pStyle w:val="Compact"/>
              <w:jc w:val="left"/>
            </w:pPr>
            <w:r>
              <w:t xml:space="preserve">Superconducting qubits</w:t>
            </w:r>
          </w:p>
        </w:tc>
        <w:tc>
          <w:tcPr/>
          <w:p>
            <w:pPr>
              <w:pStyle w:val="Compact"/>
              <w:jc w:val="left"/>
            </w:pPr>
            <w:r>
              <w:t xml:space="preserve">Fast gates, strong industrial ecosystem, microfabrication path, cloud availability</w:t>
            </w:r>
          </w:p>
        </w:tc>
        <w:tc>
          <w:tcPr/>
          <w:p>
            <w:pPr>
              <w:pStyle w:val="Compact"/>
              <w:jc w:val="left"/>
            </w:pPr>
            <w:r>
              <w:t xml:space="preserve">Cryogenic wiring, dielectric loss, crosstalk, thermal load, calibration</w:t>
            </w:r>
          </w:p>
        </w:tc>
        <w:tc>
          <w:tcPr/>
          <w:p>
            <w:pPr>
              <w:pStyle w:val="Compact"/>
              <w:jc w:val="left"/>
            </w:pPr>
            <w:r>
              <w:t xml:space="preserve">Strong near-term platform, but scale depends on control and error correction economics</w:t>
            </w:r>
          </w:p>
        </w:tc>
      </w:tr>
      <w:tr>
        <w:tc>
          <w:tcPr/>
          <w:p>
            <w:pPr>
              <w:pStyle w:val="Compact"/>
              <w:jc w:val="left"/>
            </w:pPr>
            <w:r>
              <w:t xml:space="preserve">Trapped ions</w:t>
            </w:r>
          </w:p>
        </w:tc>
        <w:tc>
          <w:tcPr/>
          <w:p>
            <w:pPr>
              <w:pStyle w:val="Compact"/>
              <w:jc w:val="left"/>
            </w:pPr>
            <w:r>
              <w:t xml:space="preserve">High fidelity, long coherence, natural qubit uniformity, flexible connectivity</w:t>
            </w:r>
          </w:p>
        </w:tc>
        <w:tc>
          <w:tcPr/>
          <w:p>
            <w:pPr>
              <w:pStyle w:val="Compact"/>
              <w:jc w:val="left"/>
            </w:pPr>
            <w:r>
              <w:t xml:space="preserve">Gate speed, shuttling, heating, laser/control complexity</w:t>
            </w:r>
          </w:p>
        </w:tc>
        <w:tc>
          <w:tcPr/>
          <w:p>
            <w:pPr>
              <w:pStyle w:val="Compact"/>
              <w:jc w:val="left"/>
            </w:pPr>
            <w:r>
              <w:t xml:space="preserve">Excellent quality, but engineering scale and throughput remain central questions</w:t>
            </w:r>
          </w:p>
        </w:tc>
      </w:tr>
      <w:tr>
        <w:tc>
          <w:tcPr/>
          <w:p>
            <w:pPr>
              <w:pStyle w:val="Compact"/>
              <w:jc w:val="left"/>
            </w:pPr>
            <w:r>
              <w:t xml:space="preserve">Neutral atoms</w:t>
            </w:r>
          </w:p>
        </w:tc>
        <w:tc>
          <w:tcPr/>
          <w:p>
            <w:pPr>
              <w:pStyle w:val="Compact"/>
              <w:jc w:val="left"/>
            </w:pPr>
            <w:r>
              <w:t xml:space="preserve">Large arrays, reconfigurable geometry, promising scalability</w:t>
            </w:r>
          </w:p>
        </w:tc>
        <w:tc>
          <w:tcPr/>
          <w:p>
            <w:pPr>
              <w:pStyle w:val="Compact"/>
              <w:jc w:val="left"/>
            </w:pPr>
            <w:r>
              <w:t xml:space="preserve">Atom loss, leakage, gate fidelity, readout, optical control</w:t>
            </w:r>
          </w:p>
        </w:tc>
        <w:tc>
          <w:tcPr/>
          <w:p>
            <w:pPr>
              <w:pStyle w:val="Compact"/>
              <w:jc w:val="left"/>
            </w:pPr>
            <w:r>
              <w:t xml:space="preserve">Strong option for simulation and scaling, with open questions about fault-tolerant architecture</w:t>
            </w:r>
          </w:p>
        </w:tc>
      </w:tr>
      <w:tr>
        <w:tc>
          <w:tcPr/>
          <w:p>
            <w:pPr>
              <w:pStyle w:val="Compact"/>
              <w:jc w:val="left"/>
            </w:pPr>
            <w:r>
              <w:t xml:space="preserve">Photonics</w:t>
            </w:r>
          </w:p>
        </w:tc>
        <w:tc>
          <w:tcPr/>
          <w:p>
            <w:pPr>
              <w:pStyle w:val="Compact"/>
              <w:jc w:val="left"/>
            </w:pPr>
            <w:r>
              <w:t xml:space="preserve">Natural communication medium, room-temperature potential, networking compatibility</w:t>
            </w:r>
          </w:p>
        </w:tc>
        <w:tc>
          <w:tcPr/>
          <w:p>
            <w:pPr>
              <w:pStyle w:val="Compact"/>
              <w:jc w:val="left"/>
            </w:pPr>
            <w:r>
              <w:t xml:space="preserve">Photon loss, deterministic gates, source and detector integration</w:t>
            </w:r>
          </w:p>
        </w:tc>
        <w:tc>
          <w:tcPr/>
          <w:p>
            <w:pPr>
              <w:pStyle w:val="Compact"/>
              <w:jc w:val="left"/>
            </w:pPr>
            <w:r>
              <w:t xml:space="preserve">Strategically important for networks and some computing architectures</w:t>
            </w:r>
          </w:p>
        </w:tc>
      </w:tr>
      <w:tr>
        <w:tc>
          <w:tcPr/>
          <w:p>
            <w:pPr>
              <w:pStyle w:val="Compact"/>
              <w:jc w:val="left"/>
            </w:pPr>
            <w:r>
              <w:t xml:space="preserve">Quantum annealing</w:t>
            </w:r>
          </w:p>
        </w:tc>
        <w:tc>
          <w:tcPr/>
          <w:p>
            <w:pPr>
              <w:pStyle w:val="Compact"/>
              <w:jc w:val="left"/>
            </w:pPr>
            <w:r>
              <w:t xml:space="preserve">Available systems and optimization experiments</w:t>
            </w:r>
          </w:p>
        </w:tc>
        <w:tc>
          <w:tcPr/>
          <w:p>
            <w:pPr>
              <w:pStyle w:val="Compact"/>
              <w:jc w:val="left"/>
            </w:pPr>
            <w:r>
              <w:t xml:space="preserve">Limited universality, benchmark ambiguity, mapping overhead</w:t>
            </w:r>
          </w:p>
        </w:tc>
        <w:tc>
          <w:tcPr/>
          <w:p>
            <w:pPr>
              <w:pStyle w:val="Compact"/>
              <w:jc w:val="left"/>
            </w:pPr>
            <w:r>
              <w:t xml:space="preserve">Useful for experimentation when benchmarked against classical heuristics</w:t>
            </w:r>
          </w:p>
        </w:tc>
      </w:tr>
    </w:tbl>
    <w:p>
      <w:pPr>
        <w:pStyle w:val="BodyText"/>
      </w:pPr>
      <w:r>
        <w:t xml:space="preserve">Superconducting platforms have advanced rapidly and are reviewed in detail by</w:t>
      </w:r>
      <w:r>
        <w:t xml:space="preserve"> </w:t>
      </w:r>
      <w:r>
        <w:t xml:space="preserve">Krantz et al. (</w:t>
      </w:r>
      <w:hyperlink w:anchor="ref-krantz2019">
        <w:r>
          <w:rPr>
            <w:rStyle w:val="Hyperlink"/>
          </w:rPr>
          <w:t xml:space="preserve">2019</w:t>
        </w:r>
      </w:hyperlink>
      <w:r>
        <w:t xml:space="preserve">)</w:t>
      </w:r>
      <w:r>
        <w:t xml:space="preserve"> </w:t>
      </w:r>
      <w:r>
        <w:t xml:space="preserve">and</w:t>
      </w:r>
      <w:r>
        <w:t xml:space="preserve"> </w:t>
      </w:r>
      <w:r>
        <w:t xml:space="preserve">Kjaergaard et al. (</w:t>
      </w:r>
      <w:hyperlink w:anchor="ref-kjaergaard2020">
        <w:r>
          <w:rPr>
            <w:rStyle w:val="Hyperlink"/>
          </w:rPr>
          <w:t xml:space="preserve">2020</w:t>
        </w:r>
      </w:hyperlink>
      <w:r>
        <w:t xml:space="preserve">)</w:t>
      </w:r>
      <w:r>
        <w:t xml:space="preserve">. Trapped-ion systems are reviewed by</w:t>
      </w:r>
      <w:r>
        <w:t xml:space="preserve"> </w:t>
      </w:r>
      <w:r>
        <w:t xml:space="preserve">Bruzewicz et al. (</w:t>
      </w:r>
      <w:hyperlink w:anchor="ref-bruzewicz2019">
        <w:r>
          <w:rPr>
            <w:rStyle w:val="Hyperlink"/>
          </w:rPr>
          <w:t xml:space="preserve">2019</w:t>
        </w:r>
      </w:hyperlink>
      <w:r>
        <w:t xml:space="preserve">)</w:t>
      </w:r>
      <w:r>
        <w:t xml:space="preserve">. Neutral atom systems are reviewed by</w:t>
      </w:r>
      <w:r>
        <w:t xml:space="preserve"> </w:t>
      </w:r>
      <w:r>
        <w:t xml:space="preserve">Saffman (</w:t>
      </w:r>
      <w:hyperlink w:anchor="ref-saffman2016">
        <w:r>
          <w:rPr>
            <w:rStyle w:val="Hyperlink"/>
          </w:rPr>
          <w:t xml:space="preserve">2016</w:t>
        </w:r>
      </w:hyperlink>
      <w:r>
        <w:t xml:space="preserve">)</w:t>
      </w:r>
      <w:r>
        <w:t xml:space="preserve"> </w:t>
      </w:r>
      <w:r>
        <w:t xml:space="preserve">and</w:t>
      </w:r>
      <w:r>
        <w:t xml:space="preserve"> </w:t>
      </w:r>
      <w:r>
        <w:t xml:space="preserve">Henriet et al. (</w:t>
      </w:r>
      <w:hyperlink w:anchor="ref-henriet2020">
        <w:r>
          <w:rPr>
            <w:rStyle w:val="Hyperlink"/>
          </w:rPr>
          <w:t xml:space="preserve">2020</w:t>
        </w:r>
      </w:hyperlink>
      <w:r>
        <w:t xml:space="preserve">)</w:t>
      </w:r>
      <w:r>
        <w:t xml:space="preserve">. Photonic systems are reviewed by</w:t>
      </w:r>
      <w:r>
        <w:t xml:space="preserve"> </w:t>
      </w:r>
      <w:r>
        <w:t xml:space="preserve">Slussarenko and Pryde (</w:t>
      </w:r>
      <w:hyperlink w:anchor="ref-slussarenko2019">
        <w:r>
          <w:rPr>
            <w:rStyle w:val="Hyperlink"/>
          </w:rPr>
          <w:t xml:space="preserve">2019</w:t>
        </w:r>
      </w:hyperlink>
      <w:r>
        <w:t xml:space="preserve">)</w:t>
      </w:r>
      <w:r>
        <w:t xml:space="preserve">. The comparison shows why qubit count alone is a weak metric. A device with more physical qubits may be less valuable than a smaller device with better gate fidelity, lower correlated noise, better connectivity, or a clearer route to logical error suppression.</w:t>
      </w:r>
    </w:p>
    <w:p>
      <w:pPr>
        <w:pStyle w:val="BodyText"/>
      </w:pPr>
      <w:r>
        <w:t xml:space="preserve">The strategic metric is logical-qubit economics. A useful quantum computer will not be defined by the number of physical qubits it contains. It will be defined by the cost, reliability, and speed of logical operations. Relevant metrics include logical error rate, code distance, cycle time, decoding latency, leakage, connectivity, calibration stability, circuit depth at useful fidelity, energy cost, and physical resources per logical qubit.</w:t>
      </w:r>
      <w:r>
        <w:t xml:space="preserve"> </w:t>
      </w:r>
      <w:r>
        <w:t xml:space="preserve">Proctor et al. (</w:t>
      </w:r>
      <w:hyperlink w:anchor="ref-proctor2022">
        <w:r>
          <w:rPr>
            <w:rStyle w:val="Hyperlink"/>
          </w:rPr>
          <w:t xml:space="preserve">2022</w:t>
        </w:r>
      </w:hyperlink>
      <w:r>
        <w:t xml:space="preserve">)</w:t>
      </w:r>
      <w:r>
        <w:t xml:space="preserve"> </w:t>
      </w:r>
      <w:r>
        <w:t xml:space="preserve">argue that quantum computer capability is measured by the programmes a processor can run successfully, not by a single scalar benchmark. This is the standard required for policy and procurement.</w:t>
      </w:r>
    </w:p>
    <w:bookmarkEnd w:id="46"/>
    <w:bookmarkStart w:id="52" w:name="Xba9a2e540e5882ab9634654e1488e955175d7ce"/>
    <w:p>
      <w:pPr>
        <w:pStyle w:val="Heading1"/>
      </w:pPr>
      <w:r>
        <w:t xml:space="preserve">7. Application Domains: Promise, Evidence, and Critique</w:t>
      </w:r>
    </w:p>
    <w:bookmarkStart w:id="47" w:name="chemistry-and-materials"/>
    <w:p>
      <w:pPr>
        <w:pStyle w:val="Heading2"/>
      </w:pPr>
      <w:r>
        <w:t xml:space="preserve">7.1 Chemistry and Materials</w:t>
      </w:r>
    </w:p>
    <w:p>
      <w:pPr>
        <w:pStyle w:val="FirstParagraph"/>
      </w:pPr>
      <w:r>
        <w:t xml:space="preserve">Chemistry and materials science remain the strongest long-run application case. Quantum computers may eventually simulate molecular and materials systems more naturally than classical machines</w:t>
      </w:r>
      <w:r>
        <w:t xml:space="preserve"> </w:t>
      </w:r>
      <w:r>
        <w:t xml:space="preserve">(</w:t>
      </w:r>
      <w:hyperlink w:anchor="ref-georgescu2014">
        <w:r>
          <w:rPr>
            <w:rStyle w:val="Hyperlink"/>
          </w:rPr>
          <w:t xml:space="preserve">Georgescu, Ashhab, and Nori 2014</w:t>
        </w:r>
      </w:hyperlink>
      <w:r>
        <w:t xml:space="preserve">;</w:t>
      </w:r>
      <w:r>
        <w:t xml:space="preserve"> </w:t>
      </w:r>
      <w:hyperlink w:anchor="ref-cao2019">
        <w:r>
          <w:rPr>
            <w:rStyle w:val="Hyperlink"/>
          </w:rPr>
          <w:t xml:space="preserve">Cao et al. 2019</w:t>
        </w:r>
      </w:hyperlink>
      <w:r>
        <w:t xml:space="preserve">;</w:t>
      </w:r>
      <w:r>
        <w:t xml:space="preserve"> </w:t>
      </w:r>
      <w:hyperlink w:anchor="ref-bauer2020">
        <w:r>
          <w:rPr>
            <w:rStyle w:val="Hyperlink"/>
          </w:rPr>
          <w:t xml:space="preserve">Bauer et al. 2020</w:t>
        </w:r>
      </w:hyperlink>
      <w:r>
        <w:t xml:space="preserve">)</w:t>
      </w:r>
      <w:r>
        <w:t xml:space="preserve">. Potential applications include catalysts, batteries, pharmaceuticals, high-temperature superconductors, corrosion, fertilizers, polymers, semiconductors, and carbon capture.</w:t>
      </w:r>
    </w:p>
    <w:p>
      <w:pPr>
        <w:pStyle w:val="BodyText"/>
      </w:pPr>
      <w:r>
        <w:t xml:space="preserve">The critique is that scientific relevance does not automatically produce industrial adoption. A useful workflow improves a decision in drug discovery, materials design, or manufacturing. It produces accuracy that matters, integrates with laboratory experiments, and reduces time or cost. The adoption pathway is therefore hybrid: quantum algorithms, classical high-performance computing, AI models, experiments, and domain experts working together.</w:t>
      </w:r>
    </w:p>
    <w:bookmarkEnd w:id="47"/>
    <w:bookmarkStart w:id="48" w:name="optimization"/>
    <w:p>
      <w:pPr>
        <w:pStyle w:val="Heading2"/>
      </w:pPr>
      <w:r>
        <w:t xml:space="preserve">7.2 Optimization</w:t>
      </w:r>
    </w:p>
    <w:p>
      <w:pPr>
        <w:pStyle w:val="FirstParagraph"/>
      </w:pPr>
      <w:r>
        <w:t xml:space="preserve">Optimization is often cited as the earliest commercial opportunity, but it is also the easiest area to overstate. Logistics, portfolio optimization, scheduling, grid management, and supply chains are valuable, but classical optimization is extraordinarily strong. Mixed-integer programming, constraint programming, heuristics, approximation algorithms, GPUs, and domain-specific solvers already perform well. A quantum optimization claim is credible only when it beats the best classical baseline on a relevant instance at a relevant cost.</w:t>
      </w:r>
    </w:p>
    <w:p>
      <w:pPr>
        <w:pStyle w:val="BodyText"/>
      </w:pPr>
      <w:r>
        <w:t xml:space="preserve">The more realistic near-term role is exploratory: quantum annealing, QAOA-like workflows, and quantum-inspired methods can help identify problem classes and software practices. They are not general replacements for operations research.</w:t>
      </w:r>
    </w:p>
    <w:bookmarkEnd w:id="48"/>
    <w:bookmarkStart w:id="49" w:name="finance"/>
    <w:p>
      <w:pPr>
        <w:pStyle w:val="Heading2"/>
      </w:pPr>
      <w:r>
        <w:t xml:space="preserve">7.3 Finance</w:t>
      </w:r>
    </w:p>
    <w:p>
      <w:pPr>
        <w:pStyle w:val="FirstParagraph"/>
      </w:pPr>
      <w:r>
        <w:t xml:space="preserve">Finance is attractive because small improvements in risk, optimization, sampling, or pricing can create large value.</w:t>
      </w:r>
      <w:r>
        <w:t xml:space="preserve"> </w:t>
      </w:r>
      <w:r>
        <w:t xml:space="preserve">Orus, Mugel, and Lizaso (</w:t>
      </w:r>
      <w:hyperlink w:anchor="ref-orus2019">
        <w:r>
          <w:rPr>
            <w:rStyle w:val="Hyperlink"/>
          </w:rPr>
          <w:t xml:space="preserve">2019</w:t>
        </w:r>
      </w:hyperlink>
      <w:r>
        <w:t xml:space="preserve">)</w:t>
      </w:r>
      <w:r>
        <w:t xml:space="preserve"> </w:t>
      </w:r>
      <w:r>
        <w:t xml:space="preserve">and</w:t>
      </w:r>
      <w:r>
        <w:t xml:space="preserve"> </w:t>
      </w:r>
      <w:r>
        <w:t xml:space="preserve">Egger et al. (</w:t>
      </w:r>
      <w:hyperlink w:anchor="ref-egger2020">
        <w:r>
          <w:rPr>
            <w:rStyle w:val="Hyperlink"/>
          </w:rPr>
          <w:t xml:space="preserve">2020</w:t>
        </w:r>
      </w:hyperlink>
      <w:r>
        <w:t xml:space="preserve">)</w:t>
      </w:r>
      <w:r>
        <w:t xml:space="preserve"> </w:t>
      </w:r>
      <w:r>
        <w:t xml:space="preserve">review potential finance applications including portfolio optimization, Monte Carlo acceleration, risk analysis, credit scoring, and derivatives pricing. The most serious institutions will not ask whether quantum computing is fashionable. They will ask whether it improves model quality, speed, regulatory auditability, and capital allocation compared with classical methods.</w:t>
      </w:r>
    </w:p>
    <w:bookmarkEnd w:id="49"/>
    <w:bookmarkStart w:id="50" w:name="machine-learning-and-ai"/>
    <w:p>
      <w:pPr>
        <w:pStyle w:val="Heading2"/>
      </w:pPr>
      <w:r>
        <w:t xml:space="preserve">7.4 Machine Learning and AI</w:t>
      </w:r>
    </w:p>
    <w:p>
      <w:pPr>
        <w:pStyle w:val="FirstParagraph"/>
      </w:pPr>
      <w:r>
        <w:t xml:space="preserve">Quantum machine learning is intellectually rich but commercially immature.</w:t>
      </w:r>
      <w:r>
        <w:t xml:space="preserve"> </w:t>
      </w:r>
      <w:r>
        <w:t xml:space="preserve">Biamonte et al. (</w:t>
      </w:r>
      <w:hyperlink w:anchor="ref-biamonte2017">
        <w:r>
          <w:rPr>
            <w:rStyle w:val="Hyperlink"/>
          </w:rPr>
          <w:t xml:space="preserve">2017</w:t>
        </w:r>
      </w:hyperlink>
      <w:r>
        <w:t xml:space="preserve">)</w:t>
      </w:r>
      <w:r>
        <w:t xml:space="preserve"> </w:t>
      </w:r>
      <w:r>
        <w:t xml:space="preserve">identify reasons quantum systems may support useful learning models.</w:t>
      </w:r>
      <w:r>
        <w:t xml:space="preserve"> </w:t>
      </w:r>
      <w:r>
        <w:t xml:space="preserve">Schuld and Killoran (</w:t>
      </w:r>
      <w:hyperlink w:anchor="ref-schuld2019">
        <w:r>
          <w:rPr>
            <w:rStyle w:val="Hyperlink"/>
          </w:rPr>
          <w:t xml:space="preserve">2019</w:t>
        </w:r>
      </w:hyperlink>
      <w:r>
        <w:t xml:space="preserve">)</w:t>
      </w:r>
      <w:r>
        <w:t xml:space="preserve"> </w:t>
      </w:r>
      <w:r>
        <w:t xml:space="preserve">connect quantum feature maps with kernel methods.</w:t>
      </w:r>
      <w:r>
        <w:t xml:space="preserve"> </w:t>
      </w:r>
      <w:r>
        <w:t xml:space="preserve">McClean et al. (</w:t>
      </w:r>
      <w:hyperlink w:anchor="ref-mcclean2018">
        <w:r>
          <w:rPr>
            <w:rStyle w:val="Hyperlink"/>
          </w:rPr>
          <w:t xml:space="preserve">2018</w:t>
        </w:r>
      </w:hyperlink>
      <w:r>
        <w:t xml:space="preserve">)</w:t>
      </w:r>
      <w:r>
        <w:t xml:space="preserve"> </w:t>
      </w:r>
      <w:r>
        <w:t xml:space="preserve">show that training can fail through barren plateaus. The resulting policy advice is straightforward: QML belongs in the research portfolio, not in exaggerated enterprise transformation claims. The near-term value may come more from AI improving quantum systems - calibration, error mitigation, pulse design, materials discovery, and control - than from quantum systems improving mainstream AI.</w:t>
      </w:r>
    </w:p>
    <w:bookmarkEnd w:id="50"/>
    <w:bookmarkStart w:id="51" w:name="cybersecurity"/>
    <w:p>
      <w:pPr>
        <w:pStyle w:val="Heading2"/>
      </w:pPr>
      <w:r>
        <w:t xml:space="preserve">7.5 Cybersecurity</w:t>
      </w:r>
    </w:p>
    <w:p>
      <w:pPr>
        <w:pStyle w:val="FirstParagraph"/>
      </w:pPr>
      <w:r>
        <w:t xml:space="preserve">Cybersecurity is the most immediate cross-sectoral application because PQC migration affects almost every digital system. The core policy issue is time. Data requiring confidentiality for 10, 20, or 30 years may be vulnerable to future quantum decryption. Large organizations may need many years to inventory and migrate cryptographic assets. If the sum of data shelf life and migration time exceeds the time to a cryptographically relevant quantum computer, action is late by definition</w:t>
      </w:r>
      <w:r>
        <w:t xml:space="preserve"> </w:t>
      </w:r>
      <w:r>
        <w:t xml:space="preserve">(</w:t>
      </w:r>
      <w:hyperlink w:anchor="ref-mosca2018">
        <w:r>
          <w:rPr>
            <w:rStyle w:val="Hyperlink"/>
          </w:rPr>
          <w:t xml:space="preserve">Mosca 2018</w:t>
        </w:r>
      </w:hyperlink>
      <w:r>
        <w:t xml:space="preserve">)</w:t>
      </w:r>
      <w:r>
        <w:t xml:space="preserve">.</w:t>
      </w:r>
    </w:p>
    <w:bookmarkEnd w:id="51"/>
    <w:bookmarkEnd w:id="52"/>
    <w:bookmarkStart w:id="53" w:name="Xd152f11d408fea97a4879c1f001ab37183da97d"/>
    <w:p>
      <w:pPr>
        <w:pStyle w:val="Heading1"/>
      </w:pPr>
      <w:r>
        <w:t xml:space="preserve">8. High-Performance Computing and Quantum Computing</w:t>
      </w:r>
    </w:p>
    <w:p>
      <w:pPr>
        <w:pStyle w:val="FirstParagraph"/>
      </w:pPr>
      <w:r>
        <w:t xml:space="preserve">The adoption pathway for quantum computing is inseparable from high-performance computing. Quantum computers are unlikely to replace classical supercomputers as general-purpose machines. The more plausible transition is an accelerator model in which quantum processing units are integrated into heterogeneous HPC environments alongside CPUs, GPUs, storage systems, workflow managers, schedulers, and scientific software stacks. In this architecture, quantum computation is invoked only for subroutines where a quantum representation may improve simulation, sampling, optimization, or linear-algebra tasks, while classical HPC performs data preparation, orchestration, error mitigation, optimization loops, verification, and post-processing.</w:t>
      </w:r>
    </w:p>
    <w:p>
      <w:pPr>
        <w:pStyle w:val="BodyText"/>
      </w:pPr>
      <w:r>
        <w:t xml:space="preserve">Recent HPC-QC research reflects this transition.</w:t>
      </w:r>
      <w:r>
        <w:t xml:space="preserve"> </w:t>
      </w:r>
      <w:r>
        <w:t xml:space="preserve">Cranganore et al. (</w:t>
      </w:r>
      <w:hyperlink w:anchor="ref-cranganore2024">
        <w:r>
          <w:rPr>
            <w:rStyle w:val="Hyperlink"/>
          </w:rPr>
          <w:t xml:space="preserve">2024</w:t>
        </w:r>
      </w:hyperlink>
      <w:r>
        <w:t xml:space="preserve">)</w:t>
      </w:r>
      <w:r>
        <w:t xml:space="preserve"> </w:t>
      </w:r>
      <w:r>
        <w:t xml:space="preserve">formalize hybrid quantum-classical scientific workflows and identify workflow-management requirements for mapping classical scientific pipelines onto hybrid resources.</w:t>
      </w:r>
      <w:r>
        <w:t xml:space="preserve"> </w:t>
      </w:r>
      <w:r>
        <w:t xml:space="preserve">Beck et al. (</w:t>
      </w:r>
      <w:hyperlink w:anchor="ref-beck2024">
        <w:r>
          <w:rPr>
            <w:rStyle w:val="Hyperlink"/>
          </w:rPr>
          <w:t xml:space="preserve">2024</w:t>
        </w:r>
      </w:hyperlink>
      <w:r>
        <w:t xml:space="preserve">)</w:t>
      </w:r>
      <w:r>
        <w:t xml:space="preserve"> </w:t>
      </w:r>
      <w:r>
        <w:t xml:space="preserve">frame quantum computing as a computational accelerator within scientific HPC ecosystems, emphasizing hardware-agnostic integration, benchmarks, user interfaces, and workflow management.</w:t>
      </w:r>
      <w:r>
        <w:t xml:space="preserve"> </w:t>
      </w:r>
      <w:r>
        <w:t xml:space="preserve">Liu et al. (</w:t>
      </w:r>
      <w:hyperlink w:anchor="ref-liu2024">
        <w:r>
          <w:rPr>
            <w:rStyle w:val="Hyperlink"/>
          </w:rPr>
          <w:t xml:space="preserve">2024</w:t>
        </w:r>
      </w:hyperlink>
      <w:r>
        <w:t xml:space="preserve">)</w:t>
      </w:r>
      <w:r>
        <w:t xml:space="preserve"> </w:t>
      </w:r>
      <w:r>
        <w:t xml:space="preserve">develop a quantum-centric HPC perspective for quantum chemistry, where quantum algorithms, quantum emulators, and classical HPC resources jointly support chemical simulation. This literature shifts the question from</w:t>
      </w:r>
      <w:r>
        <w:t xml:space="preserve"> </w:t>
      </w:r>
      <w:r>
        <w:t xml:space="preserve">“</w:t>
      </w:r>
      <w:r>
        <w:t xml:space="preserve">when will quantum computers replace supercomputers?</w:t>
      </w:r>
      <w:r>
        <w:t xml:space="preserve">”</w:t>
      </w:r>
      <w:r>
        <w:t xml:space="preserve"> </w:t>
      </w:r>
      <w:r>
        <w:t xml:space="preserve">to</w:t>
      </w:r>
      <w:r>
        <w:t xml:space="preserve"> </w:t>
      </w:r>
      <w:r>
        <w:t xml:space="preserve">“</w:t>
      </w:r>
      <w:r>
        <w:t xml:space="preserve">which components of a scientific workflow can be delegated to a QPU under realistic latency, noise, queueing, and verification constraints?</w:t>
      </w:r>
      <w:r>
        <w:t xml:space="preserve">”</w:t>
      </w:r>
    </w:p>
    <w:p>
      <w:pPr>
        <w:pStyle w:val="BodyText"/>
      </w:pPr>
      <w:r>
        <w:t xml:space="preserve">The HPC view changes four elements of quantum strategy. First, it changes infrastructure. A useful quantum computing ecosystem requires not only QPUs and cloud accounts, but also schedulers, middleware, compilers, error-mitigation software, data movement protocols, provenance systems, reproducibility controls, and interfaces with existing scientific codes. Second, it changes benchmarking. A quantum subroutine must be evaluated inside a full workflow, including data-loading cost, classical optimization time, queue latency, error-mitigation overhead, and validation against classical HPC baselines. Third, it changes workforce formation. Quantum computing adoption requires computational scientists and HPC engineers who can decompose applications into classical and quantum components, not only physicists who understand qubits. Fourth, it changes national procurement. A country that invests in quantum computing without HPC integration capacity risks buying isolated devices that cannot support scientific or industrial workflows.</w:t>
      </w:r>
    </w:p>
    <w:p>
      <w:pPr>
        <w:pStyle w:val="BodyText"/>
      </w:pPr>
      <w:r>
        <w:t xml:space="preserve">The complementarity is especially important for middle-income and emerging quantum economies. Domestic ownership of a leading quantum computer may be unrealistic in the short run, but access to HPC centers, GPU clusters, scientific workflow systems, and cloud-based QPUs can still create meaningful absorptive capacity. The strategic objective is therefore not a binary transition from HPC to quantum computing. It is the construction of an HPC-QC continuum in which classical supercomputing remains the operational substrate and quantum computing enters as a specialized accelerator when evidence justifies it.</w:t>
      </w:r>
    </w:p>
    <w:bookmarkEnd w:id="53"/>
    <w:bookmarkStart w:id="54" w:name="comparative-national-strategy"/>
    <w:p>
      <w:pPr>
        <w:pStyle w:val="Heading1"/>
      </w:pPr>
      <w:r>
        <w:t xml:space="preserve">9. Comparative National Strategy</w:t>
      </w:r>
    </w:p>
    <w:p>
      <w:pPr>
        <w:pStyle w:val="FirstParagraph"/>
      </w:pPr>
      <w:r>
        <w:t xml:space="preserve">Different national models reveal different strategic theories.</w:t>
      </w:r>
    </w:p>
    <w:p>
      <w:pPr>
        <w:pStyle w:val="BodyText"/>
      </w:pPr>
      <w:r>
        <w:t xml:space="preserve">The United States combines federal coordination, national laboratories, universities, venture capital, major cloud platforms, and defense-linked research. Its advantage is ecosystem diversity and private capital depth. Its weakness is fragmentation and uneven translation across agencies and sectors.</w:t>
      </w:r>
    </w:p>
    <w:p>
      <w:pPr>
        <w:pStyle w:val="BodyText"/>
      </w:pPr>
      <w:r>
        <w:t xml:space="preserve">China has emphasized state-directed investment, secure communication infrastructure, and technological self-reliance. Its advantage is coordination and strategic focus. Its weakness may be lower transparency and a risk of overbuilding symbolic infrastructure before operational value is clear.</w:t>
      </w:r>
    </w:p>
    <w:p>
      <w:pPr>
        <w:pStyle w:val="BodyText"/>
      </w:pPr>
      <w:r>
        <w:t xml:space="preserve">Europe emphasizes cross-border coordination, public research networks, standards, and strategic autonomy. Its advantage is institutional coordination and research quality. Its weakness is commercialization speed and fragmentation across national markets.</w:t>
      </w:r>
    </w:p>
    <w:p>
      <w:pPr>
        <w:pStyle w:val="BodyText"/>
      </w:pPr>
      <w:r>
        <w:t xml:space="preserve">Middle-income and manufacturing-intensive countries face a different problem. They cannot simply copy the largest programmes. Their strategic opportunity is selective capability building: PQC migration, quantum sensing for public missions, cloud-mediated access to quantum computing, metrology laboratories, workforce networks, and participation in standards. The right goal is not to immediately own every layer of the stack. It is to avoid becoming merely a buyer of quantum technologies designed, benchmarked, and governed elsewhere.</w:t>
      </w:r>
    </w:p>
    <w:bookmarkEnd w:id="54"/>
    <w:bookmarkStart w:id="58" w:name="Xfa8ecb67489a6272035dc3ced437796e15c3f97"/>
    <w:p>
      <w:pPr>
        <w:pStyle w:val="Heading1"/>
      </w:pPr>
      <w:r>
        <w:t xml:space="preserve">10. Toward a National Quantum Capability Model</w:t>
      </w:r>
    </w:p>
    <w:p>
      <w:pPr>
        <w:pStyle w:val="FirstParagraph"/>
      </w:pPr>
      <w:r>
        <w:t xml:space="preserve">The evidence supports a capability model with seven pillars.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Core capability</w:t>
            </w:r>
          </w:p>
        </w:tc>
        <w:tc>
          <w:tcPr/>
          <w:p>
            <w:pPr>
              <w:pStyle w:val="Compact"/>
              <w:jc w:val="left"/>
            </w:pPr>
            <w:r>
              <w:t xml:space="preserve">Main institutional question</w:t>
            </w:r>
          </w:p>
        </w:tc>
      </w:tr>
      <w:tr>
        <w:tc>
          <w:tcPr/>
          <w:p>
            <w:pPr>
              <w:pStyle w:val="Compact"/>
              <w:jc w:val="left"/>
            </w:pPr>
            <w:r>
              <w:t xml:space="preserve">Scientific frontier</w:t>
            </w:r>
          </w:p>
        </w:tc>
        <w:tc>
          <w:tcPr/>
          <w:p>
            <w:pPr>
              <w:pStyle w:val="Compact"/>
              <w:jc w:val="left"/>
            </w:pPr>
            <w:r>
              <w:t xml:space="preserve">Research in quantum information, algorithms, metrology, materials, error correction, foundations</w:t>
            </w:r>
          </w:p>
        </w:tc>
        <w:tc>
          <w:tcPr/>
          <w:p>
            <w:pPr>
              <w:pStyle w:val="Compact"/>
              <w:jc w:val="left"/>
            </w:pPr>
            <w:r>
              <w:t xml:space="preserve">Can the country participate in frontier knowledge production?</w:t>
            </w:r>
          </w:p>
        </w:tc>
      </w:tr>
      <w:tr>
        <w:tc>
          <w:tcPr/>
          <w:p>
            <w:pPr>
              <w:pStyle w:val="Compact"/>
              <w:jc w:val="left"/>
            </w:pPr>
            <w:r>
              <w:t xml:space="preserve">Security transition</w:t>
            </w:r>
          </w:p>
        </w:tc>
        <w:tc>
          <w:tcPr/>
          <w:p>
            <w:pPr>
              <w:pStyle w:val="Compact"/>
              <w:jc w:val="left"/>
            </w:pPr>
            <w:r>
              <w:t xml:space="preserve">PQC migration, crypto-agility, long-lived data protection</w:t>
            </w:r>
          </w:p>
        </w:tc>
        <w:tc>
          <w:tcPr/>
          <w:p>
            <w:pPr>
              <w:pStyle w:val="Compact"/>
              <w:jc w:val="left"/>
            </w:pPr>
            <w:r>
              <w:t xml:space="preserve">Can critical systems remain secure through the quantum transition?</w:t>
            </w:r>
          </w:p>
        </w:tc>
      </w:tr>
      <w:tr>
        <w:tc>
          <w:tcPr/>
          <w:p>
            <w:pPr>
              <w:pStyle w:val="Compact"/>
              <w:jc w:val="left"/>
            </w:pPr>
            <w:r>
              <w:t xml:space="preserve">Sensing and metrology</w:t>
            </w:r>
          </w:p>
        </w:tc>
        <w:tc>
          <w:tcPr/>
          <w:p>
            <w:pPr>
              <w:pStyle w:val="Compact"/>
              <w:jc w:val="left"/>
            </w:pPr>
            <w:r>
              <w:t xml:space="preserve">Atomic clocks, magnetometry, gravimetry, inertial sensing, calibration</w:t>
            </w:r>
          </w:p>
        </w:tc>
        <w:tc>
          <w:tcPr/>
          <w:p>
            <w:pPr>
              <w:pStyle w:val="Compact"/>
              <w:jc w:val="left"/>
            </w:pPr>
            <w:r>
              <w:t xml:space="preserve">Can quantum measurement solve national problems in territory, water, health, energy, and infrastructure?</w:t>
            </w:r>
          </w:p>
        </w:tc>
      </w:tr>
      <w:tr>
        <w:tc>
          <w:tcPr/>
          <w:p>
            <w:pPr>
              <w:pStyle w:val="Compact"/>
              <w:jc w:val="left"/>
            </w:pPr>
            <w:r>
              <w:t xml:space="preserve">HPC-QC computing access</w:t>
            </w:r>
          </w:p>
        </w:tc>
        <w:tc>
          <w:tcPr/>
          <w:p>
            <w:pPr>
              <w:pStyle w:val="Compact"/>
              <w:jc w:val="left"/>
            </w:pPr>
            <w:r>
              <w:t xml:space="preserve">QCaaS, HPC integration, hybrid workflows, benchmarks, quantum software</w:t>
            </w:r>
          </w:p>
        </w:tc>
        <w:tc>
          <w:tcPr/>
          <w:p>
            <w:pPr>
              <w:pStyle w:val="Compact"/>
              <w:jc w:val="left"/>
            </w:pPr>
            <w:r>
              <w:t xml:space="preserve">Can institutions learn without premature hardware lock-in while preserving continuity with scientific computing infrastructure?</w:t>
            </w:r>
          </w:p>
        </w:tc>
      </w:tr>
      <w:tr>
        <w:tc>
          <w:tcPr/>
          <w:p>
            <w:pPr>
              <w:pStyle w:val="Compact"/>
              <w:jc w:val="left"/>
            </w:pPr>
            <w:r>
              <w:t xml:space="preserve">Standards and procurement</w:t>
            </w:r>
          </w:p>
        </w:tc>
        <w:tc>
          <w:tcPr/>
          <w:p>
            <w:pPr>
              <w:pStyle w:val="Compact"/>
              <w:jc w:val="left"/>
            </w:pPr>
            <w:r>
              <w:t xml:space="preserve">Benchmarking, interoperability, vendor evaluation, anti-hype criteria</w:t>
            </w:r>
          </w:p>
        </w:tc>
        <w:tc>
          <w:tcPr/>
          <w:p>
            <w:pPr>
              <w:pStyle w:val="Compact"/>
              <w:jc w:val="left"/>
            </w:pPr>
            <w:r>
              <w:t xml:space="preserve">Can public and private buyers distinguish performance from narrative?</w:t>
            </w:r>
          </w:p>
        </w:tc>
      </w:tr>
      <w:tr>
        <w:tc>
          <w:tcPr/>
          <w:p>
            <w:pPr>
              <w:pStyle w:val="Compact"/>
              <w:jc w:val="left"/>
            </w:pPr>
            <w:r>
              <w:t xml:space="preserve">Workforce</w:t>
            </w:r>
          </w:p>
        </w:tc>
        <w:tc>
          <w:tcPr/>
          <w:p>
            <w:pPr>
              <w:pStyle w:val="Compact"/>
              <w:jc w:val="left"/>
            </w:pPr>
            <w:r>
              <w:t xml:space="preserve">Researchers, engineers, technicians, cybersecurity professionals, procurement officers</w:t>
            </w:r>
          </w:p>
        </w:tc>
        <w:tc>
          <w:tcPr/>
          <w:p>
            <w:pPr>
              <w:pStyle w:val="Compact"/>
              <w:jc w:val="left"/>
            </w:pPr>
            <w:r>
              <w:t xml:space="preserve">Can the ecosystem build the missing middle between physics PhDs and operational deployment?</w:t>
            </w:r>
          </w:p>
        </w:tc>
      </w:tr>
      <w:tr>
        <w:tc>
          <w:tcPr/>
          <w:p>
            <w:pPr>
              <w:pStyle w:val="Compact"/>
              <w:jc w:val="left"/>
            </w:pPr>
            <w:r>
              <w:t xml:space="preserve">Industrial position</w:t>
            </w:r>
          </w:p>
        </w:tc>
        <w:tc>
          <w:tcPr/>
          <w:p>
            <w:pPr>
              <w:pStyle w:val="Compact"/>
              <w:jc w:val="left"/>
            </w:pPr>
            <w:r>
              <w:t xml:space="preserve">Components, control systems, photonics, cryogenics, software, sensing integration</w:t>
            </w:r>
          </w:p>
        </w:tc>
        <w:tc>
          <w:tcPr/>
          <w:p>
            <w:pPr>
              <w:pStyle w:val="Compact"/>
              <w:jc w:val="left"/>
            </w:pPr>
            <w:r>
              <w:t xml:space="preserve">Where can domestic firms enter the value chain realistically?</w:t>
            </w:r>
          </w:p>
        </w:tc>
      </w:tr>
    </w:tbl>
    <w:p>
      <w:pPr>
        <w:pStyle w:val="BodyText"/>
      </w:pPr>
      <w:r>
        <w:t xml:space="preserve">The workforce pillar deserves emphasis.</w:t>
      </w:r>
      <w:r>
        <w:t xml:space="preserve"> </w:t>
      </w:r>
      <w:r>
        <w:t xml:space="preserve">Kaur and Venegas-Gomez (</w:t>
      </w:r>
      <w:hyperlink w:anchor="ref-kaur2022">
        <w:r>
          <w:rPr>
            <w:rStyle w:val="Hyperlink"/>
          </w:rPr>
          <w:t xml:space="preserve">2022</w:t>
        </w:r>
      </w:hyperlink>
      <w:r>
        <w:t xml:space="preserve">)</w:t>
      </w:r>
      <w:r>
        <w:t xml:space="preserve"> </w:t>
      </w:r>
      <w:r>
        <w:t xml:space="preserve">show that quantum education initiatives are expanding globally, but the workforce problem is not only a need for more PhDs. Quantum industries require technicians and engineers who can align lasers, operate cryostats, build RF control systems, manage vacuum systems, write firmware, perform calibration, design software interfaces, audit cryptography, and translate domain problems into testable workflows. A nation that trains only researchers but not operators will remain dependent on imported systems.</w:t>
      </w:r>
    </w:p>
    <w:p>
      <w:pPr>
        <w:pStyle w:val="CaptionedFigure"/>
      </w:pPr>
      <w:r>
        <w:drawing>
          <wp:inline>
            <wp:extent cx="5067300" cy="3124835"/>
            <wp:effectExtent b="0" l="0" r="0" t="0"/>
            <wp:docPr descr="Sequencing of national quantum capabilities. The heatmap scores strategic priority across three roadmap phases, emphasizing that PQC, workforce, standards, sensing, QCaaS, communication, and frontier R&amp;D mature on different policy timelines." title="" id="56" name="Picture"/>
            <a:graphic>
              <a:graphicData uri="http://schemas.openxmlformats.org/drawingml/2006/picture">
                <pic:pic>
                  <pic:nvPicPr>
                    <pic:cNvPr descr="figures/fig4_capability_heatmap.png" id="57" name="Picture"/>
                    <pic:cNvPicPr>
                      <a:picLocks noChangeArrowheads="1" noChangeAspect="1"/>
                    </pic:cNvPicPr>
                  </pic:nvPicPr>
                  <pic:blipFill>
                    <a:blip r:embed="rId55"/>
                    <a:stretch>
                      <a:fillRect/>
                    </a:stretch>
                  </pic:blipFill>
                  <pic:spPr bwMode="auto">
                    <a:xfrm>
                      <a:off x="0" y="0"/>
                      <a:ext cx="5067300" cy="3124835"/>
                    </a:xfrm>
                    <a:prstGeom prst="rect">
                      <a:avLst/>
                    </a:prstGeom>
                    <a:noFill/>
                    <a:ln w="9525">
                      <a:noFill/>
                      <a:headEnd/>
                      <a:tailEnd/>
                    </a:ln>
                  </pic:spPr>
                </pic:pic>
              </a:graphicData>
            </a:graphic>
          </wp:inline>
        </w:drawing>
      </w:r>
    </w:p>
    <w:p>
      <w:pPr>
        <w:pStyle w:val="ImageCaption"/>
      </w:pPr>
      <w:r>
        <w:t xml:space="preserve">Sequencing of national quantum capabilities. The heatmap scores strategic priority across three roadmap phases, emphasizing that PQC, workforce, standards, sensing, QCaaS, communication, and frontier R&amp;D mature on different policy timelines.</w:t>
      </w:r>
    </w:p>
    <w:bookmarkEnd w:id="58"/>
    <w:bookmarkStart w:id="65" w:name="strategic-roadmap-2025-2035"/>
    <w:p>
      <w:pPr>
        <w:pStyle w:val="Heading1"/>
      </w:pPr>
      <w:r>
        <w:t xml:space="preserve">11. Strategic Roadmap, 2025-2035</w:t>
      </w:r>
    </w:p>
    <w:bookmarkStart w:id="59" w:name="X9b04312007afe604e10c97330c9209dc9dbfd0b"/>
    <w:p>
      <w:pPr>
        <w:pStyle w:val="Heading2"/>
      </w:pPr>
      <w:r>
        <w:t xml:space="preserve">11.1 Phase I: Preparation and Security, 2025-2027</w:t>
      </w:r>
    </w:p>
    <w:p>
      <w:pPr>
        <w:pStyle w:val="FirstParagraph"/>
      </w:pPr>
      <w:r>
        <w:t xml:space="preserve">The first phase is not about buying a national quantum computer. It is about becoming a competent adopter. Core institutional actions include a quantum readiness office, cryptographic asset inventories, PQC migration priorities for long-lived data, procurement language for quantum-safe systems, quantum sensing feasibility studies, QCaaS access for universities and agencies, HPC-QC workflow training, and workforce modules for engineers, cybersecurity professionals, and public-sector decision makers.</w:t>
      </w:r>
    </w:p>
    <w:p>
      <w:pPr>
        <w:pStyle w:val="BodyText"/>
      </w:pPr>
      <w:r>
        <w:t xml:space="preserve">The measurable outputs are not press releases. They are inventories, trained personnel, use-case pipelines, testable requirements, procurement standards, and baseline institutional competence.</w:t>
      </w:r>
    </w:p>
    <w:bookmarkEnd w:id="59"/>
    <w:bookmarkStart w:id="60" w:name="Xe3490ac65ae29bbb07174bc42cea2105328fd08"/>
    <w:p>
      <w:pPr>
        <w:pStyle w:val="Heading2"/>
      </w:pPr>
      <w:r>
        <w:t xml:space="preserve">11.2 Phase II: Testbeds and Mission Pilots, 2027-2030</w:t>
      </w:r>
    </w:p>
    <w:p>
      <w:pPr>
        <w:pStyle w:val="FirstParagraph"/>
      </w:pPr>
      <w:r>
        <w:t xml:space="preserve">The second phase centers on operational learning. Quantum sensing pilots can be linked to water, energy, health, geodesy, infrastructure, mining, and environmental risk. PQC migration moves from planning to staged implementation. Quantum software testbeds evaluate algorithms against classical baselines. HPC centers test hybrid quantum-classical workflows, including scheduler integration, simulator-to-hardware transition, and workflow provenance. Telecom and research institutions can test QKD and early network components where high-value links justify the cost. Standards laboratories evaluate vendor claims.</w:t>
      </w:r>
    </w:p>
    <w:p>
      <w:pPr>
        <w:pStyle w:val="BodyText"/>
      </w:pPr>
      <w:r>
        <w:t xml:space="preserve">The main risk in this phase is quantum washing. Vendors and agencies may label classical, quantum-inspired, or immature systems as strategic breakthroughs. The protection is benchmark discipline: every pilot requires a classical baseline, a performance metric, a cost metric, a verification method, and a decision rule.</w:t>
      </w:r>
    </w:p>
    <w:bookmarkEnd w:id="60"/>
    <w:bookmarkStart w:id="64" w:name="X90a24224f9f2abefa87788d1415f4d79a30e461"/>
    <w:p>
      <w:pPr>
        <w:pStyle w:val="Heading2"/>
      </w:pPr>
      <w:r>
        <w:t xml:space="preserve">11.3 Phase III: Selective Scaling and Frontier Integration, 2030-2035</w:t>
      </w:r>
    </w:p>
    <w:p>
      <w:pPr>
        <w:pStyle w:val="FirstParagraph"/>
      </w:pPr>
      <w:r>
        <w:t xml:space="preserve">The third phase scales only what has demonstrated value. Sensing systems that solve mission problems can move into procurement. PQC can become standard across public digital infrastructure. Quantum computing can expand where workflows show credible advantage or where workforce and scientific value justify continued experimentation. National research deepens in error correction, logical qubits, quantum repeaters, device-independent security, quantum metrology, quantum materials, and foundations.</w:t>
      </w:r>
    </w:p>
    <w:p>
      <w:pPr>
        <w:pStyle w:val="CaptionedFigure"/>
      </w:pPr>
      <w:r>
        <w:drawing>
          <wp:inline>
            <wp:extent cx="5067300" cy="2618105"/>
            <wp:effectExtent b="0" l="0" r="0" t="0"/>
            <wp:docPr descr="Roadmap for national quantum capability formation, 2025-2035. The sequence is organized around institutional readiness, operational learning, and selective scaling rather than prediction of a single hardware breakthrough." title="" id="62" name="Picture"/>
            <a:graphic>
              <a:graphicData uri="http://schemas.openxmlformats.org/drawingml/2006/picture">
                <pic:pic>
                  <pic:nvPicPr>
                    <pic:cNvPr descr="figures/fig5_roadmap_timeline.png" id="63" name="Picture"/>
                    <pic:cNvPicPr>
                      <a:picLocks noChangeArrowheads="1" noChangeAspect="1"/>
                    </pic:cNvPicPr>
                  </pic:nvPicPr>
                  <pic:blipFill>
                    <a:blip r:embed="rId61"/>
                    <a:stretch>
                      <a:fillRect/>
                    </a:stretch>
                  </pic:blipFill>
                  <pic:spPr bwMode="auto">
                    <a:xfrm>
                      <a:off x="0" y="0"/>
                      <a:ext cx="5067300" cy="2618105"/>
                    </a:xfrm>
                    <a:prstGeom prst="rect">
                      <a:avLst/>
                    </a:prstGeom>
                    <a:noFill/>
                    <a:ln w="9525">
                      <a:noFill/>
                      <a:headEnd/>
                      <a:tailEnd/>
                    </a:ln>
                  </pic:spPr>
                </pic:pic>
              </a:graphicData>
            </a:graphic>
          </wp:inline>
        </w:drawing>
      </w:r>
    </w:p>
    <w:p>
      <w:pPr>
        <w:pStyle w:val="ImageCaption"/>
      </w:pPr>
      <w:r>
        <w:t xml:space="preserve">Roadmap for national quantum capability formation, 2025-2035. The sequence is organized around institutional readiness, operational learning, and selective scaling rather than prediction of a single hardware breakthrough.</w:t>
      </w:r>
    </w:p>
    <w:p>
      <w:pPr>
        <w:pStyle w:val="BodyText"/>
      </w:pPr>
      <w:r>
        <w:t xml:space="preserve">The strategic objective is optionality. By 2035, the successful nation is not necessarily the one with the largest announced quantum computer. It is the one with trained people, secure cryptography, functioning testbeds, standards capacity, metrology capability, domain pilots, international partnerships, and a research base connected to the frontier.</w:t>
      </w:r>
    </w:p>
    <w:bookmarkEnd w:id="64"/>
    <w:bookmarkEnd w:id="65"/>
    <w:bookmarkStart w:id="66" w:name="frontier-research-agenda"/>
    <w:p>
      <w:pPr>
        <w:pStyle w:val="Heading1"/>
      </w:pPr>
      <w:r>
        <w:t xml:space="preserve">12. Frontier Research Agenda</w:t>
      </w:r>
    </w:p>
    <w:p>
      <w:pPr>
        <w:pStyle w:val="FirstParagraph"/>
      </w:pPr>
      <w:r>
        <w:t xml:space="preserve">National quantum strategy includes frontier topics that are not immediately commercial. These areas generate instruments, expertise, and long-term autonomy.</w:t>
      </w:r>
    </w:p>
    <w:p>
      <w:pPr>
        <w:pStyle w:val="BodyText"/>
      </w:pPr>
      <w:r>
        <w:rPr>
          <w:b/>
          <w:bCs/>
        </w:rPr>
        <w:t xml:space="preserve">Logical-qubit economics.</w:t>
      </w:r>
      <w:r>
        <w:t xml:space="preserve"> </w:t>
      </w:r>
      <w:r>
        <w:t xml:space="preserve">Research moves from physical qubit counts to logical operation cost. This includes error correction, decoders, leakage management, magic-state overhead, qLDPC codes, and architecture-specific resource estimates.</w:t>
      </w:r>
    </w:p>
    <w:p>
      <w:pPr>
        <w:pStyle w:val="BodyText"/>
      </w:pPr>
      <w:r>
        <w:rPr>
          <w:b/>
          <w:bCs/>
        </w:rPr>
        <w:t xml:space="preserve">Quantum network break-even.</w:t>
      </w:r>
      <w:r>
        <w:t xml:space="preserve"> </w:t>
      </w:r>
      <w:r>
        <w:t xml:space="preserve">Quantum repeaters, memories, transducers, and entanglement swapping are the network equivalent of fault tolerance. The milestone is not a laboratory link alone; it is performance beyond direct transmission under realistic cost and reliability constraints.</w:t>
      </w:r>
    </w:p>
    <w:p>
      <w:pPr>
        <w:pStyle w:val="BodyText"/>
      </w:pPr>
      <w:r>
        <w:rPr>
          <w:b/>
          <w:bCs/>
        </w:rPr>
        <w:t xml:space="preserve">Quantum sensing for national missions.</w:t>
      </w:r>
      <w:r>
        <w:t xml:space="preserve"> </w:t>
      </w:r>
      <w:r>
        <w:t xml:space="preserve">Research connects gravimetry, magnetometry, timing, and inertial sensing to real public problems. The central question is not maximum sensitivity in isolation, but operational value under field conditions.</w:t>
      </w:r>
    </w:p>
    <w:p>
      <w:pPr>
        <w:pStyle w:val="BodyText"/>
      </w:pPr>
      <w:r>
        <w:rPr>
          <w:b/>
          <w:bCs/>
        </w:rPr>
        <w:t xml:space="preserve">Benchmark science.</w:t>
      </w:r>
      <w:r>
        <w:t xml:space="preserve"> </w:t>
      </w:r>
      <w:r>
        <w:t xml:space="preserve">Nations need independent capability to test quantum claims. This includes randomized benchmarking, application-level benchmarks, error characterization, reproducibility, and cost-based performance metrics</w:t>
      </w:r>
      <w:r>
        <w:t xml:space="preserve"> </w:t>
      </w:r>
      <w:r>
        <w:t xml:space="preserve">(</w:t>
      </w:r>
      <w:hyperlink w:anchor="ref-proctor2022">
        <w:r>
          <w:rPr>
            <w:rStyle w:val="Hyperlink"/>
          </w:rPr>
          <w:t xml:space="preserve">Proctor et al. 2022</w:t>
        </w:r>
      </w:hyperlink>
      <w:r>
        <w:t xml:space="preserve">;</w:t>
      </w:r>
      <w:r>
        <w:t xml:space="preserve"> </w:t>
      </w:r>
      <w:hyperlink w:anchor="ref-alexeev2021">
        <w:r>
          <w:rPr>
            <w:rStyle w:val="Hyperlink"/>
          </w:rPr>
          <w:t xml:space="preserve">Alexeev et al. 2021</w:t>
        </w:r>
      </w:hyperlink>
      <w:r>
        <w:t xml:space="preserve">)</w:t>
      </w:r>
      <w:r>
        <w:t xml:space="preserve">.</w:t>
      </w:r>
    </w:p>
    <w:p>
      <w:pPr>
        <w:pStyle w:val="BodyText"/>
      </w:pPr>
      <w:r>
        <w:rPr>
          <w:b/>
          <w:bCs/>
        </w:rPr>
        <w:t xml:space="preserve">Quantum foundations as instrumentation strategy.</w:t>
      </w:r>
      <w:r>
        <w:t xml:space="preserve"> </w:t>
      </w:r>
      <w:r>
        <w:t xml:space="preserve">Foundational work on contextuality, measurement, macroscopic superposition, decoherence, and non-Markovian noise is not merely philosophical. It drives instrumentation in interferometry, isolation, optics, cryogenics, detectors, and control.</w:t>
      </w:r>
    </w:p>
    <w:p>
      <w:pPr>
        <w:pStyle w:val="BodyText"/>
      </w:pPr>
      <w:r>
        <w:rPr>
          <w:b/>
          <w:bCs/>
        </w:rPr>
        <w:t xml:space="preserve">AI for quantum systems.</w:t>
      </w:r>
      <w:r>
        <w:t xml:space="preserve"> </w:t>
      </w:r>
      <w:r>
        <w:t xml:space="preserve">AI may be most valuable as a tool for quantum engineering: calibration, control, error mitigation, materials discovery, scheduling, pulse optimization, and interpretation of sensor data.</w:t>
      </w:r>
    </w:p>
    <w:bookmarkEnd w:id="66"/>
    <w:bookmarkStart w:id="67" w:name="X1f156b9dd1888af81f8e28e5e5a39b6ea3eca53"/>
    <w:p>
      <w:pPr>
        <w:pStyle w:val="Heading1"/>
      </w:pPr>
      <w:r>
        <w:t xml:space="preserve">13. Discussion: What a Serious Quantum Strategy Must Avoid</w:t>
      </w:r>
    </w:p>
    <w:p>
      <w:pPr>
        <w:pStyle w:val="FirstParagraph"/>
      </w:pPr>
      <w:r>
        <w:t xml:space="preserve">The first error is waiting. Waiting for fault-tolerant machines before preparing for PQC, workforce, standards, and sensing would leave institutions unprepared when adoption pressure rises. Readiness takes years.</w:t>
      </w:r>
    </w:p>
    <w:p>
      <w:pPr>
        <w:pStyle w:val="BodyText"/>
      </w:pPr>
      <w:r>
        <w:t xml:space="preserve">The second error is hardware nationalism without capability. Buying or announcing a domestic quantum computer does not create a quantum ecosystem if there are no trained operators, no benchmarking laboratory, no software pipeline, no procurement discipline, and no mission demand.</w:t>
      </w:r>
    </w:p>
    <w:p>
      <w:pPr>
        <w:pStyle w:val="BodyText"/>
      </w:pPr>
      <w:r>
        <w:t xml:space="preserve">The third error is confusing QKD with PQC. QKD may be valuable for specialized links and research networks, but PQC is the broad migration path for existing digital systems. Treating QKD as a general substitute for PQC misreads both the technology and the infrastructure problem.</w:t>
      </w:r>
    </w:p>
    <w:p>
      <w:pPr>
        <w:pStyle w:val="BodyText"/>
      </w:pPr>
      <w:r>
        <w:t xml:space="preserve">The fourth error is treating QCaaS as neutral access. Cloud access democratizes experimentation, but it can also concentrate platform power. The cloud provider may control developer tools, backend access, pricing, data policies, and enterprise relationships. Nations need QCaaS access, but they also need sovereignty over knowledge, benchmarks, critical data governance, and the ability to connect quantum experiments to domestic HPC infrastructure.</w:t>
      </w:r>
    </w:p>
    <w:p>
      <w:pPr>
        <w:pStyle w:val="BodyText"/>
      </w:pPr>
      <w:r>
        <w:t xml:space="preserve">The fifth error is accepting quantum advantage claims without baselines. A credible claim specifies the problem class, classical baseline, hardware assumptions, error model, verification method, time-to-solution, energy cost, and economic relevance. Without these elements, the claim is not a procurement basis.</w:t>
      </w:r>
    </w:p>
    <w:p>
      <w:pPr>
        <w:pStyle w:val="BodyText"/>
      </w:pPr>
      <w:r>
        <w:t xml:space="preserve">The sixth error is underfunding the missing middle. Quantum strategy often funds elite research and startup promotion while ignoring technicians, engineers, standards experts, cybersecurity auditors, and procurement professionals. These roles determine whether science becomes infrastructure.</w:t>
      </w:r>
    </w:p>
    <w:bookmarkEnd w:id="67"/>
    <w:bookmarkStart w:id="68" w:name="policy-and-enterprise-recommendations"/>
    <w:p>
      <w:pPr>
        <w:pStyle w:val="Heading1"/>
      </w:pPr>
      <w:r>
        <w:t xml:space="preserve">14. Policy and Enterprise Recommendations</w:t>
      </w:r>
    </w:p>
    <w:p>
      <w:pPr>
        <w:pStyle w:val="FirstParagraph"/>
      </w:pPr>
      <w:r>
        <w:t xml:space="preserve">For national governments, the first recommendation is to create a quantum readiness function with authority across science, economy, cybersecurity, defense, education, standards, and public procurement. Fragmented committees are insufficient if they cannot set priorities or coordinate budgets.</w:t>
      </w:r>
    </w:p>
    <w:p>
      <w:pPr>
        <w:pStyle w:val="BodyText"/>
      </w:pPr>
      <w:r>
        <w:t xml:space="preserve">Second, PQC migration is critical digital infrastructure. The correct unit of work is not only algorithm selection. It is asset inventory, data-shelf-life classification, crypto-agility, vendor management, testing, staged migration, and compliance.</w:t>
      </w:r>
    </w:p>
    <w:p>
      <w:pPr>
        <w:pStyle w:val="BodyText"/>
      </w:pPr>
      <w:r>
        <w:t xml:space="preserve">Third, quantum sensing is best funded through mission pilots. Water, energy, health, territory, infrastructure, mining, navigation, and environmental monitoring offer public-value use cases where better measurement can change decisions.</w:t>
      </w:r>
    </w:p>
    <w:p>
      <w:pPr>
        <w:pStyle w:val="BodyText"/>
      </w:pPr>
      <w:r>
        <w:t xml:space="preserve">Fourth, quantum computing policy emphasizes HPC integration, access, benchmarks, and talent before domestic hardware lock-in. QCaaS, shared testbeds, open software, and hybrid workflow managers can build competence while hardware trajectories remain uncertain.</w:t>
      </w:r>
    </w:p>
    <w:p>
      <w:pPr>
        <w:pStyle w:val="BodyText"/>
      </w:pPr>
      <w:r>
        <w:t xml:space="preserve">Fifth, public procurement requires anti-hype evidence. Every quantum pilot includes a classical baseline, performance metric, cost metric, interoperability requirement, security assessment, and exit criterion.</w:t>
      </w:r>
    </w:p>
    <w:p>
      <w:pPr>
        <w:pStyle w:val="BodyText"/>
      </w:pPr>
      <w:r>
        <w:t xml:space="preserve">Sixth, the research system funds frontier science and industrialization together. Error correction, repeaters, metrology, foundations, materials, and control systems are not separate from commercialization; they are the base from which commercialization will emerge.</w:t>
      </w:r>
    </w:p>
    <w:p>
      <w:pPr>
        <w:pStyle w:val="BodyText"/>
      </w:pPr>
      <w:r>
        <w:t xml:space="preserve">For enterprises, the first step is not a large quantum transformation programme. It is a small readiness portfolio: identify high-value problems, map cryptographic risk, train technical staff, test QCaaS workflows, track standards, and join consortia. Investment is justified when a quantum method improves a decision, not when it improves a narrative.</w:t>
      </w:r>
    </w:p>
    <w:bookmarkEnd w:id="68"/>
    <w:bookmarkStart w:id="69" w:name="conclusion"/>
    <w:p>
      <w:pPr>
        <w:pStyle w:val="Heading1"/>
      </w:pPr>
      <w:r>
        <w:t xml:space="preserve">15. Conclusion</w:t>
      </w:r>
    </w:p>
    <w:p>
      <w:pPr>
        <w:pStyle w:val="FirstParagraph"/>
      </w:pPr>
      <w:r>
        <w:t xml:space="preserve">Quantum technologies will shape the next decade less through sudden universal disruption than through uneven capability formation. PQC is already a cybersecurity migration problem. Quantum sensing can produce public and industrial value before fault-tolerant computing. Quantum communication is strategically important but infrastructure-heavy. Quantum computing remains the largest long-term opportunity, but its value depends on logical-qubit economics, verified advantage, and integration with classical workflows.</w:t>
      </w:r>
    </w:p>
    <w:p>
      <w:pPr>
        <w:pStyle w:val="BodyText"/>
      </w:pPr>
      <w:r>
        <w:t xml:space="preserve">The most important conclusion is that quantum readiness is a national capability, not a hardware purchase. Countries that build cryptographic migration capacity, sensing pilots, standards laboratories, workforce pathways, QCaaS competence, and frontier research networks will be positioned to adopt whichever hardware modalities mature. Countries that wait for the market to deliver finished quantum products will become dependent buyers.</w:t>
      </w:r>
    </w:p>
    <w:p>
      <w:pPr>
        <w:pStyle w:val="BodyText"/>
      </w:pPr>
      <w:r>
        <w:t xml:space="preserve">The future of quantum technologies therefore requires disciplined ambition. The ambition is to build scientific and technological sovereignty in a field that will affect security, measurement, computation, and industrial discovery. The discipline is evidentiary: rigorous science, reproducible benchmarks, classical baselines, operational pilots, and transparent procurement. Quantum strategy succeeds when it turns fragile quantum effects into reliable public capability.</w:t>
      </w:r>
    </w:p>
    <w:bookmarkEnd w:id="69"/>
    <w:bookmarkStart w:id="70" w:name="acknowledgments"/>
    <w:p>
      <w:pPr>
        <w:pStyle w:val="Heading1"/>
      </w:pPr>
      <w:r>
        <w:t xml:space="preserve">Acknowledgments</w:t>
      </w:r>
    </w:p>
    <w:p>
      <w:pPr>
        <w:pStyle w:val="FirstParagraph"/>
      </w:pPr>
      <w:r>
        <w:t xml:space="preserve">This manuscript was prepared for the Quantum Technologies track of the twenty-third edition of the Global Information Technology Management Association Annual Conference, Monterrey, Mexico, May 6-8, 2026. The author acknowledges his role as Track Chair for Quantum Technologies and gratefully acknowledges Rogelio Marín and the Centro de Investigación en Matemáticas, A.C. for intellectual support and institutional context. All interpretations and remaining errors are the author’s responsibility.</w:t>
      </w:r>
    </w:p>
    <w:bookmarkEnd w:id="70"/>
    <w:bookmarkStart w:id="71" w:name="data-availability"/>
    <w:p>
      <w:pPr>
        <w:pStyle w:val="Heading1"/>
      </w:pPr>
      <w:r>
        <w:t xml:space="preserve">Data Availability</w:t>
      </w:r>
    </w:p>
    <w:p>
      <w:pPr>
        <w:pStyle w:val="FirstParagraph"/>
      </w:pPr>
      <w:r>
        <w:t xml:space="preserve">The quantitative tables generated for this manuscript are deposited in the companion research repository. They include OpenAlex country and year counts for the concepts</w:t>
      </w:r>
      <w:r>
        <w:t xml:space="preserve"> </w:t>
      </w:r>
      <w:r>
        <w:t xml:space="preserve">“</w:t>
      </w:r>
      <w:r>
        <w:t xml:space="preserve">Quantum technology</w:t>
      </w:r>
      <w:r>
        <w:t xml:space="preserve">”</w:t>
      </w:r>
      <w:r>
        <w:t xml:space="preserve"> </w:t>
      </w:r>
      <w:r>
        <w:t xml:space="preserve">and</w:t>
      </w:r>
      <w:r>
        <w:t xml:space="preserve"> </w:t>
      </w:r>
      <w:r>
        <w:t xml:space="preserve">“</w:t>
      </w:r>
      <w:r>
        <w:t xml:space="preserve">Post-quantum cryptography</w:t>
      </w:r>
      <w:r>
        <w:t xml:space="preserve">”</w:t>
      </w:r>
      <w:r>
        <w:t xml:space="preserve"> </w:t>
      </w:r>
      <w:r>
        <w:t xml:space="preserve">for 2015-2025. OECD, NIST, NSA, CISA, OECD-EPO, and market-readiness data are cited to public sources in the reference list. The OpenAlex queries used concept IDs</w:t>
      </w:r>
      <w:r>
        <w:t xml:space="preserve"> </w:t>
      </w:r>
      <w:r>
        <w:rPr>
          <w:rStyle w:val="VerbatimChar"/>
        </w:rPr>
        <w:t xml:space="preserve">C190463098</w:t>
      </w:r>
      <w:r>
        <w:t xml:space="preserve"> </w:t>
      </w:r>
      <w:r>
        <w:t xml:space="preserve">and</w:t>
      </w:r>
      <w:r>
        <w:t xml:space="preserve"> </w:t>
      </w:r>
      <w:r>
        <w:rPr>
          <w:rStyle w:val="VerbatimChar"/>
        </w:rPr>
        <w:t xml:space="preserve">C108277079</w:t>
      </w:r>
      <w:r>
        <w:t xml:space="preserve">, grouped by publication year and institutional country.</w:t>
      </w:r>
    </w:p>
    <w:bookmarkEnd w:id="71"/>
    <w:bookmarkStart w:id="72" w:name="code-availability"/>
    <w:p>
      <w:pPr>
        <w:pStyle w:val="Heading1"/>
      </w:pPr>
      <w:r>
        <w:t xml:space="preserve">Code Availability</w:t>
      </w:r>
    </w:p>
    <w:p>
      <w:pPr>
        <w:pStyle w:val="FirstParagraph"/>
      </w:pPr>
      <w:r>
        <w:t xml:space="preserve">The companion research repository is available at https://github.com/ekaropolus/quantum-technologies-national-strategy. It contains the source manuscripts, processed data, BibTeX bibliography, figure-generation code, and reproducible build script used to generate the manuscript outputs. The repository is intended to support inspection of the OpenAlex extracts, regeneration of figures, and reconstruction of the PDF, TeX, and DOCX versions from the manuscript sources.</w:t>
      </w:r>
    </w:p>
    <w:bookmarkEnd w:id="72"/>
    <w:bookmarkStart w:id="73" w:name="author-contributions"/>
    <w:p>
      <w:pPr>
        <w:pStyle w:val="Heading1"/>
      </w:pPr>
      <w:r>
        <w:t xml:space="preserve">Author Contributions</w:t>
      </w:r>
    </w:p>
    <w:p>
      <w:pPr>
        <w:pStyle w:val="FirstParagraph"/>
      </w:pPr>
      <w:r>
        <w:t xml:space="preserve">Edgar Valdés conceptualized the manuscript, directed the research synthesis, interpreted the evidence, and prepared the manuscript.</w:t>
      </w:r>
    </w:p>
    <w:bookmarkEnd w:id="73"/>
    <w:bookmarkStart w:id="74" w:name="funding"/>
    <w:p>
      <w:pPr>
        <w:pStyle w:val="Heading1"/>
      </w:pPr>
      <w:r>
        <w:t xml:space="preserve">Funding</w:t>
      </w:r>
    </w:p>
    <w:p>
      <w:pPr>
        <w:pStyle w:val="FirstParagraph"/>
      </w:pPr>
      <w:r>
        <w:t xml:space="preserve">No external funding was declared for this manuscript.</w:t>
      </w:r>
    </w:p>
    <w:bookmarkEnd w:id="74"/>
    <w:bookmarkStart w:id="75" w:name="competing-interests"/>
    <w:p>
      <w:pPr>
        <w:pStyle w:val="Heading1"/>
      </w:pPr>
      <w:r>
        <w:t xml:space="preserve">Competing Interests</w:t>
      </w:r>
    </w:p>
    <w:p>
      <w:pPr>
        <w:pStyle w:val="FirstParagraph"/>
      </w:pPr>
      <w:r>
        <w:t xml:space="preserve">The author declares no competing interests.</w:t>
      </w:r>
    </w:p>
    <w:bookmarkEnd w:id="75"/>
    <w:bookmarkStart w:id="76" w:name="limitations"/>
    <w:p>
      <w:pPr>
        <w:pStyle w:val="Heading1"/>
      </w:pPr>
      <w:r>
        <w:t xml:space="preserve">Limitations</w:t>
      </w:r>
    </w:p>
    <w:p>
      <w:pPr>
        <w:pStyle w:val="FirstParagraph"/>
      </w:pPr>
      <w:r>
        <w:t xml:space="preserve">The analysis relies on adoption proxies rather than direct global deployment data. Funding, patents, publications, standards, and readiness surveys measure different dimensions of quantum capacity and are not interchangeable. OpenAlex counts depend on concept assignment, institutional metadata, and indexing practices. Market forecasts are treated only as directional evidence. A future empirical extension would require interviews with government agencies, infrastructure operators, quantum vendors, cybersecurity teams, and enterprise adopters, plus a structured survey of quantum readiness across sectors.</w:t>
      </w:r>
    </w:p>
    <w:bookmarkEnd w:id="76"/>
    <w:bookmarkStart w:id="189" w:name="references"/>
    <w:p>
      <w:pPr>
        <w:pStyle w:val="Heading1"/>
      </w:pPr>
      <w:r>
        <w:t xml:space="preserve">References</w:t>
      </w:r>
    </w:p>
    <w:bookmarkStart w:id="188" w:name="refs"/>
    <w:bookmarkStart w:id="78" w:name="ref-acin2018"/>
    <w:p>
      <w:pPr>
        <w:pStyle w:val="Bibliography"/>
      </w:pPr>
      <w:r>
        <w:t xml:space="preserve">Acin, Antonio, Immanuel Bloch, Harry Buhrman, Tommaso Calarco, Christopher Eichler, Jens Eisert, Daniel Esteve, et al. 2018.</w:t>
      </w:r>
      <w:r>
        <w:t xml:space="preserve"> </w:t>
      </w:r>
      <w:r>
        <w:t xml:space="preserve">“The Quantum Technologies Roadmap: A European Community View.”</w:t>
      </w:r>
      <w:r>
        <w:t xml:space="preserve"> </w:t>
      </w:r>
      <w:r>
        <w:rPr>
          <w:i/>
          <w:iCs/>
        </w:rPr>
        <w:t xml:space="preserve">New Journal of Physics</w:t>
      </w:r>
      <w:r>
        <w:t xml:space="preserve"> </w:t>
      </w:r>
      <w:r>
        <w:t xml:space="preserve">20: 080201.</w:t>
      </w:r>
      <w:r>
        <w:t xml:space="preserve"> </w:t>
      </w:r>
      <w:hyperlink r:id="rId77">
        <w:r>
          <w:rPr>
            <w:rStyle w:val="Hyperlink"/>
          </w:rPr>
          <w:t xml:space="preserve">https://doi.org/10.1088/1367-2630/aad1ea</w:t>
        </w:r>
      </w:hyperlink>
      <w:r>
        <w:t xml:space="preserve">.</w:t>
      </w:r>
    </w:p>
    <w:bookmarkEnd w:id="78"/>
    <w:bookmarkStart w:id="80" w:name="ref-alexeev2021"/>
    <w:p>
      <w:pPr>
        <w:pStyle w:val="Bibliography"/>
      </w:pPr>
      <w:r>
        <w:t xml:space="preserve">Alexeev, Yuri, Dave Bacon, Kenneth R. Brown, Robert Calderbank, Lincoln D. Carr, Frederic T. Chong, Brian DeMarco, et al. 2021.</w:t>
      </w:r>
      <w:r>
        <w:t xml:space="preserve"> </w:t>
      </w:r>
      <w:r>
        <w:t xml:space="preserve">“Quantum Computer Systems for Scientific Discovery.”</w:t>
      </w:r>
      <w:r>
        <w:t xml:space="preserve"> </w:t>
      </w:r>
      <w:r>
        <w:rPr>
          <w:i/>
          <w:iCs/>
        </w:rPr>
        <w:t xml:space="preserve">PRX Quantum</w:t>
      </w:r>
      <w:r>
        <w:t xml:space="preserve"> </w:t>
      </w:r>
      <w:r>
        <w:t xml:space="preserve">2: 017001.</w:t>
      </w:r>
      <w:r>
        <w:t xml:space="preserve"> </w:t>
      </w:r>
      <w:hyperlink r:id="rId79">
        <w:r>
          <w:rPr>
            <w:rStyle w:val="Hyperlink"/>
          </w:rPr>
          <w:t xml:space="preserve">https://doi.org/10.1103/PRXQuantum.2.017001</w:t>
        </w:r>
      </w:hyperlink>
      <w:r>
        <w:t xml:space="preserve">.</w:t>
      </w:r>
    </w:p>
    <w:bookmarkEnd w:id="80"/>
    <w:bookmarkStart w:id="82" w:name="ref-arute2019"/>
    <w:p>
      <w:pPr>
        <w:pStyle w:val="Bibliography"/>
      </w:pPr>
      <w:r>
        <w:t xml:space="preserve">Arute, Frank, Kunal Arya, Ryan Babbush, Dave Bacon, Joseph C. Bardin, Rami Barends, Rupak Biswas, et al. 2019.</w:t>
      </w:r>
      <w:r>
        <w:t xml:space="preserve"> </w:t>
      </w:r>
      <w:r>
        <w:t xml:space="preserve">“Quantum Supremacy Using a Programmable Superconducting Processor.”</w:t>
      </w:r>
      <w:r>
        <w:t xml:space="preserve"> </w:t>
      </w:r>
      <w:r>
        <w:rPr>
          <w:i/>
          <w:iCs/>
        </w:rPr>
        <w:t xml:space="preserve">Nature</w:t>
      </w:r>
      <w:r>
        <w:t xml:space="preserve"> </w:t>
      </w:r>
      <w:r>
        <w:t xml:space="preserve">574: 505–10.</w:t>
      </w:r>
      <w:r>
        <w:t xml:space="preserve"> </w:t>
      </w:r>
      <w:hyperlink r:id="rId81">
        <w:r>
          <w:rPr>
            <w:rStyle w:val="Hyperlink"/>
          </w:rPr>
          <w:t xml:space="preserve">https://doi.org/10.1038/s41586-019-1666-5</w:t>
        </w:r>
      </w:hyperlink>
      <w:r>
        <w:t xml:space="preserve">.</w:t>
      </w:r>
    </w:p>
    <w:bookmarkEnd w:id="82"/>
    <w:bookmarkStart w:id="84" w:name="ref-barry2016"/>
    <w:p>
      <w:pPr>
        <w:pStyle w:val="Bibliography"/>
      </w:pPr>
      <w:r>
        <w:t xml:space="preserve">Barry, John F., Matthew J. Turner, Jennifer M. Schloss, David R. Glenn, Yuyu Song, Mikhail D. Lukin, Hongkun Park, and Ronald L. Walsworth. 2016.</w:t>
      </w:r>
      <w:r>
        <w:t xml:space="preserve"> </w:t>
      </w:r>
      <w:r>
        <w:t xml:space="preserve">“Optical Magnetic Detection of Single-Neuron Action Potentials Using Quantum Defects in Diamond.”</w:t>
      </w:r>
      <w:r>
        <w:t xml:space="preserve"> </w:t>
      </w:r>
      <w:r>
        <w:rPr>
          <w:i/>
          <w:iCs/>
        </w:rPr>
        <w:t xml:space="preserve">Proceedings of the National Academy of Sciences</w:t>
      </w:r>
      <w:r>
        <w:t xml:space="preserve"> </w:t>
      </w:r>
      <w:r>
        <w:t xml:space="preserve">113 (49): 14133–38.</w:t>
      </w:r>
      <w:r>
        <w:t xml:space="preserve"> </w:t>
      </w:r>
      <w:hyperlink r:id="rId83">
        <w:r>
          <w:rPr>
            <w:rStyle w:val="Hyperlink"/>
          </w:rPr>
          <w:t xml:space="preserve">https://doi.org/10.1073/pnas.1601513113</w:t>
        </w:r>
      </w:hyperlink>
      <w:r>
        <w:t xml:space="preserve">.</w:t>
      </w:r>
    </w:p>
    <w:bookmarkEnd w:id="84"/>
    <w:bookmarkStart w:id="86" w:name="ref-bauer2020"/>
    <w:p>
      <w:pPr>
        <w:pStyle w:val="Bibliography"/>
      </w:pPr>
      <w:r>
        <w:t xml:space="preserve">Bauer, Bela, Sergey Bravyi, Mario Motta, and Garnet Kin-Lic Chan. 2020.</w:t>
      </w:r>
      <w:r>
        <w:t xml:space="preserve"> </w:t>
      </w:r>
      <w:r>
        <w:t xml:space="preserve">“Quantum Algorithms for Quantum Chemistry and Quantum Materials Science.”</w:t>
      </w:r>
      <w:r>
        <w:t xml:space="preserve"> </w:t>
      </w:r>
      <w:r>
        <w:rPr>
          <w:i/>
          <w:iCs/>
        </w:rPr>
        <w:t xml:space="preserve">Chemical Reviews</w:t>
      </w:r>
      <w:r>
        <w:t xml:space="preserve"> </w:t>
      </w:r>
      <w:r>
        <w:t xml:space="preserve">120 (22): 12685–717.</w:t>
      </w:r>
      <w:r>
        <w:t xml:space="preserve"> </w:t>
      </w:r>
      <w:hyperlink r:id="rId85">
        <w:r>
          <w:rPr>
            <w:rStyle w:val="Hyperlink"/>
          </w:rPr>
          <w:t xml:space="preserve">https://doi.org/10.1021/acs.chemrev.9b00829</w:t>
        </w:r>
      </w:hyperlink>
      <w:r>
        <w:t xml:space="preserve">.</w:t>
      </w:r>
    </w:p>
    <w:bookmarkEnd w:id="86"/>
    <w:bookmarkStart w:id="88" w:name="ref-beck2024"/>
    <w:p>
      <w:pPr>
        <w:pStyle w:val="Bibliography"/>
      </w:pPr>
      <w:r>
        <w:t xml:space="preserve">Beck, Thomas, Alessandro Baroni, Ryan Bennink, Gilles Buchs, Eduardo Antonio Coello Perez, Markus Eisenbach, Rafael Ferreira da Silva, et al. 2024.</w:t>
      </w:r>
      <w:r>
        <w:t xml:space="preserve"> </w:t>
      </w:r>
      <w:r>
        <w:t xml:space="preserve">“Integrating Quantum Computing Resources into Scientific HPC Ecosystems.”</w:t>
      </w:r>
      <w:r>
        <w:t xml:space="preserve"> </w:t>
      </w:r>
      <w:r>
        <w:rPr>
          <w:i/>
          <w:iCs/>
        </w:rPr>
        <w:t xml:space="preserve">Future Generation Computer Systems</w:t>
      </w:r>
      <w:r>
        <w:t xml:space="preserve">.</w:t>
      </w:r>
      <w:r>
        <w:t xml:space="preserve"> </w:t>
      </w:r>
      <w:hyperlink r:id="rId87">
        <w:r>
          <w:rPr>
            <w:rStyle w:val="Hyperlink"/>
          </w:rPr>
          <w:t xml:space="preserve">https://doi.org/10.1016/j.future.2024.06.058</w:t>
        </w:r>
      </w:hyperlink>
      <w:r>
        <w:t xml:space="preserve">.</w:t>
      </w:r>
    </w:p>
    <w:bookmarkEnd w:id="88"/>
    <w:bookmarkStart w:id="90" w:name="ref-bernstein2017"/>
    <w:p>
      <w:pPr>
        <w:pStyle w:val="Bibliography"/>
      </w:pPr>
      <w:r>
        <w:t xml:space="preserve">Bernstein, Daniel J., and Tanja Lange. 2017.</w:t>
      </w:r>
      <w:r>
        <w:t xml:space="preserve"> </w:t>
      </w:r>
      <w:r>
        <w:t xml:space="preserve">“Post-Quantum Cryptography.”</w:t>
      </w:r>
      <w:r>
        <w:t xml:space="preserve"> </w:t>
      </w:r>
      <w:r>
        <w:rPr>
          <w:i/>
          <w:iCs/>
        </w:rPr>
        <w:t xml:space="preserve">Nature</w:t>
      </w:r>
      <w:r>
        <w:t xml:space="preserve"> </w:t>
      </w:r>
      <w:r>
        <w:t xml:space="preserve">549: 188–94.</w:t>
      </w:r>
      <w:r>
        <w:t xml:space="preserve"> </w:t>
      </w:r>
      <w:hyperlink r:id="rId89">
        <w:r>
          <w:rPr>
            <w:rStyle w:val="Hyperlink"/>
          </w:rPr>
          <w:t xml:space="preserve">https://doi.org/10.1038/nature23461</w:t>
        </w:r>
      </w:hyperlink>
      <w:r>
        <w:t xml:space="preserve">.</w:t>
      </w:r>
    </w:p>
    <w:bookmarkEnd w:id="90"/>
    <w:bookmarkStart w:id="92" w:name="ref-bharti2022"/>
    <w:p>
      <w:pPr>
        <w:pStyle w:val="Bibliography"/>
      </w:pPr>
      <w:r>
        <w:t xml:space="preserve">Bharti, Kishor, Alba Cervera-Lierta, Thi Ha Kyaw, Tobias Haug, Sumner Alperin-Lea, Abhinav Anand, Matthias Degroote, et al. 2022.</w:t>
      </w:r>
      <w:r>
        <w:t xml:space="preserve"> </w:t>
      </w:r>
      <w:r>
        <w:t xml:space="preserve">“Noisy Intermediate-Scale Quantum Algorithms.”</w:t>
      </w:r>
      <w:r>
        <w:t xml:space="preserve"> </w:t>
      </w:r>
      <w:r>
        <w:rPr>
          <w:i/>
          <w:iCs/>
        </w:rPr>
        <w:t xml:space="preserve">Reviews of Modern Physics</w:t>
      </w:r>
      <w:r>
        <w:t xml:space="preserve"> </w:t>
      </w:r>
      <w:r>
        <w:t xml:space="preserve">94: 015004.</w:t>
      </w:r>
      <w:r>
        <w:t xml:space="preserve"> </w:t>
      </w:r>
      <w:hyperlink r:id="rId91">
        <w:r>
          <w:rPr>
            <w:rStyle w:val="Hyperlink"/>
          </w:rPr>
          <w:t xml:space="preserve">https://doi.org/10.1103/RevModPhys.94.015004</w:t>
        </w:r>
      </w:hyperlink>
      <w:r>
        <w:t xml:space="preserve">.</w:t>
      </w:r>
    </w:p>
    <w:bookmarkEnd w:id="92"/>
    <w:bookmarkStart w:id="94" w:name="ref-biamonte2017"/>
    <w:p>
      <w:pPr>
        <w:pStyle w:val="Bibliography"/>
      </w:pPr>
      <w:r>
        <w:t xml:space="preserve">Biamonte, Jacob, Peter Wittek, Nicola Pancotti, Patrick Rebentrost, Nathan Wiebe, and Seth Lloyd. 2017.</w:t>
      </w:r>
      <w:r>
        <w:t xml:space="preserve"> </w:t>
      </w:r>
      <w:r>
        <w:t xml:space="preserve">“Quantum Machine Learning.”</w:t>
      </w:r>
      <w:r>
        <w:t xml:space="preserve"> </w:t>
      </w:r>
      <w:r>
        <w:rPr>
          <w:i/>
          <w:iCs/>
        </w:rPr>
        <w:t xml:space="preserve">Nature</w:t>
      </w:r>
      <w:r>
        <w:t xml:space="preserve"> </w:t>
      </w:r>
      <w:r>
        <w:t xml:space="preserve">549: 195–202.</w:t>
      </w:r>
      <w:r>
        <w:t xml:space="preserve"> </w:t>
      </w:r>
      <w:hyperlink r:id="rId93">
        <w:r>
          <w:rPr>
            <w:rStyle w:val="Hyperlink"/>
          </w:rPr>
          <w:t xml:space="preserve">https://doi.org/10.1038/nature23474</w:t>
        </w:r>
      </w:hyperlink>
      <w:r>
        <w:t xml:space="preserve">.</w:t>
      </w:r>
    </w:p>
    <w:bookmarkEnd w:id="94"/>
    <w:bookmarkStart w:id="96" w:name="ref-bova2020"/>
    <w:p>
      <w:pPr>
        <w:pStyle w:val="Bibliography"/>
      </w:pPr>
      <w:r>
        <w:t xml:space="preserve">Bova, Francesco, Avi Goldfarb, and Roger G. Melko. 2020.</w:t>
      </w:r>
      <w:r>
        <w:t xml:space="preserve"> </w:t>
      </w:r>
      <w:r>
        <w:t xml:space="preserve">“The Emerging Commercial Landscape of Quantum Computing.”</w:t>
      </w:r>
      <w:r>
        <w:t xml:space="preserve"> </w:t>
      </w:r>
      <w:r>
        <w:rPr>
          <w:i/>
          <w:iCs/>
        </w:rPr>
        <w:t xml:space="preserve">Nature Reviews Physics</w:t>
      </w:r>
      <w:r>
        <w:t xml:space="preserve"> </w:t>
      </w:r>
      <w:r>
        <w:t xml:space="preserve">2: 596–98.</w:t>
      </w:r>
      <w:r>
        <w:t xml:space="preserve"> </w:t>
      </w:r>
      <w:hyperlink r:id="rId95">
        <w:r>
          <w:rPr>
            <w:rStyle w:val="Hyperlink"/>
          </w:rPr>
          <w:t xml:space="preserve">https://doi.org/10.1038/s42254-020-00247-5</w:t>
        </w:r>
      </w:hyperlink>
      <w:r>
        <w:t xml:space="preserve">.</w:t>
      </w:r>
    </w:p>
    <w:bookmarkEnd w:id="96"/>
    <w:bookmarkStart w:id="98" w:name="ref-bruzewicz2019"/>
    <w:p>
      <w:pPr>
        <w:pStyle w:val="Bibliography"/>
      </w:pPr>
      <w:r>
        <w:t xml:space="preserve">Bruzewicz, Colin D., John Chiaverini, Robert McConnell, and Jeremy M. Sage. 2019.</w:t>
      </w:r>
      <w:r>
        <w:t xml:space="preserve"> </w:t>
      </w:r>
      <w:r>
        <w:t xml:space="preserve">“Trapped-Ion Quantum Computing: Progress and Challenges.”</w:t>
      </w:r>
      <w:r>
        <w:t xml:space="preserve"> </w:t>
      </w:r>
      <w:r>
        <w:rPr>
          <w:i/>
          <w:iCs/>
        </w:rPr>
        <w:t xml:space="preserve">Applied Physics Reviews</w:t>
      </w:r>
      <w:r>
        <w:t xml:space="preserve"> </w:t>
      </w:r>
      <w:r>
        <w:t xml:space="preserve">6: 021314.</w:t>
      </w:r>
      <w:r>
        <w:t xml:space="preserve"> </w:t>
      </w:r>
      <w:hyperlink r:id="rId97">
        <w:r>
          <w:rPr>
            <w:rStyle w:val="Hyperlink"/>
          </w:rPr>
          <w:t xml:space="preserve">https://doi.org/10.1063/1.5088164</w:t>
        </w:r>
      </w:hyperlink>
      <w:r>
        <w:t xml:space="preserve">.</w:t>
      </w:r>
    </w:p>
    <w:bookmarkEnd w:id="98"/>
    <w:bookmarkStart w:id="100" w:name="ref-campbell2017"/>
    <w:p>
      <w:pPr>
        <w:pStyle w:val="Bibliography"/>
      </w:pPr>
      <w:r>
        <w:t xml:space="preserve">Campbell, Earl T., Barbara M. Terhal, and Christophe Vuillot. 2017.</w:t>
      </w:r>
      <w:r>
        <w:t xml:space="preserve"> </w:t>
      </w:r>
      <w:r>
        <w:t xml:space="preserve">“Roads Towards Fault-Tolerant Universal Quantum Computation.”</w:t>
      </w:r>
      <w:r>
        <w:t xml:space="preserve"> </w:t>
      </w:r>
      <w:r>
        <w:rPr>
          <w:i/>
          <w:iCs/>
        </w:rPr>
        <w:t xml:space="preserve">Nature</w:t>
      </w:r>
      <w:r>
        <w:t xml:space="preserve"> </w:t>
      </w:r>
      <w:r>
        <w:t xml:space="preserve">549: 172–79.</w:t>
      </w:r>
      <w:r>
        <w:t xml:space="preserve"> </w:t>
      </w:r>
      <w:hyperlink r:id="rId99">
        <w:r>
          <w:rPr>
            <w:rStyle w:val="Hyperlink"/>
          </w:rPr>
          <w:t xml:space="preserve">https://doi.org/10.1038/nature23460</w:t>
        </w:r>
      </w:hyperlink>
      <w:r>
        <w:t xml:space="preserve">.</w:t>
      </w:r>
    </w:p>
    <w:bookmarkEnd w:id="100"/>
    <w:bookmarkStart w:id="102" w:name="ref-cao2019"/>
    <w:p>
      <w:pPr>
        <w:pStyle w:val="Bibliography"/>
      </w:pPr>
      <w:r>
        <w:t xml:space="preserve">Cao, Yudong, Jonathan Romero, Jonathan P. Olson, Matthias Degroote, Peter D. Johnson, Maria Kieferova, Ian D. Kivlichan, et al. 2019.</w:t>
      </w:r>
      <w:r>
        <w:t xml:space="preserve"> </w:t>
      </w:r>
      <w:r>
        <w:t xml:space="preserve">“Quantum Chemistry in the Age of Quantum Computing.”</w:t>
      </w:r>
      <w:r>
        <w:t xml:space="preserve"> </w:t>
      </w:r>
      <w:r>
        <w:rPr>
          <w:i/>
          <w:iCs/>
        </w:rPr>
        <w:t xml:space="preserve">Chemical Reviews</w:t>
      </w:r>
      <w:r>
        <w:t xml:space="preserve"> </w:t>
      </w:r>
      <w:r>
        <w:t xml:space="preserve">119 (19): 10856–915.</w:t>
      </w:r>
      <w:r>
        <w:t xml:space="preserve"> </w:t>
      </w:r>
      <w:hyperlink r:id="rId101">
        <w:r>
          <w:rPr>
            <w:rStyle w:val="Hyperlink"/>
          </w:rPr>
          <w:t xml:space="preserve">https://doi.org/10.1021/acs.chemrev.8b00803</w:t>
        </w:r>
      </w:hyperlink>
      <w:r>
        <w:t xml:space="preserve">.</w:t>
      </w:r>
    </w:p>
    <w:bookmarkEnd w:id="102"/>
    <w:bookmarkStart w:id="104" w:name="ref-cerezo2021"/>
    <w:p>
      <w:pPr>
        <w:pStyle w:val="Bibliography"/>
      </w:pPr>
      <w:r>
        <w:t xml:space="preserve">Cerezo, Marco, Andrew Arrasmith, Ryan Babbush, Simon C. Benjamin, Suguru Endo, Keisuke Fujii, Jarrod R. McClean, et al. 2021.</w:t>
      </w:r>
      <w:r>
        <w:t xml:space="preserve"> </w:t>
      </w:r>
      <w:r>
        <w:t xml:space="preserve">“Variational Quantum Algorithms.”</w:t>
      </w:r>
      <w:r>
        <w:t xml:space="preserve"> </w:t>
      </w:r>
      <w:r>
        <w:rPr>
          <w:i/>
          <w:iCs/>
        </w:rPr>
        <w:t xml:space="preserve">Nature Reviews Physics</w:t>
      </w:r>
      <w:r>
        <w:t xml:space="preserve"> </w:t>
      </w:r>
      <w:r>
        <w:t xml:space="preserve">3: 625–44.</w:t>
      </w:r>
      <w:r>
        <w:t xml:space="preserve"> </w:t>
      </w:r>
      <w:hyperlink r:id="rId103">
        <w:r>
          <w:rPr>
            <w:rStyle w:val="Hyperlink"/>
          </w:rPr>
          <w:t xml:space="preserve">https://doi.org/10.1038/s42254-021-00348-9</w:t>
        </w:r>
      </w:hyperlink>
      <w:r>
        <w:t xml:space="preserve">.</w:t>
      </w:r>
    </w:p>
    <w:bookmarkEnd w:id="104"/>
    <w:bookmarkStart w:id="106" w:name="ref-cisaNistNsa2022"/>
    <w:p>
      <w:pPr>
        <w:pStyle w:val="Bibliography"/>
      </w:pPr>
      <w:r>
        <w:t xml:space="preserve">CISA, NIST, and NSA. 2022.</w:t>
      </w:r>
      <w:r>
        <w:t xml:space="preserve"> </w:t>
      </w:r>
      <w:r>
        <w:t xml:space="preserve">“Preparing Critical Infrastructure for Post-Quantum Cryptography.”</w:t>
      </w:r>
      <w:r>
        <w:t xml:space="preserve"> </w:t>
      </w:r>
      <w:hyperlink r:id="rId105">
        <w:r>
          <w:rPr>
            <w:rStyle w:val="Hyperlink"/>
          </w:rPr>
          <w:t xml:space="preserve">https://www.cisa.gov/sites/default/files/2022-09/cisa_insight_post_quantum_cryptography_508.pdf</w:t>
        </w:r>
      </w:hyperlink>
      <w:r>
        <w:t xml:space="preserve">.</w:t>
      </w:r>
    </w:p>
    <w:bookmarkEnd w:id="106"/>
    <w:bookmarkStart w:id="108" w:name="ref-cohen1990"/>
    <w:p>
      <w:pPr>
        <w:pStyle w:val="Bibliography"/>
      </w:pPr>
      <w:r>
        <w:t xml:space="preserve">Cohen, Wesley M., and Daniel A. Levinthal. 1990.</w:t>
      </w:r>
      <w:r>
        <w:t xml:space="preserve"> </w:t>
      </w:r>
      <w:r>
        <w:t xml:space="preserve">“Absorptive Capacity: A New Perspective on Learning and Innovation.”</w:t>
      </w:r>
      <w:r>
        <w:t xml:space="preserve"> </w:t>
      </w:r>
      <w:r>
        <w:rPr>
          <w:i/>
          <w:iCs/>
        </w:rPr>
        <w:t xml:space="preserve">Administrative Science Quarterly</w:t>
      </w:r>
      <w:r>
        <w:t xml:space="preserve"> </w:t>
      </w:r>
      <w:r>
        <w:t xml:space="preserve">35 (1): 128–52.</w:t>
      </w:r>
      <w:r>
        <w:t xml:space="preserve"> </w:t>
      </w:r>
      <w:hyperlink r:id="rId107">
        <w:r>
          <w:rPr>
            <w:rStyle w:val="Hyperlink"/>
          </w:rPr>
          <w:t xml:space="preserve">https://doi.org/10.2307/2393553</w:t>
        </w:r>
      </w:hyperlink>
      <w:r>
        <w:t xml:space="preserve">.</w:t>
      </w:r>
    </w:p>
    <w:bookmarkEnd w:id="108"/>
    <w:bookmarkStart w:id="110" w:name="ref-cranganore2024"/>
    <w:p>
      <w:pPr>
        <w:pStyle w:val="Bibliography"/>
      </w:pPr>
      <w:r>
        <w:t xml:space="preserve">Cranganore, Sandeep Suresh, Vincenzo De Maio, Ivona Brandic, and Ewa Deelman. 2024.</w:t>
      </w:r>
      <w:r>
        <w:t xml:space="preserve"> </w:t>
      </w:r>
      <w:r>
        <w:t xml:space="preserve">“Paving the Way to Hybrid Quantum-Classical Scientific Workflows.”</w:t>
      </w:r>
      <w:r>
        <w:t xml:space="preserve"> </w:t>
      </w:r>
      <w:r>
        <w:rPr>
          <w:i/>
          <w:iCs/>
        </w:rPr>
        <w:t xml:space="preserve">Future Generation Computer Systems</w:t>
      </w:r>
      <w:r>
        <w:t xml:space="preserve"> </w:t>
      </w:r>
      <w:r>
        <w:t xml:space="preserve">158: 346–66.</w:t>
      </w:r>
      <w:r>
        <w:t xml:space="preserve"> </w:t>
      </w:r>
      <w:hyperlink r:id="rId109">
        <w:r>
          <w:rPr>
            <w:rStyle w:val="Hyperlink"/>
          </w:rPr>
          <w:t xml:space="preserve">https://doi.org/10.1016/j.future.2024.04.030</w:t>
        </w:r>
      </w:hyperlink>
      <w:r>
        <w:t xml:space="preserve">.</w:t>
      </w:r>
    </w:p>
    <w:bookmarkEnd w:id="110"/>
    <w:bookmarkStart w:id="112" w:name="ref-degen2017"/>
    <w:p>
      <w:pPr>
        <w:pStyle w:val="Bibliography"/>
      </w:pPr>
      <w:r>
        <w:t xml:space="preserve">Degen, C. L., F. Reinhard, and P. Cappellaro. 2017.</w:t>
      </w:r>
      <w:r>
        <w:t xml:space="preserve"> </w:t>
      </w:r>
      <w:r>
        <w:t xml:space="preserve">“Quantum Sensing.”</w:t>
      </w:r>
      <w:r>
        <w:t xml:space="preserve"> </w:t>
      </w:r>
      <w:r>
        <w:rPr>
          <w:i/>
          <w:iCs/>
        </w:rPr>
        <w:t xml:space="preserve">Reviews of Modern Physics</w:t>
      </w:r>
      <w:r>
        <w:t xml:space="preserve"> </w:t>
      </w:r>
      <w:r>
        <w:t xml:space="preserve">89: 035002.</w:t>
      </w:r>
      <w:r>
        <w:t xml:space="preserve"> </w:t>
      </w:r>
      <w:hyperlink r:id="rId111">
        <w:r>
          <w:rPr>
            <w:rStyle w:val="Hyperlink"/>
          </w:rPr>
          <w:t xml:space="preserve">https://doi.org/10.1103/RevModPhys.89.035002</w:t>
        </w:r>
      </w:hyperlink>
      <w:r>
        <w:t xml:space="preserve">.</w:t>
      </w:r>
    </w:p>
    <w:bookmarkEnd w:id="112"/>
    <w:bookmarkStart w:id="114" w:name="ref-dowling2003"/>
    <w:p>
      <w:pPr>
        <w:pStyle w:val="Bibliography"/>
      </w:pPr>
      <w:r>
        <w:t xml:space="preserve">Dowling, Jonathan P., and Gerard J. Milburn. 2003.</w:t>
      </w:r>
      <w:r>
        <w:t xml:space="preserve"> </w:t>
      </w:r>
      <w:r>
        <w:t xml:space="preserve">“Quantum Technology: The Second Quantum Revolution.”</w:t>
      </w:r>
      <w:r>
        <w:t xml:space="preserve"> </w:t>
      </w:r>
      <w:r>
        <w:rPr>
          <w:i/>
          <w:iCs/>
        </w:rPr>
        <w:t xml:space="preserve">Philosophical Transactions of the Royal Society A</w:t>
      </w:r>
      <w:r>
        <w:t xml:space="preserve"> </w:t>
      </w:r>
      <w:r>
        <w:t xml:space="preserve">361 (1809): 1655–74.</w:t>
      </w:r>
      <w:r>
        <w:t xml:space="preserve"> </w:t>
      </w:r>
      <w:hyperlink r:id="rId113">
        <w:r>
          <w:rPr>
            <w:rStyle w:val="Hyperlink"/>
          </w:rPr>
          <w:t xml:space="preserve">https://doi.org/10.1098/rsta.2003.1227</w:t>
        </w:r>
      </w:hyperlink>
      <w:r>
        <w:t xml:space="preserve">.</w:t>
      </w:r>
    </w:p>
    <w:bookmarkEnd w:id="114"/>
    <w:bookmarkStart w:id="116" w:name="ref-egger2020"/>
    <w:p>
      <w:pPr>
        <w:pStyle w:val="Bibliography"/>
      </w:pPr>
      <w:r>
        <w:t xml:space="preserve">Egger, Daniel J., Claudio Gambella, Jakub Marecek, Scott McFaddin, Martin Mevissen, Rudy Raymond, Andrea Simonetto, Stefan Woerner, and Elena Yndurain. 2020.</w:t>
      </w:r>
      <w:r>
        <w:t xml:space="preserve"> </w:t>
      </w:r>
      <w:r>
        <w:t xml:space="preserve">“Quantum Computing for Finance: State-of-the-Art and Future Prospects.”</w:t>
      </w:r>
      <w:r>
        <w:t xml:space="preserve"> </w:t>
      </w:r>
      <w:r>
        <w:rPr>
          <w:i/>
          <w:iCs/>
        </w:rPr>
        <w:t xml:space="preserve">IEEE Transactions on Quantum Engineering</w:t>
      </w:r>
      <w:r>
        <w:t xml:space="preserve"> </w:t>
      </w:r>
      <w:r>
        <w:t xml:space="preserve">1: 1–24.</w:t>
      </w:r>
      <w:r>
        <w:t xml:space="preserve"> </w:t>
      </w:r>
      <w:hyperlink r:id="rId115">
        <w:r>
          <w:rPr>
            <w:rStyle w:val="Hyperlink"/>
          </w:rPr>
          <w:t xml:space="preserve">https://doi.org/10.1109/TQE.2020.3030314</w:t>
        </w:r>
      </w:hyperlink>
      <w:r>
        <w:t xml:space="preserve">.</w:t>
      </w:r>
    </w:p>
    <w:bookmarkEnd w:id="116"/>
    <w:bookmarkStart w:id="118" w:name="ref-fowler2012"/>
    <w:p>
      <w:pPr>
        <w:pStyle w:val="Bibliography"/>
      </w:pPr>
      <w:r>
        <w:t xml:space="preserve">Fowler, Austin G., Matteo Mariantoni, John M. Martinis, and Andrew N. Cleland. 2012.</w:t>
      </w:r>
      <w:r>
        <w:t xml:space="preserve"> </w:t>
      </w:r>
      <w:r>
        <w:t xml:space="preserve">“Surface Codes: Towards Practical Large-Scale Quantum Computation.”</w:t>
      </w:r>
      <w:r>
        <w:t xml:space="preserve"> </w:t>
      </w:r>
      <w:r>
        <w:rPr>
          <w:i/>
          <w:iCs/>
        </w:rPr>
        <w:t xml:space="preserve">Physical Review A</w:t>
      </w:r>
      <w:r>
        <w:t xml:space="preserve"> </w:t>
      </w:r>
      <w:r>
        <w:t xml:space="preserve">86: 032324.</w:t>
      </w:r>
      <w:r>
        <w:t xml:space="preserve"> </w:t>
      </w:r>
      <w:hyperlink r:id="rId117">
        <w:r>
          <w:rPr>
            <w:rStyle w:val="Hyperlink"/>
          </w:rPr>
          <w:t xml:space="preserve">https://doi.org/10.1103/PhysRevA.86.032324</w:t>
        </w:r>
      </w:hyperlink>
      <w:r>
        <w:t xml:space="preserve">.</w:t>
      </w:r>
    </w:p>
    <w:bookmarkEnd w:id="118"/>
    <w:bookmarkStart w:id="120" w:name="ref-georgescu2014"/>
    <w:p>
      <w:pPr>
        <w:pStyle w:val="Bibliography"/>
      </w:pPr>
      <w:r>
        <w:t xml:space="preserve">Georgescu, I. M., S. Ashhab, and Franco Nori. 2014.</w:t>
      </w:r>
      <w:r>
        <w:t xml:space="preserve"> </w:t>
      </w:r>
      <w:r>
        <w:t xml:space="preserve">“Quantum Simulation.”</w:t>
      </w:r>
      <w:r>
        <w:t xml:space="preserve"> </w:t>
      </w:r>
      <w:r>
        <w:rPr>
          <w:i/>
          <w:iCs/>
        </w:rPr>
        <w:t xml:space="preserve">Reviews of Modern Physics</w:t>
      </w:r>
      <w:r>
        <w:t xml:space="preserve"> </w:t>
      </w:r>
      <w:r>
        <w:t xml:space="preserve">86: 153–85.</w:t>
      </w:r>
      <w:r>
        <w:t xml:space="preserve"> </w:t>
      </w:r>
      <w:hyperlink r:id="rId119">
        <w:r>
          <w:rPr>
            <w:rStyle w:val="Hyperlink"/>
          </w:rPr>
          <w:t xml:space="preserve">https://doi.org/10.1103/RevModPhys.86.153</w:t>
        </w:r>
      </w:hyperlink>
      <w:r>
        <w:t xml:space="preserve">.</w:t>
      </w:r>
    </w:p>
    <w:bookmarkEnd w:id="120"/>
    <w:bookmarkStart w:id="122" w:name="ref-gidney2021"/>
    <w:p>
      <w:pPr>
        <w:pStyle w:val="Bibliography"/>
      </w:pPr>
      <w:r>
        <w:t xml:space="preserve">Gidney, Craig, and Martin Ekera. 2021.</w:t>
      </w:r>
      <w:r>
        <w:t xml:space="preserve"> </w:t>
      </w:r>
      <w:r>
        <w:t xml:space="preserve">“How to Factor 2048 Bit RSA Integers in 8 Hours Using 20 Million Noisy Qubits.”</w:t>
      </w:r>
      <w:r>
        <w:t xml:space="preserve"> </w:t>
      </w:r>
      <w:r>
        <w:rPr>
          <w:i/>
          <w:iCs/>
        </w:rPr>
        <w:t xml:space="preserve">Quantum</w:t>
      </w:r>
      <w:r>
        <w:t xml:space="preserve"> </w:t>
      </w:r>
      <w:r>
        <w:t xml:space="preserve">5: 433.</w:t>
      </w:r>
      <w:r>
        <w:t xml:space="preserve"> </w:t>
      </w:r>
      <w:hyperlink r:id="rId121">
        <w:r>
          <w:rPr>
            <w:rStyle w:val="Hyperlink"/>
          </w:rPr>
          <w:t xml:space="preserve">https://doi.org/10.22331/q-2021-04-15-433</w:t>
        </w:r>
      </w:hyperlink>
      <w:r>
        <w:t xml:space="preserve">.</w:t>
      </w:r>
    </w:p>
    <w:bookmarkEnd w:id="122"/>
    <w:bookmarkStart w:id="124" w:name="ref-giovannetti2011"/>
    <w:p>
      <w:pPr>
        <w:pStyle w:val="Bibliography"/>
      </w:pPr>
      <w:r>
        <w:t xml:space="preserve">Giovannetti, Vittorio, Seth Lloyd, and Lorenzo Maccone. 2011.</w:t>
      </w:r>
      <w:r>
        <w:t xml:space="preserve"> </w:t>
      </w:r>
      <w:r>
        <w:t xml:space="preserve">“Advances in Quantum Metrology.”</w:t>
      </w:r>
      <w:r>
        <w:t xml:space="preserve"> </w:t>
      </w:r>
      <w:r>
        <w:rPr>
          <w:i/>
          <w:iCs/>
        </w:rPr>
        <w:t xml:space="preserve">Nature Photonics</w:t>
      </w:r>
      <w:r>
        <w:t xml:space="preserve"> </w:t>
      </w:r>
      <w:r>
        <w:t xml:space="preserve">5: 222–29.</w:t>
      </w:r>
      <w:r>
        <w:t xml:space="preserve"> </w:t>
      </w:r>
      <w:hyperlink r:id="rId123">
        <w:r>
          <w:rPr>
            <w:rStyle w:val="Hyperlink"/>
          </w:rPr>
          <w:t xml:space="preserve">https://doi.org/10.1038/nphoton.2011.35</w:t>
        </w:r>
      </w:hyperlink>
      <w:r>
        <w:t xml:space="preserve">.</w:t>
      </w:r>
    </w:p>
    <w:bookmarkEnd w:id="124"/>
    <w:bookmarkStart w:id="126" w:name="ref-harrow2017"/>
    <w:p>
      <w:pPr>
        <w:pStyle w:val="Bibliography"/>
      </w:pPr>
      <w:r>
        <w:t xml:space="preserve">Harrow, Aram W., and Ashley Montanaro. 2017.</w:t>
      </w:r>
      <w:r>
        <w:t xml:space="preserve"> </w:t>
      </w:r>
      <w:r>
        <w:t xml:space="preserve">“Quantum Computational Supremacy.”</w:t>
      </w:r>
      <w:r>
        <w:t xml:space="preserve"> </w:t>
      </w:r>
      <w:r>
        <w:rPr>
          <w:i/>
          <w:iCs/>
        </w:rPr>
        <w:t xml:space="preserve">Nature</w:t>
      </w:r>
      <w:r>
        <w:t xml:space="preserve"> </w:t>
      </w:r>
      <w:r>
        <w:t xml:space="preserve">549: 203–9.</w:t>
      </w:r>
      <w:r>
        <w:t xml:space="preserve"> </w:t>
      </w:r>
      <w:hyperlink r:id="rId125">
        <w:r>
          <w:rPr>
            <w:rStyle w:val="Hyperlink"/>
          </w:rPr>
          <w:t xml:space="preserve">https://doi.org/10.1038/nature23458</w:t>
        </w:r>
      </w:hyperlink>
      <w:r>
        <w:t xml:space="preserve">.</w:t>
      </w:r>
    </w:p>
    <w:bookmarkEnd w:id="126"/>
    <w:bookmarkStart w:id="128" w:name="ref-henriet2020"/>
    <w:p>
      <w:pPr>
        <w:pStyle w:val="Bibliography"/>
      </w:pPr>
      <w:r>
        <w:t xml:space="preserve">Henriet, Loic, Lucas Beguin, Adrien Signoles, Thierry Lahaye, Antoine Browaeys, Georges-Olivier Reymond, and Christophe Jurczak. 2020.</w:t>
      </w:r>
      <w:r>
        <w:t xml:space="preserve"> </w:t>
      </w:r>
      <w:r>
        <w:t xml:space="preserve">“Quantum Computing with Neutral Atoms.”</w:t>
      </w:r>
      <w:r>
        <w:t xml:space="preserve"> </w:t>
      </w:r>
      <w:r>
        <w:rPr>
          <w:i/>
          <w:iCs/>
        </w:rPr>
        <w:t xml:space="preserve">Quantum</w:t>
      </w:r>
      <w:r>
        <w:t xml:space="preserve"> </w:t>
      </w:r>
      <w:r>
        <w:t xml:space="preserve">4: 327.</w:t>
      </w:r>
      <w:r>
        <w:t xml:space="preserve"> </w:t>
      </w:r>
      <w:hyperlink r:id="rId127">
        <w:r>
          <w:rPr>
            <w:rStyle w:val="Hyperlink"/>
          </w:rPr>
          <w:t xml:space="preserve">https://doi.org/10.22331/q-2020-09-21-327</w:t>
        </w:r>
      </w:hyperlink>
      <w:r>
        <w:t xml:space="preserve">.</w:t>
      </w:r>
    </w:p>
    <w:bookmarkEnd w:id="128"/>
    <w:bookmarkStart w:id="130" w:name="ref-kandala2017"/>
    <w:p>
      <w:pPr>
        <w:pStyle w:val="Bibliography"/>
      </w:pPr>
      <w:r>
        <w:t xml:space="preserve">Kandala, Abhinav, Antonio Mezzacapo, Kristan Temme, Maika Takita, Markus Brink, Jerry M. Chow, and Jay M. Gambetta. 2017.</w:t>
      </w:r>
      <w:r>
        <w:t xml:space="preserve"> </w:t>
      </w:r>
      <w:r>
        <w:t xml:space="preserve">“Hardware-Efficient Variational Quantum Eigensolver for Small Molecules and Quantum Magnets.”</w:t>
      </w:r>
      <w:r>
        <w:t xml:space="preserve"> </w:t>
      </w:r>
      <w:r>
        <w:rPr>
          <w:i/>
          <w:iCs/>
        </w:rPr>
        <w:t xml:space="preserve">Nature</w:t>
      </w:r>
      <w:r>
        <w:t xml:space="preserve"> </w:t>
      </w:r>
      <w:r>
        <w:t xml:space="preserve">549: 242–46.</w:t>
      </w:r>
      <w:r>
        <w:t xml:space="preserve"> </w:t>
      </w:r>
      <w:hyperlink r:id="rId129">
        <w:r>
          <w:rPr>
            <w:rStyle w:val="Hyperlink"/>
          </w:rPr>
          <w:t xml:space="preserve">https://doi.org/10.1038/nature23879</w:t>
        </w:r>
      </w:hyperlink>
      <w:r>
        <w:t xml:space="preserve">.</w:t>
      </w:r>
    </w:p>
    <w:bookmarkEnd w:id="130"/>
    <w:bookmarkStart w:id="132" w:name="ref-kaur2022"/>
    <w:p>
      <w:pPr>
        <w:pStyle w:val="Bibliography"/>
      </w:pPr>
      <w:r>
        <w:t xml:space="preserve">Kaur, Maninder, and Alberto Venegas-Gomez. 2022.</w:t>
      </w:r>
      <w:r>
        <w:t xml:space="preserve"> </w:t>
      </w:r>
      <w:r>
        <w:t xml:space="preserve">“Defining the Quantum Workforce Landscape: A Review of Global Quantum Education Initiatives.”</w:t>
      </w:r>
      <w:r>
        <w:t xml:space="preserve"> </w:t>
      </w:r>
      <w:r>
        <w:rPr>
          <w:i/>
          <w:iCs/>
        </w:rPr>
        <w:t xml:space="preserve">Optical Engineering</w:t>
      </w:r>
      <w:r>
        <w:t xml:space="preserve"> </w:t>
      </w:r>
      <w:r>
        <w:t xml:space="preserve">61 (8): 081806.</w:t>
      </w:r>
      <w:r>
        <w:t xml:space="preserve"> </w:t>
      </w:r>
      <w:hyperlink r:id="rId131">
        <w:r>
          <w:rPr>
            <w:rStyle w:val="Hyperlink"/>
          </w:rPr>
          <w:t xml:space="preserve">https://doi.org/10.1117/1.OE.61.8.081806</w:t>
        </w:r>
      </w:hyperlink>
      <w:r>
        <w:t xml:space="preserve">.</w:t>
      </w:r>
    </w:p>
    <w:bookmarkEnd w:id="132"/>
    <w:bookmarkStart w:id="134" w:name="ref-kimble2008"/>
    <w:p>
      <w:pPr>
        <w:pStyle w:val="Bibliography"/>
      </w:pPr>
      <w:r>
        <w:t xml:space="preserve">Kimble, H. J. 2008.</w:t>
      </w:r>
      <w:r>
        <w:t xml:space="preserve"> </w:t>
      </w:r>
      <w:r>
        <w:t xml:space="preserve">“The Quantum Internet.”</w:t>
      </w:r>
      <w:r>
        <w:t xml:space="preserve"> </w:t>
      </w:r>
      <w:r>
        <w:rPr>
          <w:i/>
          <w:iCs/>
        </w:rPr>
        <w:t xml:space="preserve">Nature</w:t>
      </w:r>
      <w:r>
        <w:t xml:space="preserve"> </w:t>
      </w:r>
      <w:r>
        <w:t xml:space="preserve">453: 1023–30.</w:t>
      </w:r>
      <w:r>
        <w:t xml:space="preserve"> </w:t>
      </w:r>
      <w:hyperlink r:id="rId133">
        <w:r>
          <w:rPr>
            <w:rStyle w:val="Hyperlink"/>
          </w:rPr>
          <w:t xml:space="preserve">https://doi.org/10.1038/nature07127</w:t>
        </w:r>
      </w:hyperlink>
      <w:r>
        <w:t xml:space="preserve">.</w:t>
      </w:r>
    </w:p>
    <w:bookmarkEnd w:id="134"/>
    <w:bookmarkStart w:id="136" w:name="ref-kjaergaard2020"/>
    <w:p>
      <w:pPr>
        <w:pStyle w:val="Bibliography"/>
      </w:pPr>
      <w:r>
        <w:t xml:space="preserve">Kjaergaard, Morten, Mollie E. Schwartz, Jochen Braumuller, Philip Krantz, Joel I.-J. Wang, Simon Gustavsson, and William D. Oliver. 2020.</w:t>
      </w:r>
      <w:r>
        <w:t xml:space="preserve"> </w:t>
      </w:r>
      <w:r>
        <w:t xml:space="preserve">“Superconducting Qubits: Current State of Play.”</w:t>
      </w:r>
      <w:r>
        <w:t xml:space="preserve"> </w:t>
      </w:r>
      <w:r>
        <w:rPr>
          <w:i/>
          <w:iCs/>
        </w:rPr>
        <w:t xml:space="preserve">Annual Review of Condensed Matter Physics</w:t>
      </w:r>
      <w:r>
        <w:t xml:space="preserve"> </w:t>
      </w:r>
      <w:r>
        <w:t xml:space="preserve">11: 369–95.</w:t>
      </w:r>
      <w:r>
        <w:t xml:space="preserve"> </w:t>
      </w:r>
      <w:hyperlink r:id="rId135">
        <w:r>
          <w:rPr>
            <w:rStyle w:val="Hyperlink"/>
          </w:rPr>
          <w:t xml:space="preserve">https://doi.org/10.1146/annurev-conmatphys-031119-050605</w:t>
        </w:r>
      </w:hyperlink>
      <w:r>
        <w:t xml:space="preserve">.</w:t>
      </w:r>
    </w:p>
    <w:bookmarkEnd w:id="136"/>
    <w:bookmarkStart w:id="138" w:name="ref-krantz2019"/>
    <w:p>
      <w:pPr>
        <w:pStyle w:val="Bibliography"/>
      </w:pPr>
      <w:r>
        <w:t xml:space="preserve">Krantz, Philip, Morten Kjaergaard, Fei Yan, Terry P. Orlando, Simon Gustavsson, and William D. Oliver. 2019.</w:t>
      </w:r>
      <w:r>
        <w:t xml:space="preserve"> </w:t>
      </w:r>
      <w:r>
        <w:t xml:space="preserve">“A Quantum Engineer’s Guide to Superconducting Qubits.”</w:t>
      </w:r>
      <w:r>
        <w:t xml:space="preserve"> </w:t>
      </w:r>
      <w:r>
        <w:rPr>
          <w:i/>
          <w:iCs/>
        </w:rPr>
        <w:t xml:space="preserve">Applied Physics Reviews</w:t>
      </w:r>
      <w:r>
        <w:t xml:space="preserve"> </w:t>
      </w:r>
      <w:r>
        <w:t xml:space="preserve">6: 021318.</w:t>
      </w:r>
      <w:r>
        <w:t xml:space="preserve"> </w:t>
      </w:r>
      <w:hyperlink r:id="rId137">
        <w:r>
          <w:rPr>
            <w:rStyle w:val="Hyperlink"/>
          </w:rPr>
          <w:t xml:space="preserve">https://doi.org/10.1063/1.5089550</w:t>
        </w:r>
      </w:hyperlink>
      <w:r>
        <w:t xml:space="preserve">.</w:t>
      </w:r>
    </w:p>
    <w:bookmarkEnd w:id="138"/>
    <w:bookmarkStart w:id="140" w:name="ref-kwon2026"/>
    <w:p>
      <w:pPr>
        <w:pStyle w:val="Bibliography"/>
      </w:pPr>
      <w:r>
        <w:t xml:space="preserve">Kwon, Ohbyung, Seongjun Kwon, Timothy Jung, and Saifeddin Alimamy. 2026.</w:t>
      </w:r>
      <w:r>
        <w:t xml:space="preserve"> </w:t>
      </w:r>
      <w:r>
        <w:t xml:space="preserve">“Factors Influencing the Adoption Intent of Quantum Computing in Enterprises: An Innovation Adoption Process Perspective.”</w:t>
      </w:r>
      <w:r>
        <w:t xml:space="preserve"> </w:t>
      </w:r>
      <w:r>
        <w:rPr>
          <w:i/>
          <w:iCs/>
        </w:rPr>
        <w:t xml:space="preserve">International Journal of Information Management</w:t>
      </w:r>
      <w:r>
        <w:t xml:space="preserve"> </w:t>
      </w:r>
      <w:r>
        <w:t xml:space="preserve">86: 102978.</w:t>
      </w:r>
      <w:r>
        <w:t xml:space="preserve"> </w:t>
      </w:r>
      <w:hyperlink r:id="rId139">
        <w:r>
          <w:rPr>
            <w:rStyle w:val="Hyperlink"/>
          </w:rPr>
          <w:t xml:space="preserve">https://doi.org/10.1016/j.ijinfomgt.2025.102978</w:t>
        </w:r>
      </w:hyperlink>
      <w:r>
        <w:t xml:space="preserve">.</w:t>
      </w:r>
    </w:p>
    <w:bookmarkEnd w:id="140"/>
    <w:bookmarkStart w:id="142" w:name="ref-liu2024"/>
    <w:p>
      <w:pPr>
        <w:pStyle w:val="Bibliography"/>
      </w:pPr>
      <w:r>
        <w:t xml:space="preserve">Liu, Jie, Huan Ma, Honghui Shang, Zhenyu Li, and Jinlong Yang. 2024.</w:t>
      </w:r>
      <w:r>
        <w:t xml:space="preserve"> </w:t>
      </w:r>
      <w:r>
        <w:t xml:space="preserve">“Quantum-Centric High Performance Computing for Quantum Chemistry.”</w:t>
      </w:r>
      <w:r>
        <w:t xml:space="preserve"> </w:t>
      </w:r>
      <w:r>
        <w:rPr>
          <w:i/>
          <w:iCs/>
        </w:rPr>
        <w:t xml:space="preserve">Physical Chemistry Chemical Physics</w:t>
      </w:r>
      <w:r>
        <w:t xml:space="preserve"> </w:t>
      </w:r>
      <w:r>
        <w:t xml:space="preserve">26: 15831–43.</w:t>
      </w:r>
      <w:r>
        <w:t xml:space="preserve"> </w:t>
      </w:r>
      <w:hyperlink r:id="rId141">
        <w:r>
          <w:rPr>
            <w:rStyle w:val="Hyperlink"/>
          </w:rPr>
          <w:t xml:space="preserve">https://doi.org/10.1039/D4CP00436A</w:t>
        </w:r>
      </w:hyperlink>
      <w:r>
        <w:t xml:space="preserve">.</w:t>
      </w:r>
    </w:p>
    <w:bookmarkEnd w:id="142"/>
    <w:bookmarkStart w:id="143" w:name="ref-lundvall1992"/>
    <w:p>
      <w:pPr>
        <w:pStyle w:val="Bibliography"/>
      </w:pPr>
      <w:r>
        <w:t xml:space="preserve">Lundvall, Bengt-Ake, ed. 1992.</w:t>
      </w:r>
      <w:r>
        <w:t xml:space="preserve"> </w:t>
      </w:r>
      <w:r>
        <w:rPr>
          <w:i/>
          <w:iCs/>
        </w:rPr>
        <w:t xml:space="preserve">National Systems of Innovation: Toward a Theory of Innovation and Interactive Learning</w:t>
      </w:r>
      <w:r>
        <w:t xml:space="preserve">. London: Pinter.</w:t>
      </w:r>
    </w:p>
    <w:bookmarkEnd w:id="143"/>
    <w:bookmarkStart w:id="145" w:name="ref-mazzucato2018"/>
    <w:p>
      <w:pPr>
        <w:pStyle w:val="Bibliography"/>
      </w:pPr>
      <w:r>
        <w:t xml:space="preserve">Mazzucato, Mariana. 2018.</w:t>
      </w:r>
      <w:r>
        <w:t xml:space="preserve"> </w:t>
      </w:r>
      <w:r>
        <w:t xml:space="preserve">“Mission-Oriented Innovation Policies: Challenges and Opportunities.”</w:t>
      </w:r>
      <w:r>
        <w:t xml:space="preserve"> </w:t>
      </w:r>
      <w:r>
        <w:rPr>
          <w:i/>
          <w:iCs/>
        </w:rPr>
        <w:t xml:space="preserve">Industrial and Corporate Change</w:t>
      </w:r>
      <w:r>
        <w:t xml:space="preserve"> </w:t>
      </w:r>
      <w:r>
        <w:t xml:space="preserve">27 (5): 803–15.</w:t>
      </w:r>
      <w:r>
        <w:t xml:space="preserve"> </w:t>
      </w:r>
      <w:hyperlink r:id="rId144">
        <w:r>
          <w:rPr>
            <w:rStyle w:val="Hyperlink"/>
          </w:rPr>
          <w:t xml:space="preserve">https://doi.org/10.1093/icc/dty034</w:t>
        </w:r>
      </w:hyperlink>
      <w:r>
        <w:t xml:space="preserve">.</w:t>
      </w:r>
    </w:p>
    <w:bookmarkEnd w:id="145"/>
    <w:bookmarkStart w:id="147" w:name="ref-mcclean2018"/>
    <w:p>
      <w:pPr>
        <w:pStyle w:val="Bibliography"/>
      </w:pPr>
      <w:r>
        <w:t xml:space="preserve">McClean, Jarrod R., Sergio Boixo, Vadim N. Smelyanskiy, Ryan Babbush, and Hartmut Neven. 2018.</w:t>
      </w:r>
      <w:r>
        <w:t xml:space="preserve"> </w:t>
      </w:r>
      <w:r>
        <w:t xml:space="preserve">“Barren Plateaus in Quantum Neural Network Training Landscapes.”</w:t>
      </w:r>
      <w:r>
        <w:t xml:space="preserve"> </w:t>
      </w:r>
      <w:r>
        <w:rPr>
          <w:i/>
          <w:iCs/>
        </w:rPr>
        <w:t xml:space="preserve">Nature Communications</w:t>
      </w:r>
      <w:r>
        <w:t xml:space="preserve"> </w:t>
      </w:r>
      <w:r>
        <w:t xml:space="preserve">9: 4812.</w:t>
      </w:r>
      <w:r>
        <w:t xml:space="preserve"> </w:t>
      </w:r>
      <w:hyperlink r:id="rId146">
        <w:r>
          <w:rPr>
            <w:rStyle w:val="Hyperlink"/>
          </w:rPr>
          <w:t xml:space="preserve">https://doi.org/10.1038/s41467-018-07090-4</w:t>
        </w:r>
      </w:hyperlink>
      <w:r>
        <w:t xml:space="preserve">.</w:t>
      </w:r>
    </w:p>
    <w:bookmarkEnd w:id="147"/>
    <w:bookmarkStart w:id="149" w:name="ref-montanaro2016"/>
    <w:p>
      <w:pPr>
        <w:pStyle w:val="Bibliography"/>
      </w:pPr>
      <w:r>
        <w:t xml:space="preserve">Montanaro, Ashley. 2016.</w:t>
      </w:r>
      <w:r>
        <w:t xml:space="preserve"> </w:t>
      </w:r>
      <w:r>
        <w:t xml:space="preserve">“Quantum Algorithms: An Overview.”</w:t>
      </w:r>
      <w:r>
        <w:t xml:space="preserve"> </w:t>
      </w:r>
      <w:r>
        <w:rPr>
          <w:i/>
          <w:iCs/>
        </w:rPr>
        <w:t xml:space="preserve">Npj Quantum Information</w:t>
      </w:r>
      <w:r>
        <w:t xml:space="preserve"> </w:t>
      </w:r>
      <w:r>
        <w:t xml:space="preserve">2: 15023.</w:t>
      </w:r>
      <w:r>
        <w:t xml:space="preserve"> </w:t>
      </w:r>
      <w:hyperlink r:id="rId148">
        <w:r>
          <w:rPr>
            <w:rStyle w:val="Hyperlink"/>
          </w:rPr>
          <w:t xml:space="preserve">https://doi.org/10.1038/npjqi.2015.23</w:t>
        </w:r>
      </w:hyperlink>
      <w:r>
        <w:t xml:space="preserve">.</w:t>
      </w:r>
    </w:p>
    <w:bookmarkEnd w:id="149"/>
    <w:bookmarkStart w:id="151" w:name="ref-mosca2018"/>
    <w:p>
      <w:pPr>
        <w:pStyle w:val="Bibliography"/>
      </w:pPr>
      <w:r>
        <w:t xml:space="preserve">Mosca, Michele. 2018.</w:t>
      </w:r>
      <w:r>
        <w:t xml:space="preserve"> </w:t>
      </w:r>
      <w:r>
        <w:t xml:space="preserve">“Cybersecurity in an Era with Quantum Computers: Will We Be Ready?”</w:t>
      </w:r>
      <w:r>
        <w:t xml:space="preserve"> </w:t>
      </w:r>
      <w:r>
        <w:rPr>
          <w:i/>
          <w:iCs/>
        </w:rPr>
        <w:t xml:space="preserve">IEEE Security &amp; Privacy</w:t>
      </w:r>
      <w:r>
        <w:t xml:space="preserve"> </w:t>
      </w:r>
      <w:r>
        <w:t xml:space="preserve">16 (5): 38–41.</w:t>
      </w:r>
      <w:r>
        <w:t xml:space="preserve"> </w:t>
      </w:r>
      <w:hyperlink r:id="rId150">
        <w:r>
          <w:rPr>
            <w:rStyle w:val="Hyperlink"/>
          </w:rPr>
          <w:t xml:space="preserve">https://doi.org/10.1109/MSP.2018.3761723</w:t>
        </w:r>
      </w:hyperlink>
      <w:r>
        <w:t xml:space="preserve">.</w:t>
      </w:r>
    </w:p>
    <w:bookmarkEnd w:id="151"/>
    <w:bookmarkStart w:id="152" w:name="ref-nelson1993"/>
    <w:p>
      <w:pPr>
        <w:pStyle w:val="Bibliography"/>
      </w:pPr>
      <w:r>
        <w:t xml:space="preserve">Nelson, Richard R., ed. 1993.</w:t>
      </w:r>
      <w:r>
        <w:t xml:space="preserve"> </w:t>
      </w:r>
      <w:r>
        <w:rPr>
          <w:i/>
          <w:iCs/>
        </w:rPr>
        <w:t xml:space="preserve">National Innovation Systems: A Comparative Analysis</w:t>
      </w:r>
      <w:r>
        <w:t xml:space="preserve">. New York: Oxford University Press.</w:t>
      </w:r>
    </w:p>
    <w:bookmarkEnd w:id="152"/>
    <w:bookmarkStart w:id="154" w:name="ref-nist2024"/>
    <w:p>
      <w:pPr>
        <w:pStyle w:val="Bibliography"/>
      </w:pPr>
      <w:r>
        <w:t xml:space="preserve">NIST. 2024.</w:t>
      </w:r>
      <w:r>
        <w:t xml:space="preserve"> </w:t>
      </w:r>
      <w:r>
        <w:t xml:space="preserve">“NIST Releases First 3 Finalized Post-Quantum Encryption Standards.”</w:t>
      </w:r>
      <w:r>
        <w:t xml:space="preserve"> </w:t>
      </w:r>
      <w:hyperlink r:id="rId153">
        <w:r>
          <w:rPr>
            <w:rStyle w:val="Hyperlink"/>
          </w:rPr>
          <w:t xml:space="preserve">https://www.nist.gov/news-events/news/2024/08/nist-releases-first-3-finalized-post-quantum-encryption-standards</w:t>
        </w:r>
      </w:hyperlink>
      <w:r>
        <w:t xml:space="preserve">.</w:t>
      </w:r>
    </w:p>
    <w:bookmarkEnd w:id="154"/>
    <w:bookmarkStart w:id="156" w:name="ref-nsa2024"/>
    <w:p>
      <w:pPr>
        <w:pStyle w:val="Bibliography"/>
      </w:pPr>
      <w:r>
        <w:t xml:space="preserve">NSA. 2024.</w:t>
      </w:r>
      <w:r>
        <w:t xml:space="preserve"> </w:t>
      </w:r>
      <w:r>
        <w:t xml:space="preserve">“Post-Quantum Cybersecurity Resources.”</w:t>
      </w:r>
      <w:r>
        <w:t xml:space="preserve"> </w:t>
      </w:r>
      <w:hyperlink r:id="rId155">
        <w:r>
          <w:rPr>
            <w:rStyle w:val="Hyperlink"/>
          </w:rPr>
          <w:t xml:space="preserve">https://www.nsa.gov/Cybersecurity/Post-Quantum-Cybersecurity-Resources/</w:t>
        </w:r>
      </w:hyperlink>
      <w:r>
        <w:t xml:space="preserve">.</w:t>
      </w:r>
    </w:p>
    <w:bookmarkEnd w:id="156"/>
    <w:bookmarkStart w:id="158" w:name="ref-oecd2025a"/>
    <w:p>
      <w:pPr>
        <w:pStyle w:val="Bibliography"/>
      </w:pPr>
      <w:r>
        <w:t xml:space="preserve">OECD. 2025a.</w:t>
      </w:r>
      <w:r>
        <w:t xml:space="preserve"> </w:t>
      </w:r>
      <w:r>
        <w:t xml:space="preserve">“An Overview of National Strategies and Policies for Quantum Technologies.”</w:t>
      </w:r>
      <w:r>
        <w:t xml:space="preserve"> </w:t>
      </w:r>
      <w:r>
        <w:t xml:space="preserve">OECD Digital Economy Papers.</w:t>
      </w:r>
      <w:r>
        <w:t xml:space="preserve"> </w:t>
      </w:r>
      <w:hyperlink r:id="rId157">
        <w:r>
          <w:rPr>
            <w:rStyle w:val="Hyperlink"/>
          </w:rPr>
          <w:t xml:space="preserve">https://www.oecd.org/en/publications/an-overview-of-national-strategies-and-policies-for-quantum-technologies_5e55e7ab-en.html</w:t>
        </w:r>
      </w:hyperlink>
      <w:r>
        <w:t xml:space="preserve">.</w:t>
      </w:r>
    </w:p>
    <w:bookmarkEnd w:id="158"/>
    <w:bookmarkStart w:id="160" w:name="ref-oecd2025b"/>
    <w:p>
      <w:pPr>
        <w:pStyle w:val="Bibliography"/>
      </w:pPr>
      <w:r>
        <w:t xml:space="preserve">———. 2025b.</w:t>
      </w:r>
      <w:r>
        <w:t xml:space="preserve"> </w:t>
      </w:r>
      <w:r>
        <w:t xml:space="preserve">“Mapping the Global Quantum Ecosystem.”</w:t>
      </w:r>
      <w:r>
        <w:t xml:space="preserve"> </w:t>
      </w:r>
      <w:hyperlink r:id="rId159">
        <w:r>
          <w:rPr>
            <w:rStyle w:val="Hyperlink"/>
          </w:rPr>
          <w:t xml:space="preserve">https://www.oecd.org/content/dam/oecd/en/publications/reports/2025/12/mapping-the-global-quantum-ecosystem_47891dd2/20251217-0001.pdf</w:t>
        </w:r>
      </w:hyperlink>
      <w:r>
        <w:t xml:space="preserve">.</w:t>
      </w:r>
    </w:p>
    <w:bookmarkEnd w:id="160"/>
    <w:bookmarkStart w:id="162" w:name="ref-oecd2026"/>
    <w:p>
      <w:pPr>
        <w:pStyle w:val="Bibliography"/>
      </w:pPr>
      <w:r>
        <w:t xml:space="preserve">———. 2026.</w:t>
      </w:r>
      <w:r>
        <w:t xml:space="preserve"> </w:t>
      </w:r>
      <w:r>
        <w:t xml:space="preserve">“Building Business Readiness for Quantum Computing.”</w:t>
      </w:r>
      <w:r>
        <w:t xml:space="preserve"> </w:t>
      </w:r>
      <w:r>
        <w:t xml:space="preserve">OECD Digital Economy Papers.</w:t>
      </w:r>
      <w:r>
        <w:t xml:space="preserve"> </w:t>
      </w:r>
      <w:hyperlink r:id="rId161">
        <w:r>
          <w:rPr>
            <w:rStyle w:val="Hyperlink"/>
          </w:rPr>
          <w:t xml:space="preserve">https://www.oecd.org/en/publications/building-business-readiness-for-quantum-computing_ee847e5f-en.html</w:t>
        </w:r>
      </w:hyperlink>
      <w:r>
        <w:t xml:space="preserve">.</w:t>
      </w:r>
    </w:p>
    <w:bookmarkEnd w:id="162"/>
    <w:bookmarkStart w:id="164" w:name="ref-openalex2026"/>
    <w:p>
      <w:pPr>
        <w:pStyle w:val="Bibliography"/>
      </w:pPr>
      <w:r>
        <w:t xml:space="preserve">OpenAlex. 2026.</w:t>
      </w:r>
      <w:r>
        <w:t xml:space="preserve"> </w:t>
      </w:r>
      <w:r>
        <w:t xml:space="preserve">“OpenAlex Works API.”</w:t>
      </w:r>
      <w:r>
        <w:t xml:space="preserve"> </w:t>
      </w:r>
      <w:hyperlink r:id="rId163">
        <w:r>
          <w:rPr>
            <w:rStyle w:val="Hyperlink"/>
          </w:rPr>
          <w:t xml:space="preserve">https://docs.openalex.org/</w:t>
        </w:r>
      </w:hyperlink>
      <w:r>
        <w:t xml:space="preserve">.</w:t>
      </w:r>
    </w:p>
    <w:bookmarkEnd w:id="164"/>
    <w:bookmarkStart w:id="166" w:name="ref-orus2019"/>
    <w:p>
      <w:pPr>
        <w:pStyle w:val="Bibliography"/>
      </w:pPr>
      <w:r>
        <w:t xml:space="preserve">Orus, Roman, Samuel Mugel, and Enrique Lizaso. 2019.</w:t>
      </w:r>
      <w:r>
        <w:t xml:space="preserve"> </w:t>
      </w:r>
      <w:r>
        <w:t xml:space="preserve">“Quantum Computing for Finance: Overview and Prospects.”</w:t>
      </w:r>
      <w:r>
        <w:t xml:space="preserve"> </w:t>
      </w:r>
      <w:r>
        <w:rPr>
          <w:i/>
          <w:iCs/>
        </w:rPr>
        <w:t xml:space="preserve">Reviews in Physics</w:t>
      </w:r>
      <w:r>
        <w:t xml:space="preserve"> </w:t>
      </w:r>
      <w:r>
        <w:t xml:space="preserve">4: 100028.</w:t>
      </w:r>
      <w:r>
        <w:t xml:space="preserve"> </w:t>
      </w:r>
      <w:hyperlink r:id="rId165">
        <w:r>
          <w:rPr>
            <w:rStyle w:val="Hyperlink"/>
          </w:rPr>
          <w:t xml:space="preserve">https://doi.org/10.1016/j.revip.2019.100028</w:t>
        </w:r>
      </w:hyperlink>
      <w:r>
        <w:t xml:space="preserve">.</w:t>
      </w:r>
    </w:p>
    <w:bookmarkEnd w:id="166"/>
    <w:bookmarkStart w:id="168" w:name="ref-peruzzo2014"/>
    <w:p>
      <w:pPr>
        <w:pStyle w:val="Bibliography"/>
      </w:pPr>
      <w:r>
        <w:t xml:space="preserve">Peruzzo, Alberto, Jarrod McClean, Peter Shadbolt, Man-Hong Yung, Xiao-Qi Zhou, Peter J. Love, Alan Aspuru-Guzik, and Jeremy L. O’Brien. 2014.</w:t>
      </w:r>
      <w:r>
        <w:t xml:space="preserve"> </w:t>
      </w:r>
      <w:r>
        <w:t xml:space="preserve">“A Variational Eigenvalue Solver on a Photonic Quantum Processor.”</w:t>
      </w:r>
      <w:r>
        <w:t xml:space="preserve"> </w:t>
      </w:r>
      <w:r>
        <w:rPr>
          <w:i/>
          <w:iCs/>
        </w:rPr>
        <w:t xml:space="preserve">Nature Communications</w:t>
      </w:r>
      <w:r>
        <w:t xml:space="preserve"> </w:t>
      </w:r>
      <w:r>
        <w:t xml:space="preserve">5: 4213.</w:t>
      </w:r>
      <w:r>
        <w:t xml:space="preserve"> </w:t>
      </w:r>
      <w:hyperlink r:id="rId167">
        <w:r>
          <w:rPr>
            <w:rStyle w:val="Hyperlink"/>
          </w:rPr>
          <w:t xml:space="preserve">https://doi.org/10.1038/ncomms5213</w:t>
        </w:r>
      </w:hyperlink>
      <w:r>
        <w:t xml:space="preserve">.</w:t>
      </w:r>
    </w:p>
    <w:bookmarkEnd w:id="168"/>
    <w:bookmarkStart w:id="170" w:name="ref-pezze2018"/>
    <w:p>
      <w:pPr>
        <w:pStyle w:val="Bibliography"/>
      </w:pPr>
      <w:r>
        <w:t xml:space="preserve">Pezze, Luca, Augusto Smerzi, Markus K. Oberthaler, Roman Schmied, and Philipp Treutlein. 2018.</w:t>
      </w:r>
      <w:r>
        <w:t xml:space="preserve"> </w:t>
      </w:r>
      <w:r>
        <w:t xml:space="preserve">“Quantum Metrology with Nonclassical States of Atomic Ensembles.”</w:t>
      </w:r>
      <w:r>
        <w:t xml:space="preserve"> </w:t>
      </w:r>
      <w:r>
        <w:rPr>
          <w:i/>
          <w:iCs/>
        </w:rPr>
        <w:t xml:space="preserve">Reviews of Modern Physics</w:t>
      </w:r>
      <w:r>
        <w:t xml:space="preserve"> </w:t>
      </w:r>
      <w:r>
        <w:t xml:space="preserve">90: 035005.</w:t>
      </w:r>
      <w:r>
        <w:t xml:space="preserve"> </w:t>
      </w:r>
      <w:hyperlink r:id="rId169">
        <w:r>
          <w:rPr>
            <w:rStyle w:val="Hyperlink"/>
          </w:rPr>
          <w:t xml:space="preserve">https://doi.org/10.1103/RevModPhys.90.035005</w:t>
        </w:r>
      </w:hyperlink>
      <w:r>
        <w:t xml:space="preserve">.</w:t>
      </w:r>
    </w:p>
    <w:bookmarkEnd w:id="170"/>
    <w:bookmarkStart w:id="172" w:name="ref-pirandola2020"/>
    <w:p>
      <w:pPr>
        <w:pStyle w:val="Bibliography"/>
      </w:pPr>
      <w:r>
        <w:t xml:space="preserve">Pirandola, Stefano, Ulrik L. Andersen, Leonardo Banchi, Mario Berta, Darius Bunandar, Roger Colbeck, Dirk Englund, et al. 2020.</w:t>
      </w:r>
      <w:r>
        <w:t xml:space="preserve"> </w:t>
      </w:r>
      <w:r>
        <w:t xml:space="preserve">“Advances in Quantum Cryptography.”</w:t>
      </w:r>
      <w:r>
        <w:t xml:space="preserve"> </w:t>
      </w:r>
      <w:r>
        <w:rPr>
          <w:i/>
          <w:iCs/>
        </w:rPr>
        <w:t xml:space="preserve">Advances in Optics and Photonics</w:t>
      </w:r>
      <w:r>
        <w:t xml:space="preserve"> </w:t>
      </w:r>
      <w:r>
        <w:t xml:space="preserve">12 (4): 1012–1236.</w:t>
      </w:r>
      <w:r>
        <w:t xml:space="preserve"> </w:t>
      </w:r>
      <w:hyperlink r:id="rId171">
        <w:r>
          <w:rPr>
            <w:rStyle w:val="Hyperlink"/>
          </w:rPr>
          <w:t xml:space="preserve">https://doi.org/10.1364/AOP.361502</w:t>
        </w:r>
      </w:hyperlink>
      <w:r>
        <w:t xml:space="preserve">.</w:t>
      </w:r>
    </w:p>
    <w:bookmarkEnd w:id="172"/>
    <w:bookmarkStart w:id="174" w:name="ref-preskill2018"/>
    <w:p>
      <w:pPr>
        <w:pStyle w:val="Bibliography"/>
      </w:pPr>
      <w:r>
        <w:t xml:space="preserve">Preskill, John. 2018.</w:t>
      </w:r>
      <w:r>
        <w:t xml:space="preserve"> </w:t>
      </w:r>
      <w:r>
        <w:t xml:space="preserve">“Quantum Computing in the NISQ Era and Beyond.”</w:t>
      </w:r>
      <w:r>
        <w:t xml:space="preserve"> </w:t>
      </w:r>
      <w:r>
        <w:rPr>
          <w:i/>
          <w:iCs/>
        </w:rPr>
        <w:t xml:space="preserve">Quantum</w:t>
      </w:r>
      <w:r>
        <w:t xml:space="preserve"> </w:t>
      </w:r>
      <w:r>
        <w:t xml:space="preserve">2: 79.</w:t>
      </w:r>
      <w:r>
        <w:t xml:space="preserve"> </w:t>
      </w:r>
      <w:hyperlink r:id="rId173">
        <w:r>
          <w:rPr>
            <w:rStyle w:val="Hyperlink"/>
          </w:rPr>
          <w:t xml:space="preserve">https://doi.org/10.22331/q-2018-08-06-79</w:t>
        </w:r>
      </w:hyperlink>
      <w:r>
        <w:t xml:space="preserve">.</w:t>
      </w:r>
    </w:p>
    <w:bookmarkEnd w:id="174"/>
    <w:bookmarkStart w:id="176" w:name="ref-proctor2022"/>
    <w:p>
      <w:pPr>
        <w:pStyle w:val="Bibliography"/>
      </w:pPr>
      <w:r>
        <w:t xml:space="preserve">Proctor, Timothy, Kenneth Rudinger, Kevin Young, Erik Nielsen, and Robin Blume-Kohout. 2022.</w:t>
      </w:r>
      <w:r>
        <w:t xml:space="preserve"> </w:t>
      </w:r>
      <w:r>
        <w:t xml:space="preserve">“Measuring the Capabilities of Quantum Computers.”</w:t>
      </w:r>
      <w:r>
        <w:t xml:space="preserve"> </w:t>
      </w:r>
      <w:r>
        <w:rPr>
          <w:i/>
          <w:iCs/>
        </w:rPr>
        <w:t xml:space="preserve">Nature Physics</w:t>
      </w:r>
      <w:r>
        <w:t xml:space="preserve"> </w:t>
      </w:r>
      <w:r>
        <w:t xml:space="preserve">18: 75–79.</w:t>
      </w:r>
      <w:r>
        <w:t xml:space="preserve"> </w:t>
      </w:r>
      <w:hyperlink r:id="rId175">
        <w:r>
          <w:rPr>
            <w:rStyle w:val="Hyperlink"/>
          </w:rPr>
          <w:t xml:space="preserve">https://doi.org/10.1038/s41567-021-01409-7</w:t>
        </w:r>
      </w:hyperlink>
      <w:r>
        <w:t xml:space="preserve">.</w:t>
      </w:r>
    </w:p>
    <w:bookmarkEnd w:id="176"/>
    <w:bookmarkStart w:id="177" w:name="ref-rogers2003"/>
    <w:p>
      <w:pPr>
        <w:pStyle w:val="Bibliography"/>
      </w:pPr>
      <w:r>
        <w:t xml:space="preserve">Rogers, Everett M. 2003.</w:t>
      </w:r>
      <w:r>
        <w:t xml:space="preserve"> </w:t>
      </w:r>
      <w:r>
        <w:rPr>
          <w:i/>
          <w:iCs/>
        </w:rPr>
        <w:t xml:space="preserve">Diffusion of Innovations</w:t>
      </w:r>
      <w:r>
        <w:t xml:space="preserve">. 5th ed. New York: Free Press.</w:t>
      </w:r>
    </w:p>
    <w:bookmarkEnd w:id="177"/>
    <w:bookmarkStart w:id="179" w:name="ref-saffman2016"/>
    <w:p>
      <w:pPr>
        <w:pStyle w:val="Bibliography"/>
      </w:pPr>
      <w:r>
        <w:t xml:space="preserve">Saffman, Mark. 2016.</w:t>
      </w:r>
      <w:r>
        <w:t xml:space="preserve"> </w:t>
      </w:r>
      <w:r>
        <w:t xml:space="preserve">“Quantum Computing with Atomic Qubits and Rydberg Interactions: Progress and Challenges.”</w:t>
      </w:r>
      <w:r>
        <w:t xml:space="preserve"> </w:t>
      </w:r>
      <w:r>
        <w:rPr>
          <w:i/>
          <w:iCs/>
        </w:rPr>
        <w:t xml:space="preserve">Journal of Physics B: Atomic, Molecular and Optical Physics</w:t>
      </w:r>
      <w:r>
        <w:t xml:space="preserve"> </w:t>
      </w:r>
      <w:r>
        <w:t xml:space="preserve">49: 202001.</w:t>
      </w:r>
      <w:r>
        <w:t xml:space="preserve"> </w:t>
      </w:r>
      <w:hyperlink r:id="rId178">
        <w:r>
          <w:rPr>
            <w:rStyle w:val="Hyperlink"/>
          </w:rPr>
          <w:t xml:space="preserve">https://doi.org/10.1088/0953-4075/49/20/202001</w:t>
        </w:r>
      </w:hyperlink>
      <w:r>
        <w:t xml:space="preserve">.</w:t>
      </w:r>
    </w:p>
    <w:bookmarkEnd w:id="179"/>
    <w:bookmarkStart w:id="181" w:name="ref-schuld2019"/>
    <w:p>
      <w:pPr>
        <w:pStyle w:val="Bibliography"/>
      </w:pPr>
      <w:r>
        <w:t xml:space="preserve">Schuld, Maria, and Nathan Killoran. 2019.</w:t>
      </w:r>
      <w:r>
        <w:t xml:space="preserve"> </w:t>
      </w:r>
      <w:r>
        <w:t xml:space="preserve">“Quantum Machine Learning in Feature Hilbert Spaces.”</w:t>
      </w:r>
      <w:r>
        <w:t xml:space="preserve"> </w:t>
      </w:r>
      <w:r>
        <w:rPr>
          <w:i/>
          <w:iCs/>
        </w:rPr>
        <w:t xml:space="preserve">Physical Review Letters</w:t>
      </w:r>
      <w:r>
        <w:t xml:space="preserve"> </w:t>
      </w:r>
      <w:r>
        <w:t xml:space="preserve">122: 040504.</w:t>
      </w:r>
      <w:r>
        <w:t xml:space="preserve"> </w:t>
      </w:r>
      <w:hyperlink r:id="rId180">
        <w:r>
          <w:rPr>
            <w:rStyle w:val="Hyperlink"/>
          </w:rPr>
          <w:t xml:space="preserve">https://doi.org/10.1103/PhysRevLett.122.040504</w:t>
        </w:r>
      </w:hyperlink>
      <w:r>
        <w:t xml:space="preserve">.</w:t>
      </w:r>
    </w:p>
    <w:bookmarkEnd w:id="181"/>
    <w:bookmarkStart w:id="183" w:name="ref-slussarenko2019"/>
    <w:p>
      <w:pPr>
        <w:pStyle w:val="Bibliography"/>
      </w:pPr>
      <w:r>
        <w:t xml:space="preserve">Slussarenko, Sergei, and Geoff J. Pryde. 2019.</w:t>
      </w:r>
      <w:r>
        <w:t xml:space="preserve"> </w:t>
      </w:r>
      <w:r>
        <w:t xml:space="preserve">“Photonic Quantum Information Processing: A Concise Review.”</w:t>
      </w:r>
      <w:r>
        <w:t xml:space="preserve"> </w:t>
      </w:r>
      <w:r>
        <w:rPr>
          <w:i/>
          <w:iCs/>
        </w:rPr>
        <w:t xml:space="preserve">Applied Physics Reviews</w:t>
      </w:r>
      <w:r>
        <w:t xml:space="preserve"> </w:t>
      </w:r>
      <w:r>
        <w:t xml:space="preserve">6: 041303.</w:t>
      </w:r>
      <w:r>
        <w:t xml:space="preserve"> </w:t>
      </w:r>
      <w:hyperlink r:id="rId182">
        <w:r>
          <w:rPr>
            <w:rStyle w:val="Hyperlink"/>
          </w:rPr>
          <w:t xml:space="preserve">https://doi.org/10.1063/1.5115814</w:t>
        </w:r>
      </w:hyperlink>
      <w:r>
        <w:t xml:space="preserve">.</w:t>
      </w:r>
    </w:p>
    <w:bookmarkEnd w:id="183"/>
    <w:bookmarkStart w:id="185" w:name="ref-wehner2018"/>
    <w:p>
      <w:pPr>
        <w:pStyle w:val="Bibliography"/>
      </w:pPr>
      <w:r>
        <w:t xml:space="preserve">Wehner, Stephanie, David Elkouss, and Ronald Hanson. 2018.</w:t>
      </w:r>
      <w:r>
        <w:t xml:space="preserve"> </w:t>
      </w:r>
      <w:r>
        <w:t xml:space="preserve">“Quantum Internet: A Vision for the Road Ahead.”</w:t>
      </w:r>
      <w:r>
        <w:t xml:space="preserve"> </w:t>
      </w:r>
      <w:r>
        <w:rPr>
          <w:i/>
          <w:iCs/>
        </w:rPr>
        <w:t xml:space="preserve">Science</w:t>
      </w:r>
      <w:r>
        <w:t xml:space="preserve"> </w:t>
      </w:r>
      <w:r>
        <w:t xml:space="preserve">362: eaam9288.</w:t>
      </w:r>
      <w:r>
        <w:t xml:space="preserve"> </w:t>
      </w:r>
      <w:hyperlink r:id="rId184">
        <w:r>
          <w:rPr>
            <w:rStyle w:val="Hyperlink"/>
          </w:rPr>
          <w:t xml:space="preserve">https://doi.org/10.1126/science.aam9288</w:t>
        </w:r>
      </w:hyperlink>
      <w:r>
        <w:t xml:space="preserve">.</w:t>
      </w:r>
    </w:p>
    <w:bookmarkEnd w:id="185"/>
    <w:bookmarkStart w:id="187" w:name="ref-xu2020"/>
    <w:p>
      <w:pPr>
        <w:pStyle w:val="Bibliography"/>
      </w:pPr>
      <w:r>
        <w:t xml:space="preserve">Xu, Feihu, Xiongfeng Ma, Qiang Zhang, Hoi-Kwong Lo, and Jian-Wei Pan. 2020.</w:t>
      </w:r>
      <w:r>
        <w:t xml:space="preserve"> </w:t>
      </w:r>
      <w:r>
        <w:t xml:space="preserve">“Secure Quantum Key Distribution with Realistic Devices.”</w:t>
      </w:r>
      <w:r>
        <w:t xml:space="preserve"> </w:t>
      </w:r>
      <w:r>
        <w:rPr>
          <w:i/>
          <w:iCs/>
        </w:rPr>
        <w:t xml:space="preserve">Reviews of Modern Physics</w:t>
      </w:r>
      <w:r>
        <w:t xml:space="preserve"> </w:t>
      </w:r>
      <w:r>
        <w:t xml:space="preserve">92: 025002.</w:t>
      </w:r>
      <w:r>
        <w:t xml:space="preserve"> </w:t>
      </w:r>
      <w:hyperlink r:id="rId186">
        <w:r>
          <w:rPr>
            <w:rStyle w:val="Hyperlink"/>
          </w:rPr>
          <w:t xml:space="preserve">https://doi.org/10.1103/RevModPhys.92.025002</w:t>
        </w:r>
      </w:hyperlink>
      <w:r>
        <w:t xml:space="preserve">.</w:t>
      </w:r>
    </w:p>
    <w:bookmarkEnd w:id="187"/>
    <w:bookmarkEnd w:id="188"/>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Adoption proxies are used because comprehensive public data on direct quantum deployment remain unavailable. They measure different dimensions of readiness and are not treated as interchangeable indicators.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hyperlink" Id="rId163" Target="https://docs.openalex.org/" TargetMode="External" /><Relationship Type="http://schemas.openxmlformats.org/officeDocument/2006/relationships/hyperlink" Id="rId109" Target="https://doi.org/10.1016/j.future.2024.04.030" TargetMode="External" /><Relationship Type="http://schemas.openxmlformats.org/officeDocument/2006/relationships/hyperlink" Id="rId87" Target="https://doi.org/10.1016/j.future.2024.06.058" TargetMode="External" /><Relationship Type="http://schemas.openxmlformats.org/officeDocument/2006/relationships/hyperlink" Id="rId139" Target="https://doi.org/10.1016/j.ijinfomgt.2025.102978" TargetMode="External" /><Relationship Type="http://schemas.openxmlformats.org/officeDocument/2006/relationships/hyperlink" Id="rId165" Target="https://doi.org/10.1016/j.revip.2019.100028" TargetMode="External" /><Relationship Type="http://schemas.openxmlformats.org/officeDocument/2006/relationships/hyperlink" Id="rId101" Target="https://doi.org/10.1021/acs.chemrev.8b00803" TargetMode="External" /><Relationship Type="http://schemas.openxmlformats.org/officeDocument/2006/relationships/hyperlink" Id="rId85" Target="https://doi.org/10.1021/acs.chemrev.9b00829" TargetMode="External" /><Relationship Type="http://schemas.openxmlformats.org/officeDocument/2006/relationships/hyperlink" Id="rId133" Target="https://doi.org/10.1038/nature07127" TargetMode="External" /><Relationship Type="http://schemas.openxmlformats.org/officeDocument/2006/relationships/hyperlink" Id="rId125" Target="https://doi.org/10.1038/nature23458" TargetMode="External" /><Relationship Type="http://schemas.openxmlformats.org/officeDocument/2006/relationships/hyperlink" Id="rId99" Target="https://doi.org/10.1038/nature23460" TargetMode="External" /><Relationship Type="http://schemas.openxmlformats.org/officeDocument/2006/relationships/hyperlink" Id="rId89" Target="https://doi.org/10.1038/nature23461" TargetMode="External" /><Relationship Type="http://schemas.openxmlformats.org/officeDocument/2006/relationships/hyperlink" Id="rId93" Target="https://doi.org/10.1038/nature23474" TargetMode="External" /><Relationship Type="http://schemas.openxmlformats.org/officeDocument/2006/relationships/hyperlink" Id="rId129" Target="https://doi.org/10.1038/nature23879" TargetMode="External" /><Relationship Type="http://schemas.openxmlformats.org/officeDocument/2006/relationships/hyperlink" Id="rId167" Target="https://doi.org/10.1038/ncomms5213" TargetMode="External" /><Relationship Type="http://schemas.openxmlformats.org/officeDocument/2006/relationships/hyperlink" Id="rId123" Target="https://doi.org/10.1038/nphoton.2011.35" TargetMode="External" /><Relationship Type="http://schemas.openxmlformats.org/officeDocument/2006/relationships/hyperlink" Id="rId148" Target="https://doi.org/10.1038/npjqi.2015.23" TargetMode="External" /><Relationship Type="http://schemas.openxmlformats.org/officeDocument/2006/relationships/hyperlink" Id="rId146" Target="https://doi.org/10.1038/s41467-018-07090-4" TargetMode="External" /><Relationship Type="http://schemas.openxmlformats.org/officeDocument/2006/relationships/hyperlink" Id="rId175" Target="https://doi.org/10.1038/s41567-021-01409-7" TargetMode="External" /><Relationship Type="http://schemas.openxmlformats.org/officeDocument/2006/relationships/hyperlink" Id="rId81" Target="https://doi.org/10.1038/s41586-019-1666-5" TargetMode="External" /><Relationship Type="http://schemas.openxmlformats.org/officeDocument/2006/relationships/hyperlink" Id="rId95" Target="https://doi.org/10.1038/s42254-020-00247-5" TargetMode="External" /><Relationship Type="http://schemas.openxmlformats.org/officeDocument/2006/relationships/hyperlink" Id="rId103" Target="https://doi.org/10.1038/s42254-021-00348-9" TargetMode="External" /><Relationship Type="http://schemas.openxmlformats.org/officeDocument/2006/relationships/hyperlink" Id="rId141" Target="https://doi.org/10.1039/D4CP00436A" TargetMode="External" /><Relationship Type="http://schemas.openxmlformats.org/officeDocument/2006/relationships/hyperlink" Id="rId97" Target="https://doi.org/10.1063/1.5088164" TargetMode="External" /><Relationship Type="http://schemas.openxmlformats.org/officeDocument/2006/relationships/hyperlink" Id="rId137" Target="https://doi.org/10.1063/1.5089550" TargetMode="External" /><Relationship Type="http://schemas.openxmlformats.org/officeDocument/2006/relationships/hyperlink" Id="rId182" Target="https://doi.org/10.1063/1.5115814" TargetMode="External" /><Relationship Type="http://schemas.openxmlformats.org/officeDocument/2006/relationships/hyperlink" Id="rId83" Target="https://doi.org/10.1073/pnas.1601513113" TargetMode="External" /><Relationship Type="http://schemas.openxmlformats.org/officeDocument/2006/relationships/hyperlink" Id="rId178" Target="https://doi.org/10.1088/0953-4075/49/20/202001" TargetMode="External" /><Relationship Type="http://schemas.openxmlformats.org/officeDocument/2006/relationships/hyperlink" Id="rId77" Target="https://doi.org/10.1088/1367-2630/aad1ea" TargetMode="External" /><Relationship Type="http://schemas.openxmlformats.org/officeDocument/2006/relationships/hyperlink" Id="rId144" Target="https://doi.org/10.1093/icc/dty034" TargetMode="External" /><Relationship Type="http://schemas.openxmlformats.org/officeDocument/2006/relationships/hyperlink" Id="rId113" Target="https://doi.org/10.1098/rsta.2003.1227" TargetMode="External" /><Relationship Type="http://schemas.openxmlformats.org/officeDocument/2006/relationships/hyperlink" Id="rId79" Target="https://doi.org/10.1103/PRXQuantum.2.017001" TargetMode="External" /><Relationship Type="http://schemas.openxmlformats.org/officeDocument/2006/relationships/hyperlink" Id="rId117" Target="https://doi.org/10.1103/PhysRevA.86.032324" TargetMode="External" /><Relationship Type="http://schemas.openxmlformats.org/officeDocument/2006/relationships/hyperlink" Id="rId180" Target="https://doi.org/10.1103/PhysRevLett.122.040504" TargetMode="External" /><Relationship Type="http://schemas.openxmlformats.org/officeDocument/2006/relationships/hyperlink" Id="rId119" Target="https://doi.org/10.1103/RevModPhys.86.153" TargetMode="External" /><Relationship Type="http://schemas.openxmlformats.org/officeDocument/2006/relationships/hyperlink" Id="rId111" Target="https://doi.org/10.1103/RevModPhys.89.035002" TargetMode="External" /><Relationship Type="http://schemas.openxmlformats.org/officeDocument/2006/relationships/hyperlink" Id="rId169" Target="https://doi.org/10.1103/RevModPhys.90.035005" TargetMode="External" /><Relationship Type="http://schemas.openxmlformats.org/officeDocument/2006/relationships/hyperlink" Id="rId186" Target="https://doi.org/10.1103/RevModPhys.92.025002" TargetMode="External" /><Relationship Type="http://schemas.openxmlformats.org/officeDocument/2006/relationships/hyperlink" Id="rId91" Target="https://doi.org/10.1103/RevModPhys.94.015004" TargetMode="External" /><Relationship Type="http://schemas.openxmlformats.org/officeDocument/2006/relationships/hyperlink" Id="rId150" Target="https://doi.org/10.1109/MSP.2018.3761723" TargetMode="External" /><Relationship Type="http://schemas.openxmlformats.org/officeDocument/2006/relationships/hyperlink" Id="rId115" Target="https://doi.org/10.1109/TQE.2020.3030314" TargetMode="External" /><Relationship Type="http://schemas.openxmlformats.org/officeDocument/2006/relationships/hyperlink" Id="rId131" Target="https://doi.org/10.1117/1.OE.61.8.081806" TargetMode="External" /><Relationship Type="http://schemas.openxmlformats.org/officeDocument/2006/relationships/hyperlink" Id="rId184" Target="https://doi.org/10.1126/science.aam9288" TargetMode="External" /><Relationship Type="http://schemas.openxmlformats.org/officeDocument/2006/relationships/hyperlink" Id="rId135" Target="https://doi.org/10.1146/annurev-conmatphys-031119-050605" TargetMode="External" /><Relationship Type="http://schemas.openxmlformats.org/officeDocument/2006/relationships/hyperlink" Id="rId171" Target="https://doi.org/10.1364/AOP.361502" TargetMode="External" /><Relationship Type="http://schemas.openxmlformats.org/officeDocument/2006/relationships/hyperlink" Id="rId173" Target="https://doi.org/10.22331/q-2018-08-06-79" TargetMode="External" /><Relationship Type="http://schemas.openxmlformats.org/officeDocument/2006/relationships/hyperlink" Id="rId127" Target="https://doi.org/10.22331/q-2020-09-21-327" TargetMode="External" /><Relationship Type="http://schemas.openxmlformats.org/officeDocument/2006/relationships/hyperlink" Id="rId121" Target="https://doi.org/10.22331/q-2021-04-15-433" TargetMode="External" /><Relationship Type="http://schemas.openxmlformats.org/officeDocument/2006/relationships/hyperlink" Id="rId107" Target="https://doi.org/10.2307/2393553" TargetMode="External" /><Relationship Type="http://schemas.openxmlformats.org/officeDocument/2006/relationships/hyperlink" Id="rId105" Target="https://www.cisa.gov/sites/default/files/2022-09/cisa_insight_post_quantum_cryptography_508.pdf" TargetMode="External" /><Relationship Type="http://schemas.openxmlformats.org/officeDocument/2006/relationships/hyperlink" Id="rId153" Target="https://www.nist.gov/news-events/news/2024/08/nist-releases-first-3-finalized-post-quantum-encryption-standards" TargetMode="External" /><Relationship Type="http://schemas.openxmlformats.org/officeDocument/2006/relationships/hyperlink" Id="rId155" Target="https://www.nsa.gov/Cybersecurity/Post-Quantum-Cybersecurity-Resources/" TargetMode="External" /><Relationship Type="http://schemas.openxmlformats.org/officeDocument/2006/relationships/hyperlink" Id="rId159" Target="https://www.oecd.org/content/dam/oecd/en/publications/reports/2025/12/mapping-the-global-quantum-ecosystem_47891dd2/20251217-0001.pdf" TargetMode="External" /><Relationship Type="http://schemas.openxmlformats.org/officeDocument/2006/relationships/hyperlink" Id="rId157" Target="https://www.oecd.org/en/publications/an-overview-of-national-strategies-and-policies-for-quantum-technologies_5e55e7ab-en.html" TargetMode="External" /><Relationship Type="http://schemas.openxmlformats.org/officeDocument/2006/relationships/hyperlink" Id="rId161" Target="https://www.oecd.org/en/publications/building-business-readiness-for-quantum-computing_ee847e5f-en.html" TargetMode="External" /></Relationships>
</file>

<file path=word/_rels/footnotes.xml.rels><?xml version="1.0" encoding="UTF-8"?><Relationships xmlns="http://schemas.openxmlformats.org/package/2006/relationships"><Relationship Type="http://schemas.openxmlformats.org/officeDocument/2006/relationships/hyperlink" Id="rId163" Target="https://docs.openalex.org/" TargetMode="External" /><Relationship Type="http://schemas.openxmlformats.org/officeDocument/2006/relationships/hyperlink" Id="rId109" Target="https://doi.org/10.1016/j.future.2024.04.030" TargetMode="External" /><Relationship Type="http://schemas.openxmlformats.org/officeDocument/2006/relationships/hyperlink" Id="rId87" Target="https://doi.org/10.1016/j.future.2024.06.058" TargetMode="External" /><Relationship Type="http://schemas.openxmlformats.org/officeDocument/2006/relationships/hyperlink" Id="rId139" Target="https://doi.org/10.1016/j.ijinfomgt.2025.102978" TargetMode="External" /><Relationship Type="http://schemas.openxmlformats.org/officeDocument/2006/relationships/hyperlink" Id="rId165" Target="https://doi.org/10.1016/j.revip.2019.100028" TargetMode="External" /><Relationship Type="http://schemas.openxmlformats.org/officeDocument/2006/relationships/hyperlink" Id="rId101" Target="https://doi.org/10.1021/acs.chemrev.8b00803" TargetMode="External" /><Relationship Type="http://schemas.openxmlformats.org/officeDocument/2006/relationships/hyperlink" Id="rId85" Target="https://doi.org/10.1021/acs.chemrev.9b00829" TargetMode="External" /><Relationship Type="http://schemas.openxmlformats.org/officeDocument/2006/relationships/hyperlink" Id="rId133" Target="https://doi.org/10.1038/nature07127" TargetMode="External" /><Relationship Type="http://schemas.openxmlformats.org/officeDocument/2006/relationships/hyperlink" Id="rId125" Target="https://doi.org/10.1038/nature23458" TargetMode="External" /><Relationship Type="http://schemas.openxmlformats.org/officeDocument/2006/relationships/hyperlink" Id="rId99" Target="https://doi.org/10.1038/nature23460" TargetMode="External" /><Relationship Type="http://schemas.openxmlformats.org/officeDocument/2006/relationships/hyperlink" Id="rId89" Target="https://doi.org/10.1038/nature23461" TargetMode="External" /><Relationship Type="http://schemas.openxmlformats.org/officeDocument/2006/relationships/hyperlink" Id="rId93" Target="https://doi.org/10.1038/nature23474" TargetMode="External" /><Relationship Type="http://schemas.openxmlformats.org/officeDocument/2006/relationships/hyperlink" Id="rId129" Target="https://doi.org/10.1038/nature23879" TargetMode="External" /><Relationship Type="http://schemas.openxmlformats.org/officeDocument/2006/relationships/hyperlink" Id="rId167" Target="https://doi.org/10.1038/ncomms5213" TargetMode="External" /><Relationship Type="http://schemas.openxmlformats.org/officeDocument/2006/relationships/hyperlink" Id="rId123" Target="https://doi.org/10.1038/nphoton.2011.35" TargetMode="External" /><Relationship Type="http://schemas.openxmlformats.org/officeDocument/2006/relationships/hyperlink" Id="rId148" Target="https://doi.org/10.1038/npjqi.2015.23" TargetMode="External" /><Relationship Type="http://schemas.openxmlformats.org/officeDocument/2006/relationships/hyperlink" Id="rId146" Target="https://doi.org/10.1038/s41467-018-07090-4" TargetMode="External" /><Relationship Type="http://schemas.openxmlformats.org/officeDocument/2006/relationships/hyperlink" Id="rId175" Target="https://doi.org/10.1038/s41567-021-01409-7" TargetMode="External" /><Relationship Type="http://schemas.openxmlformats.org/officeDocument/2006/relationships/hyperlink" Id="rId81" Target="https://doi.org/10.1038/s41586-019-1666-5" TargetMode="External" /><Relationship Type="http://schemas.openxmlformats.org/officeDocument/2006/relationships/hyperlink" Id="rId95" Target="https://doi.org/10.1038/s42254-020-00247-5" TargetMode="External" /><Relationship Type="http://schemas.openxmlformats.org/officeDocument/2006/relationships/hyperlink" Id="rId103" Target="https://doi.org/10.1038/s42254-021-00348-9" TargetMode="External" /><Relationship Type="http://schemas.openxmlformats.org/officeDocument/2006/relationships/hyperlink" Id="rId141" Target="https://doi.org/10.1039/D4CP00436A" TargetMode="External" /><Relationship Type="http://schemas.openxmlformats.org/officeDocument/2006/relationships/hyperlink" Id="rId97" Target="https://doi.org/10.1063/1.5088164" TargetMode="External" /><Relationship Type="http://schemas.openxmlformats.org/officeDocument/2006/relationships/hyperlink" Id="rId137" Target="https://doi.org/10.1063/1.5089550" TargetMode="External" /><Relationship Type="http://schemas.openxmlformats.org/officeDocument/2006/relationships/hyperlink" Id="rId182" Target="https://doi.org/10.1063/1.5115814" TargetMode="External" /><Relationship Type="http://schemas.openxmlformats.org/officeDocument/2006/relationships/hyperlink" Id="rId83" Target="https://doi.org/10.1073/pnas.1601513113" TargetMode="External" /><Relationship Type="http://schemas.openxmlformats.org/officeDocument/2006/relationships/hyperlink" Id="rId178" Target="https://doi.org/10.1088/0953-4075/49/20/202001" TargetMode="External" /><Relationship Type="http://schemas.openxmlformats.org/officeDocument/2006/relationships/hyperlink" Id="rId77" Target="https://doi.org/10.1088/1367-2630/aad1ea" TargetMode="External" /><Relationship Type="http://schemas.openxmlformats.org/officeDocument/2006/relationships/hyperlink" Id="rId144" Target="https://doi.org/10.1093/icc/dty034" TargetMode="External" /><Relationship Type="http://schemas.openxmlformats.org/officeDocument/2006/relationships/hyperlink" Id="rId113" Target="https://doi.org/10.1098/rsta.2003.1227" TargetMode="External" /><Relationship Type="http://schemas.openxmlformats.org/officeDocument/2006/relationships/hyperlink" Id="rId79" Target="https://doi.org/10.1103/PRXQuantum.2.017001" TargetMode="External" /><Relationship Type="http://schemas.openxmlformats.org/officeDocument/2006/relationships/hyperlink" Id="rId117" Target="https://doi.org/10.1103/PhysRevA.86.032324" TargetMode="External" /><Relationship Type="http://schemas.openxmlformats.org/officeDocument/2006/relationships/hyperlink" Id="rId180" Target="https://doi.org/10.1103/PhysRevLett.122.040504" TargetMode="External" /><Relationship Type="http://schemas.openxmlformats.org/officeDocument/2006/relationships/hyperlink" Id="rId119" Target="https://doi.org/10.1103/RevModPhys.86.153" TargetMode="External" /><Relationship Type="http://schemas.openxmlformats.org/officeDocument/2006/relationships/hyperlink" Id="rId111" Target="https://doi.org/10.1103/RevModPhys.89.035002" TargetMode="External" /><Relationship Type="http://schemas.openxmlformats.org/officeDocument/2006/relationships/hyperlink" Id="rId169" Target="https://doi.org/10.1103/RevModPhys.90.035005" TargetMode="External" /><Relationship Type="http://schemas.openxmlformats.org/officeDocument/2006/relationships/hyperlink" Id="rId186" Target="https://doi.org/10.1103/RevModPhys.92.025002" TargetMode="External" /><Relationship Type="http://schemas.openxmlformats.org/officeDocument/2006/relationships/hyperlink" Id="rId91" Target="https://doi.org/10.1103/RevModPhys.94.015004" TargetMode="External" /><Relationship Type="http://schemas.openxmlformats.org/officeDocument/2006/relationships/hyperlink" Id="rId150" Target="https://doi.org/10.1109/MSP.2018.3761723" TargetMode="External" /><Relationship Type="http://schemas.openxmlformats.org/officeDocument/2006/relationships/hyperlink" Id="rId115" Target="https://doi.org/10.1109/TQE.2020.3030314" TargetMode="External" /><Relationship Type="http://schemas.openxmlformats.org/officeDocument/2006/relationships/hyperlink" Id="rId131" Target="https://doi.org/10.1117/1.OE.61.8.081806" TargetMode="External" /><Relationship Type="http://schemas.openxmlformats.org/officeDocument/2006/relationships/hyperlink" Id="rId184" Target="https://doi.org/10.1126/science.aam9288" TargetMode="External" /><Relationship Type="http://schemas.openxmlformats.org/officeDocument/2006/relationships/hyperlink" Id="rId135" Target="https://doi.org/10.1146/annurev-conmatphys-031119-050605" TargetMode="External" /><Relationship Type="http://schemas.openxmlformats.org/officeDocument/2006/relationships/hyperlink" Id="rId171" Target="https://doi.org/10.1364/AOP.361502" TargetMode="External" /><Relationship Type="http://schemas.openxmlformats.org/officeDocument/2006/relationships/hyperlink" Id="rId173" Target="https://doi.org/10.22331/q-2018-08-06-79" TargetMode="External" /><Relationship Type="http://schemas.openxmlformats.org/officeDocument/2006/relationships/hyperlink" Id="rId127" Target="https://doi.org/10.22331/q-2020-09-21-327" TargetMode="External" /><Relationship Type="http://schemas.openxmlformats.org/officeDocument/2006/relationships/hyperlink" Id="rId121" Target="https://doi.org/10.22331/q-2021-04-15-433" TargetMode="External" /><Relationship Type="http://schemas.openxmlformats.org/officeDocument/2006/relationships/hyperlink" Id="rId107" Target="https://doi.org/10.2307/2393553" TargetMode="External" /><Relationship Type="http://schemas.openxmlformats.org/officeDocument/2006/relationships/hyperlink" Id="rId105" Target="https://www.cisa.gov/sites/default/files/2022-09/cisa_insight_post_quantum_cryptography_508.pdf" TargetMode="External" /><Relationship Type="http://schemas.openxmlformats.org/officeDocument/2006/relationships/hyperlink" Id="rId153" Target="https://www.nist.gov/news-events/news/2024/08/nist-releases-first-3-finalized-post-quantum-encryption-standards" TargetMode="External" /><Relationship Type="http://schemas.openxmlformats.org/officeDocument/2006/relationships/hyperlink" Id="rId155" Target="https://www.nsa.gov/Cybersecurity/Post-Quantum-Cybersecurity-Resources/" TargetMode="External" /><Relationship Type="http://schemas.openxmlformats.org/officeDocument/2006/relationships/hyperlink" Id="rId159" Target="https://www.oecd.org/content/dam/oecd/en/publications/reports/2025/12/mapping-the-global-quantum-ecosystem_47891dd2/20251217-0001.pdf" TargetMode="External" /><Relationship Type="http://schemas.openxmlformats.org/officeDocument/2006/relationships/hyperlink" Id="rId157" Target="https://www.oecd.org/en/publications/an-overview-of-national-strategies-and-policies-for-quantum-technologies_5e55e7ab-en.html" TargetMode="External" /><Relationship Type="http://schemas.openxmlformats.org/officeDocument/2006/relationships/hyperlink" Id="rId161" Target="https://www.oecd.org/en/publications/building-business-readiness-for-quantum-computing_ee847e5f-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Technologies as Strategic Infrastructure: Evidence, Adoption Pathways, and a National Research Agenda for 2025-2035</dc:title>
  <dc:creator>Edgar Valdés, Hadox Research Labs</dc:creator>
  <cp:keywords/>
  <dcterms:created xsi:type="dcterms:W3CDTF">2026-04-28T16:49:57Z</dcterms:created>
  <dcterms:modified xsi:type="dcterms:W3CDTF">2026-04-28T16:49:57Z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quantum_references.bib</vt:lpwstr>
  </property>
  <property fmtid="{D5CDD505-2E9C-101B-9397-08002B2CF9AE}" pid="3" name="date">
    <vt:lpwstr>April 2026</vt:lpwstr>
  </property>
  <property fmtid="{D5CDD505-2E9C-101B-9397-08002B2CF9AE}" pid="4" name="link-citations">
    <vt:lpwstr>True</vt:lpwstr>
  </property>
  <property fmtid="{D5CDD505-2E9C-101B-9397-08002B2CF9AE}" pid="5" name="nocite">
    <vt:lpwstr>@acin2018, @alexeev2021, @arute2019, @barry2016, @bauer2020, @bernstein2017, @beck2024, @bharti2022, @biamonte2017, @bova2020, @bruzewicz2019, @campbell2017, @cao2019, @cerezo2021, @cisaNistNsa2022, @cohen1990, @cranganore2024, @degen2017, @dowling2003, @egger2020, @fowler2012, @georgescu2014, @gidney2021, @giovannetti2011, @harrow2017, @henriet2020, @kandala2017, @kaur2022, @kimble2008, @kjaergaard2020, @krantz2019, @kwon2026, @liu2024, @lundvall1992, @mazzucato2018, @mcclean2018, @montanaro2016, @mosca2018, @nelson1993, @nist2024, @nsa2024, @oecd2025a, @oecd2025b, @oecd2026, @openalex2026, @orus2019, @peruzzo2014, @pezze2018, @pirandola2020, @preskill2018, @proctor2022, @rogers2003, @saffman2016, @schuld2019, @slussarenko2019, @wehner2018, @xu2020</vt:lpwstr>
  </property>
  <property fmtid="{D5CDD505-2E9C-101B-9397-08002B2CF9AE}" pid="6" name="thanks">
    <vt:lpwstr>Prepared for the Quantum Technologies track of the twenty-third edition of the Global Information Technology Management Association Annual Conference, Monterrey, Mexico, May 6-8, 2026, for which Edgar Antonio Valdés Porras serves as Track Chair. The author gratefully acknowledges Rogelio Marín and the Centro de Investigación en Matemáticas, A.C. for intellectual support and institutional context. All interpretations and remaining errors are the author’s responsibility.</vt:lpwstr>
  </property>
</Properties>
</file>