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СЛУЖЕБНАЯ ЗАПИСКА</w:t>
      </w:r>
    </w:p>
    <w:p>
      <w:pPr>
        <w:spacing w:before="240" w:line="276" w:lineRule="auto"/>
      </w:pPr>
      <w:r>
        <w:t>Уважаемый Иван Иванович!</w:t>
        <w:br/>
        <w:br/>
        <w:t>В связи с производственной необходимостью и в целях оптимизации рабочих процессов компании просим рассмотреть возможность модернизации технического обеспечения отдела. В частности, требуется обновление парка персональных компьютеров и сопутствующего периферийного оборудования для сотрудников департамента информационных технологий и аналитики.</w:t>
      </w:r>
    </w:p>
    <w:p>
      <w:pPr>
        <w:spacing w:before="240"/>
      </w:pPr>
      <w:r>
        <w:t>Вся необходимая информация по требуемым конфигурациям рабочих станций, а также предварительный расчет стоимости и обоснование затрат приведены в соответствующем дополнении к настоящему документу.</w:t>
      </w:r>
    </w:p>
    <w:p>
      <w:pPr>
        <w:spacing w:before="480"/>
      </w:pPr>
      <w:r>
        <w:t xml:space="preserve">Приложение №1: </w:t>
      </w:r>
      <w:r>
        <w:rPr>
          <w:color w:val="0000FF"/>
          <w:u w:val="single"/>
        </w:rPr>
        <w:t>Ведомость учета рабочих станций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2240" w:h="15840"/>
          <w:pgMar w:top="1138" w:right="850" w:bottom="1138" w:left="1699" w:header="720" w:footer="720" w:gutter="0"/>
          <w:cols w:space="720"/>
          <w:docGrid w:linePitch="360"/>
        </w:sectPr>
      </w:pPr>
    </w:p>
    <w:p>
      <w:pPr>
        <w:jc w:val="left"/>
      </w:pPr>
      <w:r>
        <w:rPr>
          <w:b/>
          <w:sz w:val="28"/>
        </w:rPr>
        <w:t>ВЕДОМОСТЬ УЧЕТА РАБОЧИХ СТАНЦИЙ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58"/>
        <w:gridCol w:w="2658"/>
        <w:gridCol w:w="2658"/>
        <w:gridCol w:w="2658"/>
        <w:gridCol w:w="2658"/>
      </w:tblGrid>
      <w:tr>
        <w:tc>
          <w:tcPr>
            <w:tcW w:type="dxa" w:w="2658"/>
            <w:shd w:fill="E0E0E0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2658"/>
            <w:shd w:fill="E0E0E0"/>
          </w:tcPr>
          <w:p>
            <w:pPr>
              <w:jc w:val="center"/>
            </w:pPr>
            <w:r>
              <w:rPr>
                <w:b/>
              </w:rPr>
              <w:t>Наименование оборудования</w:t>
            </w:r>
          </w:p>
        </w:tc>
        <w:tc>
          <w:tcPr>
            <w:tcW w:type="dxa" w:w="2658"/>
            <w:shd w:fill="E0E0E0"/>
          </w:tcPr>
          <w:p>
            <w:pPr>
              <w:jc w:val="center"/>
            </w:pPr>
            <w:r>
              <w:rPr>
                <w:b/>
              </w:rPr>
              <w:t>Технические характеристики</w:t>
            </w:r>
          </w:p>
        </w:tc>
        <w:tc>
          <w:tcPr>
            <w:tcW w:type="dxa" w:w="2658"/>
            <w:shd w:fill="E0E0E0"/>
          </w:tcPr>
          <w:p>
            <w:pPr>
              <w:jc w:val="center"/>
            </w:pPr>
            <w:r>
              <w:rPr>
                <w:b/>
              </w:rPr>
              <w:t>Количество (шт.)</w:t>
            </w:r>
          </w:p>
        </w:tc>
        <w:tc>
          <w:tcPr>
            <w:tcW w:type="dxa" w:w="2658"/>
            <w:shd w:fill="E0E0E0"/>
          </w:tcPr>
          <w:p>
            <w:pPr>
              <w:jc w:val="center"/>
            </w:pPr>
            <w:r>
              <w:rPr>
                <w:b/>
              </w:rPr>
              <w:t>Планируемая стоимость (руб.)</w:t>
            </w:r>
          </w:p>
        </w:tc>
      </w:tr>
      <w:tr>
        <w:tc>
          <w:tcPr>
            <w:tcW w:type="dxa" w:w="265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658"/>
          </w:tcPr>
          <w:p>
            <w:r>
              <w:t>Рабочая станция Intel Core i7</w:t>
            </w:r>
          </w:p>
        </w:tc>
        <w:tc>
          <w:tcPr>
            <w:tcW w:type="dxa" w:w="2658"/>
          </w:tcPr>
          <w:p>
            <w:r>
              <w:t>16GB RAM, 512GB SSD, RTX 4060</w:t>
            </w:r>
          </w:p>
        </w:tc>
        <w:tc>
          <w:tcPr>
            <w:tcW w:type="dxa" w:w="265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658"/>
          </w:tcPr>
          <w:p>
            <w:pPr>
              <w:jc w:val="center"/>
            </w:pPr>
            <w:r>
              <w:t>450 000</w:t>
            </w:r>
          </w:p>
        </w:tc>
      </w:tr>
      <w:tr>
        <w:tc>
          <w:tcPr>
            <w:tcW w:type="dxa" w:w="265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658"/>
          </w:tcPr>
          <w:p>
            <w:r>
              <w:t>Монитор 27" IPS</w:t>
            </w:r>
          </w:p>
        </w:tc>
        <w:tc>
          <w:tcPr>
            <w:tcW w:type="dxa" w:w="2658"/>
          </w:tcPr>
          <w:p>
            <w:r>
              <w:t>2560x1440, 144Hz</w:t>
            </w:r>
          </w:p>
        </w:tc>
        <w:tc>
          <w:tcPr>
            <w:tcW w:type="dxa" w:w="265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658"/>
          </w:tcPr>
          <w:p>
            <w:pPr>
              <w:jc w:val="center"/>
            </w:pPr>
            <w:r>
              <w:t>125 000</w:t>
            </w:r>
          </w:p>
        </w:tc>
      </w:tr>
      <w:tr>
        <w:tc>
          <w:tcPr>
            <w:tcW w:type="dxa" w:w="265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658"/>
          </w:tcPr>
          <w:p>
            <w:r>
              <w:t>Периферийный комплект</w:t>
            </w:r>
          </w:p>
        </w:tc>
        <w:tc>
          <w:tcPr>
            <w:tcW w:type="dxa" w:w="2658"/>
          </w:tcPr>
          <w:p>
            <w:r>
              <w:t>Клавиатура + мышь беспроводные</w:t>
            </w:r>
          </w:p>
        </w:tc>
        <w:tc>
          <w:tcPr>
            <w:tcW w:type="dxa" w:w="265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658"/>
          </w:tcPr>
          <w:p>
            <w:pPr>
              <w:jc w:val="center"/>
            </w:pPr>
            <w:r>
              <w:t>15 000</w:t>
            </w:r>
          </w:p>
        </w:tc>
      </w:tr>
    </w:tbl>
    <w:sectPr w:rsidR="00FC693F" w:rsidRPr="0006063C" w:rsidSect="00034616">
      <w:headerReference w:type="default" r:id="rId13"/>
      <w:headerReference w:type="even" r:id="rId14"/>
      <w:footerReference w:type="default" r:id="rId15"/>
      <w:footerReference w:type="even" r:id="rId16"/>
      <w:pgSz w:w="15840" w:h="12240" w:orient="landscape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Исх. № 45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ООО "ТехноСтрой"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Исх. № 45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ООО "ТехноСтрой"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Внутренний приказ №45-к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Внутренний приказ №45-к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Приложение 1. Ведомость оборудования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