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87E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6F64494F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755D5D19" w14:textId="77777777" w:rsidR="00465DEB" w:rsidRDefault="00465DEB" w:rsidP="00465DEB"/>
    <w:p w14:paraId="19C97C99" w14:textId="77777777" w:rsidR="00465DEB" w:rsidRPr="00B91468" w:rsidRDefault="00465DEB" w:rsidP="00465DEB">
      <w:r>
        <w:t>Бизнес-процесс "Функционирование административного отдела":</w:t>
      </w:r>
    </w:p>
    <w:p w14:paraId="61BDBE70" w14:textId="77777777" w:rsidR="00465DEB" w:rsidRDefault="00465DEB" w:rsidP="00465DEB">
      <w:r>
        <w:t>1. Согласование и рассмотрение отпусков, больничных листов.</w:t>
      </w:r>
    </w:p>
    <w:p w14:paraId="473FCC1E" w14:textId="77777777" w:rsidR="00465DEB" w:rsidRDefault="00465DEB" w:rsidP="00465DEB">
      <w:r>
        <w:t>2. Выдача льгот сотрудникам (соц. пакет, корпоративная мобильная связь, добровольное мед. страхование).</w:t>
      </w:r>
    </w:p>
    <w:p w14:paraId="75867748" w14:textId="77777777" w:rsidR="00465DEB" w:rsidRDefault="00465DEB" w:rsidP="00465DEB">
      <w:r>
        <w:t>3. Решение хозяйственных вопросов внутри компании.</w:t>
      </w:r>
    </w:p>
    <w:p w14:paraId="429B03EF" w14:textId="77777777" w:rsidR="00465DEB" w:rsidRDefault="00465DEB" w:rsidP="00465DEB">
      <w:r>
        <w:t>4. Контроль работы курьеров и секретарей.</w:t>
      </w:r>
    </w:p>
    <w:p w14:paraId="32481C79" w14:textId="77777777" w:rsidR="00D876ED" w:rsidRPr="006C16F3" w:rsidRDefault="00D876ED"/>
    <w:p w14:paraId="5B9BB6CB" w14:textId="2E2F397F" w:rsidR="00465DEB" w:rsidRDefault="00465DEB" w:rsidP="00465DEB">
      <w:pPr>
        <w:jc w:val="center"/>
        <w:rPr>
          <w:b/>
          <w:bCs/>
          <w:lang w:val="en-US"/>
        </w:rPr>
      </w:pPr>
      <w:r w:rsidRPr="00465DEB">
        <w:rPr>
          <w:b/>
          <w:bCs/>
          <w:lang w:val="en-US"/>
        </w:rPr>
        <w:t>IDEF3</w:t>
      </w:r>
    </w:p>
    <w:p w14:paraId="28B09BF1" w14:textId="5A6CD0FD" w:rsidR="007D3430" w:rsidRDefault="007D3430" w:rsidP="007D3430">
      <w:pPr>
        <w:pStyle w:val="ac"/>
      </w:pPr>
      <w:r>
        <w:rPr>
          <w:noProof/>
        </w:rPr>
        <w:drawing>
          <wp:inline distT="0" distB="0" distL="0" distR="0" wp14:anchorId="516B9E9C" wp14:editId="573CE708">
            <wp:extent cx="5940425" cy="1210310"/>
            <wp:effectExtent l="0" t="0" r="3175" b="8890"/>
            <wp:docPr id="2030562598" name="Рисунок 1" descr="Изображение выглядит как диаграмма, линия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2598" name="Рисунок 1" descr="Изображение выглядит как диаграмма, линия, текст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EEC6" w14:textId="22B8EE11" w:rsidR="006C16F3" w:rsidRDefault="006C16F3" w:rsidP="006C16F3">
      <w:pPr>
        <w:pStyle w:val="ac"/>
      </w:pPr>
    </w:p>
    <w:p w14:paraId="1F487E5F" w14:textId="77942E83" w:rsidR="00465DEB" w:rsidRDefault="00465DEB" w:rsidP="00465DEB">
      <w:pPr>
        <w:pStyle w:val="ac"/>
      </w:pPr>
    </w:p>
    <w:p w14:paraId="58476723" w14:textId="77777777" w:rsidR="00465DEB" w:rsidRPr="00465DEB" w:rsidRDefault="00465DEB" w:rsidP="00465DEB">
      <w:pPr>
        <w:rPr>
          <w:b/>
          <w:bCs/>
          <w:lang w:val="en-US"/>
        </w:rPr>
      </w:pPr>
    </w:p>
    <w:sectPr w:rsidR="00465DEB" w:rsidRPr="0046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B"/>
    <w:rsid w:val="00465DEB"/>
    <w:rsid w:val="006C16F3"/>
    <w:rsid w:val="007D3430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6A5"/>
  <w15:chartTrackingRefBased/>
  <w15:docId w15:val="{ABBEAEDC-A1BE-43F3-BB5E-D79C9CE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EB"/>
  </w:style>
  <w:style w:type="paragraph" w:styleId="1">
    <w:name w:val="heading 1"/>
    <w:basedOn w:val="a"/>
    <w:next w:val="a"/>
    <w:link w:val="10"/>
    <w:uiPriority w:val="9"/>
    <w:qFormat/>
    <w:rsid w:val="0046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DE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6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</cp:revision>
  <dcterms:created xsi:type="dcterms:W3CDTF">2024-04-04T19:42:00Z</dcterms:created>
  <dcterms:modified xsi:type="dcterms:W3CDTF">2024-04-05T07:25:00Z</dcterms:modified>
</cp:coreProperties>
</file>