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sz w:val="32"/>
        </w:rPr>
        <w:t>Supplementary Material</w:t>
      </w:r>
    </w:p>
    <w:p>
      <w:r>
        <w:rPr>
          <w:rFonts w:ascii="Arial" w:hAnsi="Arial"/>
          <w:i/>
          <w:sz w:val="21"/>
        </w:rPr>
        <w:t>Evaluating Demographic Disparities in Clinical Risk Prediction: A Structural Fairness and Mixture-of-Experts Investigation</w:t>
        <w:br/>
        <w:t>Dataset: CDC BRFSS 2015 (N = 253,680)</w:t>
      </w:r>
    </w:p>
    <w:p>
      <w:pPr>
        <w:pStyle w:val="Heading2"/>
      </w:pPr>
      <w:r>
        <w:t>Section S1: Sensitivity Analysis over Fairness Regularization Parameter (λ_fairness)</w:t>
      </w:r>
    </w:p>
    <w:p>
      <w:r>
        <w:t>Table S1 shows the sensitivity sweep across two orders of magnitude in λ_fairness on CDC BRFSS 2015.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9"/>
              </w:rPr>
              <w:t>λ_fair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Nodes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Time (s)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Cost f(n)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Clust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K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AUC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DPD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53.32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0.2058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0.2957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51.69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0.3243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0.2957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75.24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0.4702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74.89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0.7560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76.32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1.6135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78.06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3.0427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76.66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5.9005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50.0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77.78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14.4750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</w:tbl>
    <w:p>
      <w:pPr>
        <w:pStyle w:val="Heading2"/>
      </w:pPr>
      <w:r>
        <w:t>Section S2: Multi-Seed Stability and Variance Analysis (5 Seeds)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AUC (Mean ± SD)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Acc (%)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Balanced Acc (%)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DPD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EOD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Single Logistic (K=1)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0.8197 ± 0.0004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70.98 ± 0.12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74.79 ± 0.10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0.3063 ± 0.0006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0.2768 ± 0.0010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Single LightGBM (K=1)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0.8263 ± 0.0004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71.94 ± 0.15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75.19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0.2909 ± 0.0009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0.2576 ± 0.0012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Single XGBoost (K=1)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0.8262 ± 0.0004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73.41 ± 0.10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75.05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0.2881 ± 0.0010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0.2511 ± 0.0013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Pre-Processing Reweighing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0.8162 ± 0.0005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68.40 ± 0.14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74.28 ± 0.12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0.1234 ± 0.0012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0.0850 ± 0.0015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Hard Partitioning HP (K=2)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0.7022 ± 0.0023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52.02 ± 0.28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65.47 ± 0.25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0.0324 ± 0.0125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0.0546 ± 0.0142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Hierarchical MoE HMoE (K=2)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0.8261 ± 0.0003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72.54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75.18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0.2957 ± 0.0009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0.2622 ± 0.0011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Adaptive Synthesized Pipeline (λ=1)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0.8273 ± 0.0018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71.93 ± 2.01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75.04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0.2836 ± 0.0059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0.2514 ± 0.0068</w:t>
            </w:r>
          </w:p>
        </w:tc>
      </w:tr>
    </w:tbl>
    <w:p>
      <w:pPr>
        <w:pStyle w:val="Heading2"/>
      </w:pPr>
      <w:r>
        <w:t>Section S3: In-Processing Exponentiated Gradient Baselines (ExpGrad-DP &amp; ExpGrad-EO)</w:t>
      </w:r>
    </w:p>
    <w:p>
      <w:r>
        <w:t>Table S3 summarizes in-processing reductions under Demographic Parity vs Equalized Odds constraints.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9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Constraint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Bound ε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AUC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Acc (%)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DPD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TPR Advantaged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TPR Disadvantaged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ExpGrad-DP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Demographic Parity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0.5576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86.48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0.0217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0.1328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0.1290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ExpGrad-EO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Equalized Odds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0.5616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86.51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0.0300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0.1333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0.1537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