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8"/>
        </w:rPr>
        <w:t>Figure Captions</w:t>
      </w:r>
    </w:p>
    <w:p>
      <w:r>
        <w:rPr>
          <w:rFonts w:ascii="Arial" w:hAnsi="Arial"/>
          <w:b/>
          <w:sz w:val="22"/>
        </w:rPr>
        <w:t xml:space="preserve">Fig. 1. </w:t>
      </w:r>
      <w:r>
        <w:rPr>
          <w:rFonts w:ascii="Arial" w:hAnsi="Arial"/>
          <w:sz w:val="22"/>
        </w:rPr>
        <w:t>High-level architectural workflow of the adaptive cluster-then-predict framework for fairness-aware clinical risk prediction across socio-economic strata.</w:t>
      </w:r>
    </w:p>
    <w:p>
      <w:r>
        <w:rPr>
          <w:rFonts w:ascii="Arial" w:hAnsi="Arial"/>
          <w:b/>
          <w:sz w:val="22"/>
        </w:rPr>
        <w:t xml:space="preserve">Fig. 2. </w:t>
      </w:r>
      <w:r>
        <w:rPr>
          <w:rFonts w:ascii="Arial" w:hAnsi="Arial"/>
          <w:sz w:val="22"/>
        </w:rPr>
        <w:t>Search efficiency, computation time, and objective comparison between informed A* heuristic tree search and exhaustive brute-force grid search across standard ($N=18$) and scaled ($N=105$) candidate spaces on CDC BRFSS 2015 data: (a) evaluated pipeline configurations (3 vs 18 in standard space, and 3 vs 105 in scaled space); (b) wall-clock computation time (74.73 s vs 125.69 s, and 127.97 s vs 603.84 s); (c) optimization objective cost $f(n)$ comparing heuristic convergence against global enumeration (0.4702 vs 0.4688 in standard space, and 0.4510 vs 0.4418 in scaled space, with identical test-set discrimination $\text{AUC}=0.8263$ and disparity $\text{DPD}=0.2896$).</w:t>
      </w:r>
    </w:p>
    <w:p>
      <w:r>
        <w:rPr>
          <w:rFonts w:ascii="Arial" w:hAnsi="Arial"/>
          <w:b/>
          <w:sz w:val="22"/>
        </w:rPr>
        <w:t xml:space="preserve">Fig. 3. </w:t>
      </w:r>
      <w:r>
        <w:rPr>
          <w:rFonts w:ascii="Arial" w:hAnsi="Arial"/>
          <w:sz w:val="22"/>
        </w:rPr>
        <w:t>Stage 1 latent cluster optimization curves across candidate sub-population counts $K \in [2, 10]$: (a) Davies–Bouldin index and composite score $\text{Composite}(K)$ showing global cost minimum at $K=2$; (b) Calinski–Harabasz variance ratio criterion exhibiting peak sub-population separation at $K=2$.</w:t>
      </w:r>
    </w:p>
    <w:p>
      <w:r>
        <w:rPr>
          <w:rFonts w:ascii="Arial" w:hAnsi="Arial"/>
          <w:b/>
          <w:sz w:val="22"/>
        </w:rPr>
        <w:t xml:space="preserve">Fig. 4. </w:t>
      </w:r>
      <w:r>
        <w:rPr>
          <w:rFonts w:ascii="Arial" w:hAnsi="Arial"/>
          <w:sz w:val="22"/>
        </w:rPr>
        <w:t>Empirical Pareto frontier illustrating clinical utility (AUC-ROC) versus fairness disparity (Demographic Parity Difference, DPD) trade-off across single-model baselines (Logistic Regression, LightGBM, XGBoost), standard mitigation techniques (Reweighing, Threshold Optimizer), hard partitioning (HP), and hierarchical mixture-of-experts (HMoE) on CDC BRFSS 2015 test set ($N=50,736$).</w:t>
      </w:r>
    </w:p>
    <w:p>
      <w:r>
        <w:rPr>
          <w:rFonts w:ascii="Arial" w:hAnsi="Arial"/>
          <w:b/>
          <w:sz w:val="22"/>
        </w:rPr>
        <w:t xml:space="preserve">Fig. 5. </w:t>
      </w:r>
      <w:r>
        <w:rPr>
          <w:rFonts w:ascii="Arial" w:hAnsi="Arial"/>
          <w:sz w:val="22"/>
        </w:rPr>
        <w:t>Sensitivity heatmap of predictive and fairness metrics across fairness regularization weights $\lambda \in [0.1, 50.0]$ in the pipeline objective formulation.</w:t>
      </w:r>
    </w:p>
    <w:p>
      <w:r>
        <w:rPr>
          <w:rFonts w:ascii="Arial" w:hAnsi="Arial"/>
          <w:b/>
          <w:sz w:val="22"/>
        </w:rPr>
        <w:t xml:space="preserve">Fig. 6. </w:t>
      </w:r>
      <w:r>
        <w:rPr>
          <w:rFonts w:ascii="Arial" w:hAnsi="Arial"/>
          <w:sz w:val="22"/>
        </w:rPr>
        <w:t>Multi-seed statistical stability across 5 independent stratified random data splits ($N=253,680$ total, test $N=50,736$): (a) AUC-ROC utility distributions; (b) Demographic Parity Difference (DPD) distributions comparing unmitigated single LightGBM, hierarchical mixture-of-experts (HMoE), and hard partitioning (HP).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