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8"/>
        </w:rPr>
        <w:t>Highlights</w:t>
      </w:r>
    </w:p>
    <w:p>
      <w:pPr>
        <w:pStyle w:val="ListBullet"/>
      </w:pPr>
      <w:r>
        <w:rPr>
          <w:rFonts w:ascii="Arial" w:hAnsi="Arial"/>
          <w:sz w:val="22"/>
        </w:rPr>
        <w:t>Partitioning a population into cluster experts did not reduce screening disparity.</w:t>
      </w:r>
    </w:p>
    <w:p>
      <w:pPr>
        <w:pStyle w:val="ListBullet"/>
      </w:pPr>
      <w:r>
        <w:rPr>
          <w:rFonts w:ascii="Arial" w:hAnsi="Arial"/>
          <w:sz w:val="22"/>
        </w:rPr>
        <w:t>Hard partitioning cuts DPD to 0.0324; AUC falls to 0.7022 and ECE rises to 0.2068.</w:t>
      </w:r>
    </w:p>
    <w:p>
      <w:pPr>
        <w:pStyle w:val="ListBullet"/>
      </w:pPr>
      <w:r>
        <w:rPr>
          <w:rFonts w:ascii="Arial" w:hAnsi="Arial"/>
          <w:sz w:val="22"/>
        </w:rPr>
        <w:t>Restoring utility returns disparity to 0.2957: the parity gain was an artefact.</w:t>
      </w:r>
    </w:p>
    <w:p>
      <w:pPr>
        <w:pStyle w:val="ListBullet"/>
      </w:pPr>
      <w:r>
        <w:rPr>
          <w:rFonts w:ascii="Arial" w:hAnsi="Arial"/>
          <w:sz w:val="22"/>
        </w:rPr>
        <w:t>Reweighing reaches DPD 0.1234 for 0.0101 AUC loss, beating every structural variant.</w:t>
      </w:r>
    </w:p>
    <w:p>
      <w:pPr>
        <w:pStyle w:val="ListBullet"/>
      </w:pPr>
      <w:r>
        <w:rPr>
          <w:rFonts w:ascii="Arial" w:hAnsi="Arial"/>
          <w:sz w:val="22"/>
        </w:rPr>
        <w:t>Structural parity claims require a utility-matched counterfactual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