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sz w:val="32"/>
        </w:rPr>
        <w:t>Supplementary Material</w:t>
      </w:r>
    </w:p>
    <w:p>
      <w:r>
        <w:rPr>
          <w:rFonts w:ascii="Arial" w:hAnsi="Arial"/>
          <w:i/>
          <w:sz w:val="21"/>
        </w:rPr>
        <w:t>When architecture is not a fairness remedy: a utility-matched evaluation of cluster-then-predict pipelines for diabetes risk prediction</w:t>
        <w:br/>
        <w:t>Authors: Ardhian Ekawijana, Mochamad Teguh Kurniawan, Sugeng Rifqi Mubaroq (2026)</w:t>
        <w:br/>
        <w:t>Dataset: CDC BRFSS 2015 (N = 253,680)</w:t>
      </w:r>
    </w:p>
    <w:p>
      <w:pPr>
        <w:pStyle w:val="Heading2"/>
      </w:pPr>
      <w:r>
        <w:t>Section S1: Sensitivity Analysis over Fairness Regularization Parameter (λ)</w:t>
      </w:r>
    </w:p>
    <w:p>
      <w:r>
        <w:t>Table S1 shows the sensitivity sweep across two orders of magnitude in λ on CDC BRFSS 2015.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sz w:val="19"/>
              </w:rPr>
              <w:t>λ</w:t>
            </w:r>
          </w:p>
        </w:tc>
        <w:tc>
          <w:tcPr>
            <w:tcW w:type="dxa" w:w="960"/>
          </w:tcPr>
          <w:p>
            <w:r>
              <w:rPr>
                <w:b/>
                <w:sz w:val="19"/>
              </w:rPr>
              <w:t>Nodes</w:t>
            </w:r>
          </w:p>
        </w:tc>
        <w:tc>
          <w:tcPr>
            <w:tcW w:type="dxa" w:w="960"/>
          </w:tcPr>
          <w:p>
            <w:r>
              <w:rPr>
                <w:b/>
                <w:sz w:val="19"/>
              </w:rPr>
              <w:t>Time (s)</w:t>
            </w:r>
          </w:p>
        </w:tc>
        <w:tc>
          <w:tcPr>
            <w:tcW w:type="dxa" w:w="960"/>
          </w:tcPr>
          <w:p>
            <w:r>
              <w:rPr>
                <w:b/>
                <w:sz w:val="19"/>
              </w:rPr>
              <w:t>Cost f(n)</w:t>
            </w:r>
          </w:p>
        </w:tc>
        <w:tc>
          <w:tcPr>
            <w:tcW w:type="dxa" w:w="960"/>
          </w:tcPr>
          <w:p>
            <w:r>
              <w:rPr>
                <w:b/>
                <w:sz w:val="19"/>
              </w:rPr>
              <w:t>Clust</w:t>
            </w:r>
          </w:p>
        </w:tc>
        <w:tc>
          <w:tcPr>
            <w:tcW w:type="dxa" w:w="960"/>
          </w:tcPr>
          <w:p>
            <w:r>
              <w:rPr>
                <w:b/>
                <w:sz w:val="19"/>
              </w:rPr>
              <w:t>K</w:t>
            </w:r>
          </w:p>
        </w:tc>
        <w:tc>
          <w:tcPr>
            <w:tcW w:type="dxa" w:w="960"/>
          </w:tcPr>
          <w:p>
            <w:r>
              <w:rPr>
                <w:b/>
                <w:sz w:val="19"/>
              </w:rPr>
              <w:t>Model</w:t>
            </w:r>
          </w:p>
        </w:tc>
        <w:tc>
          <w:tcPr>
            <w:tcW w:type="dxa" w:w="960"/>
          </w:tcPr>
          <w:p>
            <w:r>
              <w:rPr>
                <w:b/>
                <w:sz w:val="19"/>
              </w:rPr>
              <w:t>AUC</w:t>
            </w:r>
          </w:p>
        </w:tc>
        <w:tc>
          <w:tcPr>
            <w:tcW w:type="dxa" w:w="960"/>
          </w:tcPr>
          <w:p>
            <w:r>
              <w:rPr>
                <w:b/>
                <w:sz w:val="19"/>
              </w:rPr>
              <w:t>DPD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0.1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53.32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0.2058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KMeans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Adaptive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0.8261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0.2957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0.5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51.69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0.3243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KMeans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Adaptive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0.8261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0.2957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75.24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0.4702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LightGBM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0.8263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0.2896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2.0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74.89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0.7560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Adaptive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0.8263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0.2896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5.0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76.32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1.6135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Adaptive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0.8263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0.2896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10.0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78.06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3.0427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Adaptive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0.8263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0.2896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20.0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76.66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5.9005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LightGBM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0.8263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0.2896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50.0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77.78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14.4750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LightGBM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0.8263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0.2896</w:t>
            </w:r>
          </w:p>
        </w:tc>
      </w:tr>
    </w:tbl>
    <w:p>
      <w:pPr>
        <w:pStyle w:val="Heading2"/>
      </w:pPr>
      <w:r>
        <w:t>Section S2: Multi-Seed Stability and Variance Analysis (5 Seeds)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9"/>
              </w:rPr>
              <w:t>Architecture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Test AUC (Mean ± SD)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Test Acc (%)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Test Balanced Acc (%)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Test DPD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Test EOD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Single Logistic (K=1)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0.8197 ± 0.0004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70.98 ± 0.12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74.79 ± 0.10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0.3063 ± 0.0006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0.2768 ± 0.0010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Single LightGBM (K=1)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0.8263 ± 0.0004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71.94 ± 0.15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75.19 ± 0.11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0.2909 ± 0.0009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0.2576 ± 0.0012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Single XGBoost (K=1)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0.8262 ± 0.0004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73.41 ± 0.10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75.05 ± 0.11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0.2881 ± 0.0010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0.2511 ± 0.0013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Pre-Processing Reweighing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0.8162 ± 0.0005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68.40 ± 0.14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74.28 ± 0.12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0.1234 ± 0.0012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0.0850 ± 0.0015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Hard Partitioning HP (K=2)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0.7022 ± 0.0023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52.02 ± 0.28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65.47 ± 0.25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0.0324 ± 0.0125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0.0546 ± 0.0142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Hierarchical MoE HMoE (K=2)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0.8261 ± 0.0003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72.54 ± 0.11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75.18 ± 0.11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0.2957 ± 0.0009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0.2622 ± 0.0011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Adaptive Synthesized Pipeline (λ=1)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0.8273 ± 0.0018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71.93 ± 2.01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75.04 ± 0.11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0.2836 ± 0.0059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0.2514 ± 0.0068</w:t>
            </w:r>
          </w:p>
        </w:tc>
      </w:tr>
    </w:tbl>
    <w:p>
      <w:pPr>
        <w:pStyle w:val="Heading2"/>
      </w:pPr>
      <w:r>
        <w:t>Section S3: In-Processing Exponentiated Gradient Baselines (ExpGrad-DP &amp; ExpGrad-EO)</w:t>
      </w:r>
    </w:p>
    <w:p>
      <w:r>
        <w:t>Table S3 summarizes in-processing reductions under Demographic Parity vs Equalized Odds constraints.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9"/>
              </w:rPr>
              <w:t>Method</w:t>
            </w:r>
          </w:p>
        </w:tc>
        <w:tc>
          <w:tcPr>
            <w:tcW w:type="dxa" w:w="1080"/>
          </w:tcPr>
          <w:p>
            <w:r>
              <w:rPr>
                <w:b/>
                <w:sz w:val="19"/>
              </w:rPr>
              <w:t>Constraint</w:t>
            </w:r>
          </w:p>
        </w:tc>
        <w:tc>
          <w:tcPr>
            <w:tcW w:type="dxa" w:w="1080"/>
          </w:tcPr>
          <w:p>
            <w:r>
              <w:rPr>
                <w:b/>
                <w:sz w:val="19"/>
              </w:rPr>
              <w:t>Bound ε</w:t>
            </w:r>
          </w:p>
        </w:tc>
        <w:tc>
          <w:tcPr>
            <w:tcW w:type="dxa" w:w="1080"/>
          </w:tcPr>
          <w:p>
            <w:r>
              <w:rPr>
                <w:b/>
                <w:sz w:val="19"/>
              </w:rPr>
              <w:t>AUC</w:t>
            </w:r>
          </w:p>
        </w:tc>
        <w:tc>
          <w:tcPr>
            <w:tcW w:type="dxa" w:w="1080"/>
          </w:tcPr>
          <w:p>
            <w:r>
              <w:rPr>
                <w:b/>
                <w:sz w:val="19"/>
              </w:rPr>
              <w:t>Acc (%)</w:t>
            </w:r>
          </w:p>
        </w:tc>
        <w:tc>
          <w:tcPr>
            <w:tcW w:type="dxa" w:w="1080"/>
          </w:tcPr>
          <w:p>
            <w:r>
              <w:rPr>
                <w:b/>
                <w:sz w:val="19"/>
              </w:rPr>
              <w:t>DPD</w:t>
            </w:r>
          </w:p>
        </w:tc>
        <w:tc>
          <w:tcPr>
            <w:tcW w:type="dxa" w:w="1080"/>
          </w:tcPr>
          <w:p>
            <w:r>
              <w:rPr>
                <w:b/>
                <w:sz w:val="19"/>
              </w:rPr>
              <w:t>TPR Advantaged</w:t>
            </w:r>
          </w:p>
        </w:tc>
        <w:tc>
          <w:tcPr>
            <w:tcW w:type="dxa" w:w="1080"/>
          </w:tcPr>
          <w:p>
            <w:r>
              <w:rPr>
                <w:b/>
                <w:sz w:val="19"/>
              </w:rPr>
              <w:t>TPR Disadvantaged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ExpGrad-DP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Demographic Parity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0.5576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86.48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0.0217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0.1328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0.1290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ExpGrad-EO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Equalized Odds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0.5616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86.51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0.0300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0.1333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0.1537</w:t>
            </w:r>
          </w:p>
        </w:tc>
      </w:tr>
    </w:tbl>
    <w:p>
      <w:pPr>
        <w:pStyle w:val="Heading2"/>
      </w:pPr>
      <w:r>
        <w:t>Section S4: Harmonized Clinical Operating Point Benchmark (p</w:t>
      </w:r>
      <w:r>
        <w:rPr>
          <w:vertAlign w:val="subscript"/>
        </w:rPr>
        <w:t>t</w:t>
      </w:r>
      <w:r>
        <w:t xml:space="preserve"> = 0.10)</w:t>
      </w:r>
    </w:p>
    <w:p>
      <w:r>
        <w:t xml:space="preserve">Table S4 evaluates statistical fairness and clinical net benefit at the uniform decision threshold </w:t>
      </w:r>
      <w:r>
        <w:t>p</w:t>
      </w:r>
      <w:r>
        <w:rPr>
          <w:vertAlign w:val="subscript"/>
        </w:rPr>
        <w:t>t</w:t>
      </w:r>
      <w:r>
        <w:t xml:space="preserve"> = 0.10.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9"/>
              </w:rPr>
              <w:t>Architecture</w:t>
            </w:r>
          </w:p>
        </w:tc>
        <w:tc>
          <w:tcPr>
            <w:tcW w:type="dxa" w:w="1234"/>
          </w:tcPr>
          <w:p>
            <w:r>
              <w:rPr>
                <w:b/>
                <w:sz w:val="19"/>
              </w:rPr>
              <w:t>AUC</w:t>
            </w:r>
          </w:p>
        </w:tc>
        <w:tc>
          <w:tcPr>
            <w:tcW w:type="dxa" w:w="1234"/>
          </w:tcPr>
          <w:p>
            <w:r>
              <w:rPr>
                <w:b/>
                <w:sz w:val="19"/>
              </w:rPr>
              <w:t>Net Benefit (p</w:t>
            </w:r>
            <w:r>
              <w:rPr>
                <w:b/>
                <w:vertAlign w:val="subscript"/>
              </w:rPr>
              <w:t>t</w:t>
            </w:r>
            <w:r>
              <w:rPr>
                <w:b/>
              </w:rPr>
              <w:t xml:space="preserve"> = 0.10)</w:t>
            </w:r>
          </w:p>
        </w:tc>
        <w:tc>
          <w:tcPr>
            <w:tcW w:type="dxa" w:w="1234"/>
          </w:tcPr>
          <w:p>
            <w:r>
              <w:rPr>
                <w:b/>
                <w:sz w:val="19"/>
              </w:rPr>
              <w:t>DPD</w:t>
            </w:r>
          </w:p>
        </w:tc>
        <w:tc>
          <w:tcPr>
            <w:tcW w:type="dxa" w:w="1234"/>
          </w:tcPr>
          <w:p>
            <w:r>
              <w:rPr>
                <w:b/>
                <w:sz w:val="19"/>
              </w:rPr>
              <w:t>DPR</w:t>
            </w:r>
          </w:p>
        </w:tc>
        <w:tc>
          <w:tcPr>
            <w:tcW w:type="dxa" w:w="1234"/>
          </w:tcPr>
          <w:p>
            <w:r>
              <w:rPr>
                <w:b/>
                <w:sz w:val="19"/>
              </w:rPr>
              <w:t>EOD</w:t>
            </w:r>
          </w:p>
        </w:tc>
        <w:tc>
          <w:tcPr>
            <w:tcW w:type="dxa" w:w="1234"/>
          </w:tcPr>
          <w:p>
            <w:r>
              <w:rPr>
                <w:b/>
                <w:sz w:val="19"/>
              </w:rPr>
              <w:t>Balanced Acc (%)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Single LightGBM (Baseline)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0.8263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0.0847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0.2842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0.5730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0.2620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74.50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Pre-Processing Reweighing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0.8162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0.0834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0.1386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0.7528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0.1036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73.86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In-Processing (ExpGrad-DP)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0.5564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0.0164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0.0118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0.7098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0.0252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55.64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Hard Partitioning (HP, K=2)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0.7022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0.0637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0.1019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0.8838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0.0974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60.80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Hierarchical MoE (HMoE, K=2)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0.8261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0.0849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0.2952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0.5667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0.2754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74.45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Threshold Optimizer (Post)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0.8263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0.0743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0.0470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0.8912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0.0036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71.39</w:t>
            </w:r>
          </w:p>
        </w:tc>
      </w:tr>
    </w:tbl>
    <w:p>
      <w:pPr>
        <w:pStyle w:val="Heading2"/>
      </w:pPr>
      <w:r>
        <w:t>Section S5: Candidate Search Spaces (Standard N=18 &amp; Scaled N=105)</w:t>
      </w:r>
    </w:p>
    <w:p>
      <w:r>
        <w:t>Table S5 shows the full enumeration of the standard candidate space (N=18).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  <w:t>Config ID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Candidate K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Clustering Method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Classifier Family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1-3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KMeans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Adaptive / LightGBM / Logistic Regression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4-6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Auto (Composite-Adaptive)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Adaptive / LightGBM / Logistic Regression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7-9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KMeans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Adaptive / LightGBM / Logistic Regression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10-12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Auto (Composite-Adaptive)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Adaptive / LightGBM / Logistic Regression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13-15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KMeans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Adaptive / LightGBM / Logistic Regression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16-18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Auto (Composite-Adaptive)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Adaptive / LightGBM / Logistic Regression</w:t>
            </w:r>
          </w:p>
        </w:tc>
      </w:tr>
    </w:tbl>
    <w:p>
      <w:r>
        <w:t>Table S6 summarizes the scaled candidate search space (N=105).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Dimension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Candidate Options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Count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Cluster Granularity 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 in {2, 3, 4, 5, 6, 8, 10}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Clustering Algorithms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KMeans, MiniBatchKMeans, Gaussian Mixture (GMM)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Classifier Architectures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Adaptive, LightGBM, XGBoost, Random Forest, Logistic Regression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Total Combinations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 x 3 x 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105</w:t>
            </w:r>
          </w:p>
        </w:tc>
      </w:tr>
    </w:tbl>
    <w:p>
      <w:pPr>
        <w:pStyle w:val="Heading2"/>
      </w:pPr>
      <w:r>
        <w:t>Section S6: Standardized Statistical Inference Protocol (B = 2,000 Paired Bootstrap)</w:t>
      </w:r>
    </w:p>
    <w:p>
      <w:r>
        <w:t>Details of the 4-strata (Y, S) paired bootstrap resampling protocol and percentile confidence interval estimation.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