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7"/>
        <w:gridCol w:w="3883"/>
        <w:gridCol w:w="3430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AT+GCAP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+GCAP:+FCLASS,+CGSM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Возможности модуля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AT+GMM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SIMCOM_SIM900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Идентификатор модуля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AT+GMR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Revision:1137B09SIM900M64_ST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Ревизия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AT+GSN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01322600XXXXXXX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IMEI</w:t>
            </w:r>
          </w:p>
        </w:tc>
      </w:tr>
    </w:tbl>
    <w:p w:rsidR="007109E1" w:rsidRPr="007109E1" w:rsidRDefault="007109E1" w:rsidP="007109E1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9248" w:type="dxa"/>
        <w:jc w:val="center"/>
        <w:tblInd w:w="-479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1"/>
        <w:gridCol w:w="6169"/>
        <w:gridCol w:w="1898"/>
      </w:tblGrid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AT+COPS?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+COPS: 0,0,»MTS-RUS»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Информация об операторе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AT+COPS=?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t>+COPS: (2,»MTS RUS»,»»,»25001″),(1,»MOTIV»,»MOTIV»,»25035″),(1,»Utel»,»Utel»,»25039″),,(0,1,4),(0,1,2)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Доступные операторы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AT+CPAS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+CPAS: 0</w:t>
            </w:r>
            <w:bookmarkStart w:id="0" w:name="_GoBack"/>
            <w:bookmarkEnd w:id="0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Информация о состояние модуля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готов к работе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неизвестно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3 – входящий звонок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4 – голосовое соединение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AT+CREG?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+CREG: 0,1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Тип регистрации сети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нет кода регистрации сети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есть код регистрации сети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2 – есть код регистрации сети + </w:t>
            </w:r>
            <w:proofErr w:type="spellStart"/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доп</w:t>
            </w:r>
            <w:proofErr w:type="spellEnd"/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параметры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не зарегистрирован, поиска сети нет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зарегистрирован, домашняя сеть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не зарегистрирован, идёт поиск новой сети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lastRenderedPageBreak/>
              <w:t>3 – регистрация отклонена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4 – неизвестно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5 – роуминг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AT+CSQ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+CSQ: 17,0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Уровень сигнала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0 -115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дБл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и меньше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1 -112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дБл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2-30 -110..-54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дБл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31 -52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дБл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и сильнее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99 – нет сигнала.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AT+CCLK?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+CCLK: «00/01/01,04:21:27+00»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Текущая дата и время телефона.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AT+CBC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+CBC: 0,95,4134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Монитор напряжения питания модуля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не заряжается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заряжается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зарядка окончена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1-100 % — уровень заряда батареи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Третий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Напряжение питание модуля (VBAT), мВ</w:t>
            </w:r>
          </w:p>
        </w:tc>
      </w:tr>
      <w:tr w:rsidR="007109E1" w:rsidRPr="007109E1" w:rsidTr="00522556">
        <w:trPr>
          <w:jc w:val="center"/>
        </w:trPr>
        <w:tc>
          <w:tcPr>
            <w:tcW w:w="1181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AT+CADC?</w:t>
            </w:r>
          </w:p>
        </w:tc>
        <w:tc>
          <w:tcPr>
            <w:tcW w:w="6169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+CADC: 1,7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1898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Значение АЦП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(до 2,8В)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Команды настроек вызовов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4"/>
        <w:gridCol w:w="2332"/>
        <w:gridCol w:w="5034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AT+CLIP=1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АОН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1 –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вкл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/ 0 – </w:t>
            </w:r>
            <w:proofErr w:type="spellStart"/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выкл</w:t>
            </w:r>
            <w:proofErr w:type="spellEnd"/>
            <w:proofErr w:type="gramEnd"/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AT+GSMBUSY=0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Запрет входящих звонков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0 – 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разрешены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запрещены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ATS0=0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Автоответ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ручной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1-более –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автомотический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после заданного количества звонков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Команды настроек СМС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3"/>
        <w:gridCol w:w="2922"/>
        <w:gridCol w:w="4355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AT+CMGF=1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Текстовый режим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включить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выключить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см. примечание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AT+CSCS= «GSM»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Кодировка текстового режима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Доступны следующие кодировки: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IRA, GSM, UCS2, HEX, PCCP, PCDN, 8859-1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см. примечание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AT+CSCB=0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Приём специальных сообщений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разрешен (по умолчанию)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запрещен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Прочие команды настроек модуля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5"/>
        <w:gridCol w:w="1322"/>
        <w:gridCol w:w="3653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ATE0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ЭХО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1 –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вкл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(по умолчанию) / 0 – </w:t>
            </w:r>
            <w:proofErr w:type="spellStart"/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выкл</w:t>
            </w:r>
            <w:proofErr w:type="spellEnd"/>
            <w:proofErr w:type="gramEnd"/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ATV1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Формат ответа модуля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только ответ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полный ответ с ЭХО (по умолчанию)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AT+CMEE=0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Информация об ошибках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отключён (по умолчанию)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код ошибки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описание ошибки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AT+CCLK=»13/09/25,13:25:33+05″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Установка часов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«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yy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/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mm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/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dd,hh:mm:ss+zz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»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Где: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год/месяц/дата,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proofErr w:type="spell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часы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:м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инуты:секунды</w:t>
            </w:r>
            <w:proofErr w:type="spell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+часовой пояс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AT+CPIN=XXXX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Ввод PIN кода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ATZ0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proofErr w:type="gramStart"/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Сброс настроек до значений по умолчанию (не до заводских)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или 1 – выбор профиля</w:t>
            </w:r>
            <w:proofErr w:type="gramEnd"/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AT&amp;F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 xml:space="preserve">Сброс настроек </w:t>
            </w:r>
            <w:proofErr w:type="gramStart"/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до</w:t>
            </w:r>
            <w:proofErr w:type="gramEnd"/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 xml:space="preserve"> заводских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AT&amp;W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Сохранение настроек для текущего профиля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0 или 1 — выбор профиля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Параметр указывать сразу за 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lastRenderedPageBreak/>
              <w:t>командой (AT&amp;W0)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AT+CPOWD=1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NORMAL POWER DOWN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Выключение модуля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срочное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нормальное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AT+CFUN=1,1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Энергосберегающий режим и перезагрузка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минимальный функционал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нормальный режим (по умолчанию)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выключения цепей приёма и передачи сигнала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выполнить без перезагрузки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перезагрузить (доступно только в нормальном режиме, т.е. параметры = 1,1)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Команды для осуществления телефонных звонков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8"/>
        <w:gridCol w:w="3818"/>
        <w:gridCol w:w="3064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vMerge w:val="restart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ATD+380XXXXXXXX;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Позвонить на номер +380XXXXXXXX;</w:t>
            </w:r>
          </w:p>
        </w:tc>
      </w:tr>
      <w:tr w:rsidR="007109E1" w:rsidRPr="007109E1" w:rsidTr="007109E1">
        <w:tc>
          <w:tcPr>
            <w:tcW w:w="0" w:type="auto"/>
            <w:vMerge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t>NO DIALTONE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br/>
              <w:t>BUSY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br/>
              <w:t>NO CARRIER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br/>
              <w:t>NO ANSWER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Нет сигнала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Е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сли вызов отклонён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Повесили трубку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Нет ответа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ATDL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Позвонить по последнему исходящему номеру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ATA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Ответить на звонок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ATH0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Повесить трубку/ разорвать соединение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RING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Входящий звонок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AT+CLIP=1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см. настройки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RING</w:t>
            </w:r>
          </w:p>
          <w:p w:rsidR="007109E1" w:rsidRPr="007109E1" w:rsidRDefault="007109E1" w:rsidP="007109E1">
            <w:pPr>
              <w:spacing w:after="360" w:line="360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eastAsia="ru-RU"/>
              </w:rPr>
              <w:t>+CLIP: «+380XXXXXXXX»,145,»»,,»»,0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Входящий звонок с включенным АОН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Г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де: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– номер телефона входящего звонка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тип входящего номера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129 – не определен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161 – национальный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145 – интернациональный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177 – сетевой, специальный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Команды для отправки СМС сообщений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3"/>
        <w:gridCol w:w="3614"/>
        <w:gridCol w:w="3433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val="en-US" w:eastAsia="ru-RU"/>
              </w:rPr>
              <w:t>AT+CMGS=</w:t>
            </w:r>
          </w:p>
          <w:p w:rsidR="007109E1" w:rsidRPr="007109E1" w:rsidRDefault="007109E1" w:rsidP="007109E1">
            <w:pPr>
              <w:spacing w:after="360" w:line="360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  <w:lang w:val="en-US" w:eastAsia="ru-RU"/>
              </w:rPr>
              <w:t>«+380XXXXXXXX»</w:t>
            </w: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br/>
              <w:t>&gt;</w:t>
            </w:r>
            <w:r w:rsidRPr="007109E1">
              <w:rPr>
                <w:rFonts w:ascii="Verdana" w:eastAsia="Times New Roman" w:hAnsi="Verdana" w:cs="Times New Roman"/>
                <w:b/>
                <w:bCs/>
                <w:color w:val="222222"/>
                <w:sz w:val="21"/>
                <w:szCs w:val="21"/>
                <w:lang w:val="en-US" w:eastAsia="ru-RU"/>
              </w:rPr>
              <w:t>Test sms.elschemo.ru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&gt;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+CMGS: 15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Отправка СМС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Указываем номер получателя в кавычках и отправляем модулю с символом переноса строки (13 в ASCII).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После приглашения «&gt;» вводим текст сообщения.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Для отправки в конце сообщения отправляем символ SUB (26 в ASCII) или ESC (27) для отмены.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t>AT+CMGF=1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br/>
              <w:t>AT+CSCS= «GSM»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Режим и кодировка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с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м. настройки и примечание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+CMTI: «SM»,4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Уведомление о приходе СМС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 номер 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пришедшего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СМС.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AT+CMGL=»REC UNREAD»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t>+CMGL: 4,»REC UNREAD»,»+380XXXXXXXX»,»</w:t>
            </w:r>
          </w:p>
          <w:p w:rsidR="007109E1" w:rsidRPr="007109E1" w:rsidRDefault="007109E1" w:rsidP="007109E1">
            <w:pPr>
              <w:spacing w:after="360" w:line="360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«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,»</w:t>
            </w:r>
            <w:proofErr w:type="gramEnd"/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13/09/24,23:02:22+24»</w:t>
            </w: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br/>
              <w:t>Test2.</w:t>
            </w: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Чтение групп СМС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Всего 5 групп: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REC UNREAD – входящие непрочитанные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REC READ – 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входящие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прочитанные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STO UNSENT – Пользовательские непрочитанные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STO SENT – пользовательские прочитанные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ALL – прочитать все сообщения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AT+CMGR=2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val="en-US" w:eastAsia="ru-RU"/>
              </w:rPr>
              <w:t>+CMGR: «REC READ»,»+380XXXXXXXX»,»</w:t>
            </w:r>
          </w:p>
          <w:p w:rsidR="007109E1" w:rsidRPr="007109E1" w:rsidRDefault="007109E1" w:rsidP="007109E1">
            <w:pPr>
              <w:spacing w:after="360" w:line="360" w:lineRule="atLeast"/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</w:pP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«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,»</w:t>
            </w:r>
            <w:proofErr w:type="gramEnd"/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13/09/21,11:57:46+24»</w:t>
            </w: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br/>
              <w:t xml:space="preserve">Test </w:t>
            </w:r>
            <w:proofErr w:type="spellStart"/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sms</w:t>
            </w:r>
            <w:proofErr w:type="spellEnd"/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t>. elschemo.ru</w:t>
            </w:r>
            <w:r w:rsidRPr="007109E1">
              <w:rPr>
                <w:rFonts w:ascii="Verdana" w:eastAsia="Times New Roman" w:hAnsi="Verdana" w:cs="Times New Roman"/>
                <w:color w:val="222222"/>
                <w:sz w:val="21"/>
                <w:szCs w:val="21"/>
                <w:lang w:val="en-US" w:eastAsia="ru-RU"/>
              </w:rPr>
              <w:br/>
              <w:t>OK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Чтение SMS сообщений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Запрос: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– номер сообщения.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(необязателен):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обычный режим (по умолчанию)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не изменять статус сообщения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Ответ: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 – группа сообщений, 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см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 предыдущий пункт.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– номер отправителя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3 – дата отправки</w:t>
            </w:r>
            <w:proofErr w:type="gramStart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Д</w:t>
            </w:r>
            <w:proofErr w:type="gramEnd"/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алее следует текс сообщения.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AT+CMGDA=»DEL SENT»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Удаление групп СМС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DEL READ — прочитанные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lastRenderedPageBreak/>
              <w:t>DEL UNREAD — не прочитанные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DEL SENT — отправленные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DEL UNSENT — не отправленные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DEL INBOX — полученные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DEL ALL — всех сообщения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AT+CMGD=4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Удаление СМС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– номер сообщения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удаление указанного сообщения (по умолчанию)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удаление прочитанных сообщений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удаление прочитанных и отправленных сообщений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3 – удаление прочитанных, отправленных и не отправленных сообщений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4 – удаление всех сообщений</w:t>
            </w:r>
          </w:p>
        </w:tc>
      </w:tr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AT+CSCA?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+CSCA: «+380991234567»,145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OK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Возвращает номер сервис центра отправки сообщений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Тоновый набор (DTMF)</w:t>
      </w:r>
    </w:p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Тоновые сигналы: 0-9,#,*,A-D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2"/>
        <w:gridCol w:w="1732"/>
        <w:gridCol w:w="4376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AT+VTD=3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Длительность тоновых сигналов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для AT+VTD.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Значение параметра 1..255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AT+VTS=»1,4,#,A,6,7,0″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Отправить последовательность тоновых сигналов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(до 20).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Длительность задается командой AT+VTS.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AT+CLDTMF=7, «1,4,#,A,6,7,0»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Проиграть на модуле (через аудио выход) тоновые сигналы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.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— длительность 1-100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– строка тоновых сигналов, до 20.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lang w:eastAsia="ru-RU"/>
        </w:rPr>
        <w:t>USSD</w:t>
      </w:r>
    </w:p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Команды приведены для текстового режима и в GSM кодировке.</w:t>
      </w:r>
    </w:p>
    <w:tbl>
      <w:tblPr>
        <w:tblW w:w="96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1"/>
        <w:gridCol w:w="2723"/>
        <w:gridCol w:w="3926"/>
      </w:tblGrid>
      <w:tr w:rsidR="007109E1" w:rsidRPr="007109E1" w:rsidTr="007109E1">
        <w:tc>
          <w:tcPr>
            <w:tcW w:w="225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Команда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Ответ</w:t>
            </w:r>
          </w:p>
        </w:tc>
        <w:tc>
          <w:tcPr>
            <w:tcW w:w="3375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Описание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AT+CUSD=1,»#100#»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 xml:space="preserve">+CUSD: 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lastRenderedPageBreak/>
              <w:t>0,»Balance:240,68r «,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USSD запрос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Первый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 xml:space="preserve"> – режим 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lastRenderedPageBreak/>
              <w:t>обработки операции: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0 – выполнить запрос, ответ проигнорировать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1 – выполнить запрос, вернуть ответ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2 – отменить запрос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u w:val="single"/>
                <w:lang w:eastAsia="ru-RU"/>
              </w:rPr>
              <w:t>Второй параметр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– запрос в кавычках.</w:t>
            </w:r>
          </w:p>
        </w:tc>
      </w:tr>
      <w:tr w:rsidR="007109E1" w:rsidRPr="007109E1" w:rsidTr="007109E1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lastRenderedPageBreak/>
              <w:t>ATD#100#;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OK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br/>
              <w:t>+CUSD: 0,»Balance:280 UAH»,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7109E1" w:rsidRPr="007109E1" w:rsidRDefault="007109E1" w:rsidP="007109E1">
            <w:pPr>
              <w:spacing w:after="0" w:line="240" w:lineRule="auto"/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</w:pPr>
            <w:r w:rsidRPr="007109E1">
              <w:rPr>
                <w:rFonts w:ascii="Verdana" w:eastAsia="Times New Roman" w:hAnsi="Verdana" w:cs="Times New Roman"/>
                <w:b/>
                <w:bCs/>
                <w:color w:val="444444"/>
                <w:sz w:val="21"/>
                <w:szCs w:val="21"/>
                <w:lang w:eastAsia="ru-RU"/>
              </w:rPr>
              <w:t>Упрощенный USSD запрос</w:t>
            </w:r>
            <w:r w:rsidRPr="007109E1">
              <w:rPr>
                <w:rFonts w:ascii="Verdana" w:eastAsia="Times New Roman" w:hAnsi="Verdana" w:cs="Times New Roman"/>
                <w:color w:val="444444"/>
                <w:sz w:val="21"/>
                <w:szCs w:val="21"/>
                <w:lang w:eastAsia="ru-RU"/>
              </w:rPr>
              <w:t> (работает только при GSM кодировке)</w:t>
            </w:r>
          </w:p>
        </w:tc>
      </w:tr>
    </w:tbl>
    <w:p w:rsidR="007109E1" w:rsidRPr="007109E1" w:rsidRDefault="007109E1" w:rsidP="007109E1">
      <w:pPr>
        <w:shd w:val="clear" w:color="auto" w:fill="FFFFFF"/>
        <w:spacing w:after="360" w:line="360" w:lineRule="atLeast"/>
        <w:jc w:val="both"/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</w:pPr>
      <w:r w:rsidRPr="007109E1">
        <w:rPr>
          <w:rFonts w:ascii="Verdana" w:eastAsia="Times New Roman" w:hAnsi="Verdana" w:cs="Times New Roman"/>
          <w:b/>
          <w:bCs/>
          <w:i/>
          <w:iCs/>
          <w:color w:val="222222"/>
          <w:sz w:val="21"/>
          <w:szCs w:val="21"/>
          <w:lang w:eastAsia="ru-RU"/>
        </w:rPr>
        <w:t>GPRS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  <w:t>Настройка и установка GPRS соединения: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t>AT+SAPBR=3,1,«CONTYPE»,«GPRS»</w:t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br/>
        <w:t>AT+SAPBR=3,1,«APN»,«internet.beeline.ru»</w:t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br/>
        <w:t>AT+SAPBR=3,1,«USER»,«beeline»</w:t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br/>
        <w:t>AT+SAPBR=3,1,«PWD»,«beeline»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t>AT+SAPBR=1,1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— установка GPRS связи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t>AT+SAPBR=2,1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— полученный IP адрес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7109E1">
        <w:rPr>
          <w:rFonts w:ascii="Verdana" w:eastAsia="Times New Roman" w:hAnsi="Verdana" w:cs="Times New Roman"/>
          <w:i/>
          <w:iCs/>
          <w:color w:val="222222"/>
          <w:sz w:val="21"/>
          <w:szCs w:val="21"/>
          <w:lang w:eastAsia="ru-RU"/>
        </w:rPr>
        <w:t>+SAPBR: 1,1,«10.229.9.115»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t>AT+SAPBR=4,1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— текущие настройки соединения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br/>
      </w:r>
      <w:r w:rsidRPr="007109E1">
        <w:rPr>
          <w:rFonts w:ascii="Verdana" w:eastAsia="Times New Roman" w:hAnsi="Verdana" w:cs="Times New Roman"/>
          <w:b/>
          <w:bCs/>
          <w:color w:val="222222"/>
          <w:sz w:val="21"/>
          <w:szCs w:val="21"/>
          <w:u w:val="single"/>
          <w:lang w:eastAsia="ru-RU"/>
        </w:rPr>
        <w:t>AT+SAPBR=0,1</w:t>
      </w:r>
      <w:r w:rsidRPr="007109E1">
        <w:rPr>
          <w:rFonts w:ascii="Verdana" w:eastAsia="Times New Roman" w:hAnsi="Verdana" w:cs="Times New Roman"/>
          <w:color w:val="222222"/>
          <w:sz w:val="21"/>
          <w:szCs w:val="21"/>
          <w:lang w:eastAsia="ru-RU"/>
        </w:rPr>
        <w:t> — разорвать GPRS соединение</w:t>
      </w:r>
    </w:p>
    <w:p w:rsidR="009871BF" w:rsidRDefault="009871BF"/>
    <w:sectPr w:rsidR="009871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E4"/>
    <w:rsid w:val="00522556"/>
    <w:rsid w:val="007109E1"/>
    <w:rsid w:val="009871BF"/>
    <w:rsid w:val="009C2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09E1"/>
    <w:rPr>
      <w:b/>
      <w:bCs/>
    </w:rPr>
  </w:style>
  <w:style w:type="paragraph" w:styleId="a4">
    <w:name w:val="Normal (Web)"/>
    <w:basedOn w:val="a"/>
    <w:uiPriority w:val="99"/>
    <w:unhideWhenUsed/>
    <w:rsid w:val="0071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09E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109E1"/>
    <w:rPr>
      <w:b/>
      <w:bCs/>
    </w:rPr>
  </w:style>
  <w:style w:type="paragraph" w:styleId="a4">
    <w:name w:val="Normal (Web)"/>
    <w:basedOn w:val="a"/>
    <w:uiPriority w:val="99"/>
    <w:unhideWhenUsed/>
    <w:rsid w:val="00710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7109E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8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1008</Words>
  <Characters>5747</Characters>
  <Application>Microsoft Office Word</Application>
  <DocSecurity>0</DocSecurity>
  <Lines>47</Lines>
  <Paragraphs>13</Paragraphs>
  <ScaleCrop>false</ScaleCrop>
  <Company/>
  <LinksUpToDate>false</LinksUpToDate>
  <CharactersWithSpaces>6742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</dc:creator>
  <cp:keywords/>
  <dc:description/>
  <cp:lastModifiedBy>AR</cp:lastModifiedBy>
  <cp:revision>3</cp:revision>
  <dcterms:created xsi:type="dcterms:W3CDTF">2019-09-08T08:23:00Z</dcterms:created>
  <dcterms:modified xsi:type="dcterms:W3CDTF">2019-09-08T08:26:00Z</dcterms:modified>
</cp:coreProperties>
</file>