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Key for Mfera and Liwonde de-identified data.v2</w:t>
      </w:r>
    </w:p>
    <w:p w:rsidR="00000000" w:rsidDel="00000000" w:rsidP="00000000" w:rsidRDefault="00000000" w:rsidRPr="00000000" w14:paraId="00000002">
      <w:pPr>
        <w:rPr/>
      </w:pPr>
      <w:r w:rsidDel="00000000" w:rsidR="00000000" w:rsidRPr="00000000">
        <w:rPr>
          <w:rtl w:val="0"/>
        </w:rPr>
        <w:t xml:space="preserve">Mfera_share_20aug2024.csv</w:t>
      </w:r>
    </w:p>
    <w:p w:rsidR="00000000" w:rsidDel="00000000" w:rsidP="00000000" w:rsidRDefault="00000000" w:rsidRPr="00000000" w14:paraId="00000003">
      <w:pPr>
        <w:rPr/>
      </w:pPr>
      <w:r w:rsidDel="00000000" w:rsidR="00000000" w:rsidRPr="00000000">
        <w:rPr>
          <w:rtl w:val="0"/>
        </w:rPr>
        <w:t xml:space="preserve">Liwonde_share_20Aug2024.csv</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Each row is a person and a corresponding infection. For each row, there are 2 corresponding serum samples, one before (serum1) and one after the infection (serum2). I tried to make sure that serum1 did not occur soon after another previous infection, so it could be considered a baseline sample. In many cases, serum1 occurred many days before the infection, and in some cases, multiple infections occurred between serum1 and the infection. For serum2, I tried to make sure not too much time elapsed between the infection and serum2. The intended interval was 14-42 days between the infection and serum2, but some serum2 samples were collected much later (max = 85 days). I have also included the number of infections that occurred before serum 1, between serum 1 and the infection, and between the infection and serum 2. I also included the number of days between the infection that preceded serum1 (if there was one) and serum1. There are a few cases where a participant has multiple rows in the data, representing multiple infections or multiple sera that surround an infection.</w:t>
      </w:r>
    </w:p>
    <w:p w:rsidR="00000000" w:rsidDel="00000000" w:rsidP="00000000" w:rsidRDefault="00000000" w:rsidRPr="00000000" w14:paraId="00000006">
      <w:pPr>
        <w:rPr/>
      </w:pPr>
      <w:r w:rsidDel="00000000" w:rsidR="00000000" w:rsidRPr="00000000">
        <w:rPr>
          <w:rtl w:val="0"/>
        </w:rPr>
        <w:t xml:space="preserve">There are 113 serum samples. They represent 28 participants from Mfera and 25 participants from Liwonde. Of the Mfera participants, all have 2 samples, except 2 participants have 3 samples and 2 participants have 4 samples. Of the Liwonde participants, all have 2 samples except 1 participant has 3 samples.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general, the dates in the columns in each table are in the following order:</w:t>
      </w:r>
    </w:p>
    <w:p w:rsidR="00000000" w:rsidDel="00000000" w:rsidP="00000000" w:rsidRDefault="00000000" w:rsidRPr="00000000" w14:paraId="00000009">
      <w:pPr>
        <w:spacing w:after="240" w:before="240" w:lineRule="auto"/>
        <w:rPr>
          <w:color w:val="0a2f41"/>
        </w:rPr>
      </w:pPr>
      <w:r w:rsidDel="00000000" w:rsidR="00000000" w:rsidRPr="00000000">
        <w:rPr>
          <w:color w:val="0a2f41"/>
          <w:rtl w:val="0"/>
        </w:rPr>
        <w:t xml:space="preserve">Optional prev infection – serum 1 – optional intervening infection – INFECTION – serum 2</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Additional details:</w:t>
      </w:r>
    </w:p>
    <w:p w:rsidR="00000000" w:rsidDel="00000000" w:rsidP="00000000" w:rsidRDefault="00000000" w:rsidRPr="00000000" w14:paraId="0000000C">
      <w:pPr>
        <w:rPr/>
      </w:pPr>
      <w:r w:rsidDel="00000000" w:rsidR="00000000" w:rsidRPr="00000000">
        <w:rPr>
          <w:b w:val="1"/>
          <w:rtl w:val="0"/>
        </w:rPr>
        <w:t xml:space="preserve">liwonde_id</w:t>
      </w:r>
      <w:r w:rsidDel="00000000" w:rsidR="00000000" w:rsidRPr="00000000">
        <w:rPr>
          <w:rtl w:val="0"/>
        </w:rPr>
        <w:t xml:space="preserve"> = ID for person in Liwonde cohort</w:t>
      </w:r>
    </w:p>
    <w:p w:rsidR="00000000" w:rsidDel="00000000" w:rsidP="00000000" w:rsidRDefault="00000000" w:rsidRPr="00000000" w14:paraId="0000000D">
      <w:pPr>
        <w:rPr/>
      </w:pPr>
      <w:r w:rsidDel="00000000" w:rsidR="00000000" w:rsidRPr="00000000">
        <w:rPr>
          <w:b w:val="1"/>
          <w:rtl w:val="0"/>
        </w:rPr>
        <w:t xml:space="preserve">mfera_id</w:t>
      </w:r>
      <w:r w:rsidDel="00000000" w:rsidR="00000000" w:rsidRPr="00000000">
        <w:rPr>
          <w:rtl w:val="0"/>
        </w:rPr>
        <w:t xml:space="preserve"> = ID for person in Mfera cohort</w:t>
      </w:r>
    </w:p>
    <w:p w:rsidR="00000000" w:rsidDel="00000000" w:rsidP="00000000" w:rsidRDefault="00000000" w:rsidRPr="00000000" w14:paraId="0000000E">
      <w:pPr>
        <w:rPr/>
      </w:pPr>
      <w:r w:rsidDel="00000000" w:rsidR="00000000" w:rsidRPr="00000000">
        <w:rPr>
          <w:b w:val="1"/>
          <w:rtl w:val="0"/>
        </w:rPr>
        <w:t xml:space="preserve">prev_infxn_before_serum1 </w:t>
      </w:r>
      <w:r w:rsidDel="00000000" w:rsidR="00000000" w:rsidRPr="00000000">
        <w:rPr>
          <w:rtl w:val="0"/>
        </w:rPr>
        <w:t xml:space="preserve">= date of the previous infection before serum1 (could cause serum1 to have higher “baseline” but infections were chosen to make this date as remote as possible. Not present for all infections)</w:t>
      </w:r>
    </w:p>
    <w:p w:rsidR="00000000" w:rsidDel="00000000" w:rsidP="00000000" w:rsidRDefault="00000000" w:rsidRPr="00000000" w14:paraId="0000000F">
      <w:pPr>
        <w:rPr/>
      </w:pPr>
      <w:r w:rsidDel="00000000" w:rsidR="00000000" w:rsidRPr="00000000">
        <w:rPr>
          <w:b w:val="1"/>
          <w:rtl w:val="0"/>
        </w:rPr>
        <w:t xml:space="preserve">serum1</w:t>
      </w:r>
      <w:r w:rsidDel="00000000" w:rsidR="00000000" w:rsidRPr="00000000">
        <w:rPr>
          <w:rtl w:val="0"/>
        </w:rPr>
        <w:t xml:space="preserve"> = date of serum1 (this date is on the sample tube for the Liwonde samples)</w:t>
      </w:r>
    </w:p>
    <w:p w:rsidR="00000000" w:rsidDel="00000000" w:rsidP="00000000" w:rsidRDefault="00000000" w:rsidRPr="00000000" w14:paraId="00000010">
      <w:pPr>
        <w:rPr/>
      </w:pPr>
      <w:sdt>
        <w:sdtPr>
          <w:tag w:val="goog_rdk_0"/>
        </w:sdtPr>
        <w:sdtContent>
          <w:commentRangeStart w:id="0"/>
        </w:sdtContent>
      </w:sdt>
      <w:r w:rsidDel="00000000" w:rsidR="00000000" w:rsidRPr="00000000">
        <w:rPr>
          <w:b w:val="1"/>
          <w:rtl w:val="0"/>
        </w:rPr>
        <w:t xml:space="preserve">serum1e</w:t>
      </w:r>
      <w:r w:rsidDel="00000000" w:rsidR="00000000" w:rsidRPr="00000000">
        <w:rPr>
          <w:rtl w:val="0"/>
        </w:rPr>
        <w:t xml:space="preserve">  (mfera samples only) = event name for serum1 - this is on the sample tube for Mfera samples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intervening infection = date of infection, if any, that occurred after serum 1 but before the infection that we are studying. (this infection could cause a rise in antibody response, but the main antibody response we are studying is the response to the “infection”)</w:t>
      </w:r>
    </w:p>
    <w:p w:rsidR="00000000" w:rsidDel="00000000" w:rsidP="00000000" w:rsidRDefault="00000000" w:rsidRPr="00000000" w14:paraId="00000012">
      <w:pPr>
        <w:rPr/>
      </w:pPr>
      <w:r w:rsidDel="00000000" w:rsidR="00000000" w:rsidRPr="00000000">
        <w:rPr>
          <w:b w:val="1"/>
          <w:rtl w:val="0"/>
        </w:rPr>
        <w:t xml:space="preserve">infection</w:t>
      </w:r>
      <w:r w:rsidDel="00000000" w:rsidR="00000000" w:rsidRPr="00000000">
        <w:rPr>
          <w:rtl w:val="0"/>
        </w:rPr>
        <w:t xml:space="preserve"> (liwonde samples): infection date</w:t>
      </w:r>
    </w:p>
    <w:p w:rsidR="00000000" w:rsidDel="00000000" w:rsidP="00000000" w:rsidRDefault="00000000" w:rsidRPr="00000000" w14:paraId="00000013">
      <w:pPr>
        <w:rPr/>
      </w:pPr>
      <w:r w:rsidDel="00000000" w:rsidR="00000000" w:rsidRPr="00000000">
        <w:rPr>
          <w:b w:val="1"/>
          <w:rtl w:val="0"/>
        </w:rPr>
        <w:t xml:space="preserve">infectiondate </w:t>
      </w:r>
      <w:r w:rsidDel="00000000" w:rsidR="00000000" w:rsidRPr="00000000">
        <w:rPr>
          <w:rtl w:val="0"/>
        </w:rPr>
        <w:t xml:space="preserve">(mfera samples): infection date</w:t>
      </w:r>
    </w:p>
    <w:p w:rsidR="00000000" w:rsidDel="00000000" w:rsidP="00000000" w:rsidRDefault="00000000" w:rsidRPr="00000000" w14:paraId="00000014">
      <w:pPr>
        <w:rPr/>
      </w:pPr>
      <w:r w:rsidDel="00000000" w:rsidR="00000000" w:rsidRPr="00000000">
        <w:rPr>
          <w:b w:val="1"/>
          <w:rtl w:val="0"/>
        </w:rPr>
        <w:t xml:space="preserve">infection </w:t>
      </w:r>
      <w:r w:rsidDel="00000000" w:rsidR="00000000" w:rsidRPr="00000000">
        <w:rPr>
          <w:rtl w:val="0"/>
        </w:rPr>
        <w:t xml:space="preserve">(mfera samples): name of the event that corresponds to the infection</w:t>
      </w:r>
    </w:p>
    <w:p w:rsidR="00000000" w:rsidDel="00000000" w:rsidP="00000000" w:rsidRDefault="00000000" w:rsidRPr="00000000" w14:paraId="00000015">
      <w:pPr>
        <w:rPr/>
      </w:pPr>
      <w:sdt>
        <w:sdtPr>
          <w:tag w:val="goog_rdk_1"/>
        </w:sdtPr>
        <w:sdtContent>
          <w:commentRangeStart w:id="1"/>
        </w:sdtContent>
      </w:sdt>
      <w:r w:rsidDel="00000000" w:rsidR="00000000" w:rsidRPr="00000000">
        <w:rPr>
          <w:b w:val="1"/>
          <w:rtl w:val="0"/>
        </w:rPr>
        <w:t xml:space="preserve">serum2</w:t>
      </w:r>
      <w:r w:rsidDel="00000000" w:rsidR="00000000" w:rsidRPr="00000000">
        <w:rPr>
          <w:rtl w:val="0"/>
        </w:rPr>
        <w:t xml:space="preserve">: date of serum2 (this date is on the sample tube for Liwonde samples)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serum2e </w:t>
      </w:r>
      <w:r w:rsidDel="00000000" w:rsidR="00000000" w:rsidRPr="00000000">
        <w:rPr>
          <w:rtl w:val="0"/>
        </w:rPr>
        <w:t xml:space="preserve">(mfera samples only): name of event corresponding to serum2 (this is on the sample tube for Mfera samples</w:t>
      </w:r>
    </w:p>
    <w:p w:rsidR="00000000" w:rsidDel="00000000" w:rsidP="00000000" w:rsidRDefault="00000000" w:rsidRPr="00000000" w14:paraId="00000017">
      <w:pPr>
        <w:rPr/>
      </w:pPr>
      <w:r w:rsidDel="00000000" w:rsidR="00000000" w:rsidRPr="00000000">
        <w:rPr>
          <w:b w:val="1"/>
          <w:rtl w:val="0"/>
        </w:rPr>
        <w:t xml:space="preserve">days_after_serum1</w:t>
      </w:r>
      <w:r w:rsidDel="00000000" w:rsidR="00000000" w:rsidRPr="00000000">
        <w:rPr>
          <w:rtl w:val="0"/>
        </w:rPr>
        <w:t xml:space="preserve"> = number of days between serum 1 and the infection</w:t>
      </w:r>
    </w:p>
    <w:p w:rsidR="00000000" w:rsidDel="00000000" w:rsidP="00000000" w:rsidRDefault="00000000" w:rsidRPr="00000000" w14:paraId="00000018">
      <w:pPr>
        <w:rPr/>
      </w:pPr>
      <w:r w:rsidDel="00000000" w:rsidR="00000000" w:rsidRPr="00000000">
        <w:rPr>
          <w:b w:val="1"/>
          <w:rtl w:val="0"/>
        </w:rPr>
        <w:t xml:space="preserve">days_before_serum2 </w:t>
      </w:r>
      <w:r w:rsidDel="00000000" w:rsidR="00000000" w:rsidRPr="00000000">
        <w:rPr>
          <w:rtl w:val="0"/>
        </w:rPr>
        <w:t xml:space="preserve">= number of days between the infection and serum2</w:t>
      </w:r>
    </w:p>
    <w:p w:rsidR="00000000" w:rsidDel="00000000" w:rsidP="00000000" w:rsidRDefault="00000000" w:rsidRPr="00000000" w14:paraId="00000019">
      <w:pPr>
        <w:rPr/>
      </w:pPr>
      <w:r w:rsidDel="00000000" w:rsidR="00000000" w:rsidRPr="00000000">
        <w:rPr>
          <w:b w:val="1"/>
          <w:rtl w:val="0"/>
        </w:rPr>
        <w:t xml:space="preserve">days_infxn_before_serum1</w:t>
      </w:r>
      <w:r w:rsidDel="00000000" w:rsidR="00000000" w:rsidRPr="00000000">
        <w:rPr>
          <w:rtl w:val="0"/>
        </w:rPr>
        <w:t xml:space="preserve"> = number of days between the most recent infection before serum1 (if there was one); was required to be &gt;42d</w:t>
      </w:r>
    </w:p>
    <w:p w:rsidR="00000000" w:rsidDel="00000000" w:rsidP="00000000" w:rsidRDefault="00000000" w:rsidRPr="00000000" w14:paraId="0000001A">
      <w:pPr>
        <w:rPr/>
      </w:pPr>
      <w:r w:rsidDel="00000000" w:rsidR="00000000" w:rsidRPr="00000000">
        <w:rPr>
          <w:b w:val="1"/>
          <w:rtl w:val="0"/>
        </w:rPr>
        <w:t xml:space="preserve">num_infxn_before _serum1</w:t>
      </w:r>
      <w:r w:rsidDel="00000000" w:rsidR="00000000" w:rsidRPr="00000000">
        <w:rPr>
          <w:rtl w:val="0"/>
        </w:rPr>
        <w:t xml:space="preserve"> = number of infections before serum 1</w:t>
      </w:r>
    </w:p>
    <w:p w:rsidR="00000000" w:rsidDel="00000000" w:rsidP="00000000" w:rsidRDefault="00000000" w:rsidRPr="00000000" w14:paraId="0000001B">
      <w:pPr>
        <w:rPr/>
      </w:pPr>
      <w:r w:rsidDel="00000000" w:rsidR="00000000" w:rsidRPr="00000000">
        <w:rPr>
          <w:b w:val="1"/>
          <w:rtl w:val="0"/>
        </w:rPr>
        <w:t xml:space="preserve">num_infxn_bet_serum1_and_infection</w:t>
      </w:r>
      <w:r w:rsidDel="00000000" w:rsidR="00000000" w:rsidRPr="00000000">
        <w:rPr>
          <w:rtl w:val="0"/>
        </w:rPr>
        <w:t xml:space="preserve"> = the number of infections after serum 1 and before the infection</w:t>
      </w:r>
    </w:p>
    <w:p w:rsidR="00000000" w:rsidDel="00000000" w:rsidP="00000000" w:rsidRDefault="00000000" w:rsidRPr="00000000" w14:paraId="0000001C">
      <w:pPr>
        <w:rPr/>
      </w:pPr>
      <w:r w:rsidDel="00000000" w:rsidR="00000000" w:rsidRPr="00000000">
        <w:rPr>
          <w:b w:val="1"/>
          <w:rtl w:val="0"/>
        </w:rPr>
        <w:t xml:space="preserve">num_infxn_bet_infection_and_serum2</w:t>
      </w:r>
      <w:r w:rsidDel="00000000" w:rsidR="00000000" w:rsidRPr="00000000">
        <w:rPr>
          <w:rtl w:val="0"/>
        </w:rPr>
        <w:t xml:space="preserve"> = the number of infections after the infection and before serum2</w:t>
      </w:r>
    </w:p>
    <w:p w:rsidR="00000000" w:rsidDel="00000000" w:rsidP="00000000" w:rsidRDefault="00000000" w:rsidRPr="00000000" w14:paraId="0000001D">
      <w:pPr>
        <w:rPr/>
      </w:pPr>
      <w:r w:rsidDel="00000000" w:rsidR="00000000" w:rsidRPr="00000000">
        <w:rPr>
          <w:b w:val="1"/>
          <w:rtl w:val="0"/>
        </w:rPr>
        <w:t xml:space="preserve">age_at_serum2_days</w:t>
      </w:r>
      <w:r w:rsidDel="00000000" w:rsidR="00000000" w:rsidRPr="00000000">
        <w:rPr>
          <w:rtl w:val="0"/>
        </w:rPr>
        <w:t xml:space="preserve"> = age of participant at time of serum2 blood draw, in days</w:t>
      </w:r>
    </w:p>
    <w:p w:rsidR="00000000" w:rsidDel="00000000" w:rsidP="00000000" w:rsidRDefault="00000000" w:rsidRPr="00000000" w14:paraId="0000001E">
      <w:pPr>
        <w:rPr/>
      </w:pPr>
      <w:r w:rsidDel="00000000" w:rsidR="00000000" w:rsidRPr="00000000">
        <w:rPr>
          <w:b w:val="1"/>
          <w:rtl w:val="0"/>
        </w:rPr>
        <w:t xml:space="preserve">sex</w:t>
      </w:r>
      <w:r w:rsidDel="00000000" w:rsidR="00000000" w:rsidRPr="00000000">
        <w:rPr>
          <w:rtl w:val="0"/>
        </w:rPr>
        <w:t xml:space="preserve"> = Male or Female</w:t>
      </w:r>
    </w:p>
    <w:p w:rsidR="00000000" w:rsidDel="00000000" w:rsidP="00000000" w:rsidRDefault="00000000" w:rsidRPr="00000000" w14:paraId="0000001F">
      <w:pPr>
        <w:rPr/>
      </w:pPr>
      <w:r w:rsidDel="00000000" w:rsidR="00000000" w:rsidRPr="00000000">
        <w:rPr>
          <w:b w:val="1"/>
          <w:rtl w:val="0"/>
        </w:rPr>
        <w:t xml:space="preserve">arm</w:t>
      </w:r>
      <w:r w:rsidDel="00000000" w:rsidR="00000000" w:rsidRPr="00000000">
        <w:rPr>
          <w:rtl w:val="0"/>
        </w:rPr>
        <w:t xml:space="preserve"> (Liwonde samples) = study arm (either DP or SP; there was an intervention study in the moms)</w:t>
      </w:r>
    </w:p>
    <w:p w:rsidR="00000000" w:rsidDel="00000000" w:rsidP="00000000" w:rsidRDefault="00000000" w:rsidRPr="00000000" w14:paraId="00000020">
      <w:pPr>
        <w:rPr/>
      </w:pPr>
      <w:r w:rsidDel="00000000" w:rsidR="00000000" w:rsidRPr="00000000">
        <w:rPr>
          <w:b w:val="1"/>
          <w:rtl w:val="0"/>
        </w:rPr>
        <w:t xml:space="preserve">bweight </w:t>
      </w:r>
      <w:r w:rsidDel="00000000" w:rsidR="00000000" w:rsidRPr="00000000">
        <w:rPr>
          <w:rtl w:val="0"/>
        </w:rPr>
        <w:t xml:space="preserve">(Mfera samples) = birthweight (kilograms)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eather Mead" w:id="1" w:date="2024-08-28T02:32:24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@ekelley@tgen.org this shoul dbe the tube/manifest name for Liwonde. I'lll double check those files next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ekelley@tgen.org_</w:t>
      </w:r>
    </w:p>
  </w:comment>
  <w:comment w:author="Heather Mead" w:id="0" w:date="2024-08-28T02:31:04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@ekelley@tgen.org for the Mfera cohort this should be the name on the tube. I believe it is also the name on the manifest. I'll verify next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ekelley@tgen.org_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2" w15:done="0"/>
  <w15:commentEx w15:paraId="0000002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keepNext w:val="1"/>
        <w:keepLines w:val="1"/>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80" w:before="360" w:lineRule="auto"/>
    </w:pPr>
    <w:rPr>
      <w:rFonts w:ascii="Play" w:cs="Play" w:eastAsia="Play" w:hAnsi="Play"/>
      <w:color w:val="0f4761"/>
      <w:sz w:val="40"/>
      <w:szCs w:val="40"/>
    </w:rPr>
  </w:style>
  <w:style w:type="paragraph" w:styleId="Heading2">
    <w:name w:val="heading 2"/>
    <w:basedOn w:val="Normal"/>
    <w:next w:val="Normal"/>
    <w:pPr>
      <w:spacing w:after="80" w:before="160" w:lineRule="auto"/>
    </w:pPr>
    <w:rPr>
      <w:rFonts w:ascii="Play" w:cs="Play" w:eastAsia="Play" w:hAnsi="Play"/>
      <w:color w:val="0f4761"/>
      <w:sz w:val="32"/>
      <w:szCs w:val="32"/>
    </w:rPr>
  </w:style>
  <w:style w:type="paragraph" w:styleId="Heading3">
    <w:name w:val="heading 3"/>
    <w:basedOn w:val="Normal"/>
    <w:next w:val="Normal"/>
    <w:pPr>
      <w:spacing w:after="80" w:before="160" w:lineRule="auto"/>
    </w:pPr>
    <w:rPr>
      <w:rFonts w:ascii="Aptos" w:cs="Aptos" w:eastAsia="Aptos" w:hAnsi="Aptos"/>
      <w:color w:val="0f4761"/>
      <w:sz w:val="28"/>
      <w:szCs w:val="28"/>
    </w:rPr>
  </w:style>
  <w:style w:type="paragraph" w:styleId="Heading4">
    <w:name w:val="heading 4"/>
    <w:basedOn w:val="Normal"/>
    <w:next w:val="Normal"/>
    <w:pPr>
      <w:spacing w:after="40" w:before="80" w:lineRule="auto"/>
    </w:pPr>
    <w:rPr>
      <w:rFonts w:ascii="Aptos" w:cs="Aptos" w:eastAsia="Aptos" w:hAnsi="Aptos"/>
      <w:i w:val="1"/>
      <w:color w:val="0f4761"/>
    </w:rPr>
  </w:style>
  <w:style w:type="paragraph" w:styleId="Heading5">
    <w:name w:val="heading 5"/>
    <w:basedOn w:val="Normal"/>
    <w:next w:val="Normal"/>
    <w:pPr>
      <w:spacing w:after="40" w:before="80" w:lineRule="auto"/>
    </w:pPr>
    <w:rPr>
      <w:rFonts w:ascii="Aptos" w:cs="Aptos" w:eastAsia="Aptos" w:hAnsi="Aptos"/>
      <w:color w:val="0f4761"/>
    </w:rPr>
  </w:style>
  <w:style w:type="paragraph" w:styleId="Heading6">
    <w:name w:val="heading 6"/>
    <w:basedOn w:val="Normal"/>
    <w:next w:val="Normal"/>
    <w:pPr>
      <w:spacing w:after="0" w:before="40" w:lineRule="auto"/>
    </w:pPr>
    <w:rPr>
      <w:rFonts w:ascii="Aptos" w:cs="Aptos" w:eastAsia="Aptos" w:hAnsi="Aptos"/>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3E5239"/>
    <w:pPr>
      <w:keepNext w:val="1"/>
      <w:keepLines w:val="1"/>
      <w:spacing w:after="120" w:line="240" w:lineRule="auto"/>
    </w:pPr>
    <w:rPr>
      <w:rFonts w:ascii="Arial" w:hAnsi="Arial"/>
    </w:rPr>
  </w:style>
  <w:style w:type="paragraph" w:styleId="Heading1">
    <w:name w:val="heading 1"/>
    <w:basedOn w:val="Normal"/>
    <w:next w:val="Normal"/>
    <w:link w:val="Heading1Char"/>
    <w:uiPriority w:val="9"/>
    <w:qFormat w:val="1"/>
    <w:rsid w:val="001B39EA"/>
    <w:pPr>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1B39EA"/>
    <w:pPr>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1B39EA"/>
    <w:pPr>
      <w:spacing w:after="80" w:before="160"/>
      <w:outlineLvl w:val="2"/>
    </w:pPr>
    <w:rPr>
      <w:rFonts w:asciiTheme="minorHAnsi" w:cstheme="majorBidi" w:eastAsiaTheme="majorEastAsia" w:hAnsiTheme="minorHAnsi"/>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1B39EA"/>
    <w:pPr>
      <w:spacing w:after="40" w:before="80"/>
      <w:outlineLvl w:val="3"/>
    </w:pPr>
    <w:rPr>
      <w:rFonts w:asciiTheme="minorHAnsi" w:cstheme="majorBidi" w:eastAsiaTheme="majorEastAsia" w:hAnsiTheme="minorHAnsi"/>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1B39EA"/>
    <w:pPr>
      <w:spacing w:after="40" w:before="80"/>
      <w:outlineLvl w:val="4"/>
    </w:pPr>
    <w:rPr>
      <w:rFonts w:asciiTheme="minorHAnsi" w:cstheme="majorBidi" w:eastAsiaTheme="majorEastAsia" w:hAnsiTheme="minorHAnsi"/>
      <w:color w:val="0f4761" w:themeColor="accent1" w:themeShade="0000BF"/>
    </w:rPr>
  </w:style>
  <w:style w:type="paragraph" w:styleId="Heading6">
    <w:name w:val="heading 6"/>
    <w:basedOn w:val="Normal"/>
    <w:next w:val="Normal"/>
    <w:link w:val="Heading6Char"/>
    <w:uiPriority w:val="9"/>
    <w:semiHidden w:val="1"/>
    <w:unhideWhenUsed w:val="1"/>
    <w:qFormat w:val="1"/>
    <w:rsid w:val="001B39EA"/>
    <w:pPr>
      <w:spacing w:after="0" w:before="40"/>
      <w:outlineLvl w:val="5"/>
    </w:pPr>
    <w:rPr>
      <w:rFonts w:asciiTheme="minorHAnsi" w:cstheme="majorBidi" w:eastAsiaTheme="majorEastAsia" w:hAnsiTheme="minorHAnsi"/>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B39EA"/>
    <w:pPr>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1B39EA"/>
    <w:pPr>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B39EA"/>
    <w:pPr>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B39E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B39E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B39E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B39E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B39E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B39E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B39E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B39E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B39EA"/>
    <w:rPr>
      <w:rFonts w:cstheme="majorBidi" w:eastAsiaTheme="majorEastAsia"/>
      <w:color w:val="272727" w:themeColor="text1" w:themeTint="0000D8"/>
    </w:rPr>
  </w:style>
  <w:style w:type="paragraph" w:styleId="Title">
    <w:name w:val="Title"/>
    <w:basedOn w:val="Normal"/>
    <w:next w:val="Normal"/>
    <w:link w:val="TitleChar"/>
    <w:uiPriority w:val="10"/>
    <w:qFormat w:val="1"/>
    <w:rsid w:val="001B39EA"/>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B39EA"/>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1B39EA"/>
    <w:pPr>
      <w:numPr>
        <w:ilvl w:val="1"/>
      </w:numPr>
      <w:spacing w:after="160"/>
    </w:pPr>
    <w:rPr>
      <w:rFonts w:asciiTheme="minorHAnsi" w:cstheme="majorBidi" w:eastAsiaTheme="majorEastAsia" w:hAnsiTheme="minorHAnsi"/>
      <w:color w:val="595959" w:themeColor="text1" w:themeTint="0000A6"/>
      <w:spacing w:val="15"/>
      <w:sz w:val="28"/>
      <w:szCs w:val="28"/>
    </w:rPr>
  </w:style>
  <w:style w:type="character" w:styleId="SubtitleChar" w:customStyle="1">
    <w:name w:val="Subtitle Char"/>
    <w:basedOn w:val="DefaultParagraphFont"/>
    <w:link w:val="Subtitle"/>
    <w:uiPriority w:val="11"/>
    <w:rsid w:val="001B39E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B39EA"/>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1B39EA"/>
    <w:rPr>
      <w:rFonts w:ascii="Arial" w:hAnsi="Arial"/>
      <w:i w:val="1"/>
      <w:iCs w:val="1"/>
      <w:color w:val="404040" w:themeColor="text1" w:themeTint="0000BF"/>
    </w:rPr>
  </w:style>
  <w:style w:type="paragraph" w:styleId="ListParagraph">
    <w:name w:val="List Paragraph"/>
    <w:basedOn w:val="Normal"/>
    <w:uiPriority w:val="34"/>
    <w:qFormat w:val="1"/>
    <w:rsid w:val="001B39EA"/>
    <w:pPr>
      <w:ind w:left="720"/>
      <w:contextualSpacing w:val="1"/>
    </w:pPr>
  </w:style>
  <w:style w:type="character" w:styleId="IntenseEmphasis">
    <w:name w:val="Intense Emphasis"/>
    <w:basedOn w:val="DefaultParagraphFont"/>
    <w:uiPriority w:val="21"/>
    <w:qFormat w:val="1"/>
    <w:rsid w:val="001B39EA"/>
    <w:rPr>
      <w:i w:val="1"/>
      <w:iCs w:val="1"/>
      <w:color w:val="0f4761" w:themeColor="accent1" w:themeShade="0000BF"/>
    </w:rPr>
  </w:style>
  <w:style w:type="paragraph" w:styleId="IntenseQuote">
    <w:name w:val="Intense Quote"/>
    <w:basedOn w:val="Normal"/>
    <w:next w:val="Normal"/>
    <w:link w:val="IntenseQuoteChar"/>
    <w:uiPriority w:val="30"/>
    <w:qFormat w:val="1"/>
    <w:rsid w:val="001B39E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B39EA"/>
    <w:rPr>
      <w:rFonts w:ascii="Arial" w:hAnsi="Arial"/>
      <w:i w:val="1"/>
      <w:iCs w:val="1"/>
      <w:color w:val="0f4761" w:themeColor="accent1" w:themeShade="0000BF"/>
    </w:rPr>
  </w:style>
  <w:style w:type="character" w:styleId="IntenseReference">
    <w:name w:val="Intense Reference"/>
    <w:basedOn w:val="DefaultParagraphFont"/>
    <w:uiPriority w:val="32"/>
    <w:qFormat w:val="1"/>
    <w:rsid w:val="001B39EA"/>
    <w:rPr>
      <w:b w:val="1"/>
      <w:bCs w:val="1"/>
      <w:smallCaps w:val="1"/>
      <w:color w:val="0f4761" w:themeColor="accent1" w:themeShade="0000BF"/>
      <w:spacing w:val="5"/>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M+96xezM2M3LujnOvNRqr+dQZw==">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2024-06-14T23:04:00Z</dcterms:created>
  <dc:creator>Berry, Andrea</dc:creator>
</cp:coreProperties>
</file>