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Predictive QSAR Framework for Terminal Alkyne Acidity via Stereoelectronic Geometric Parsing</w:t>
      </w:r>
    </w:p>
    <w:p>
      <w:pPr>
        <w:pStyle w:val="Author"/>
      </w:pPr>
      <w:r>
        <w:t xml:space="preserve">Aniema Ekemini</w:t>
      </w:r>
    </w:p>
    <w:p>
      <w:pPr>
        <w:pStyle w:val="Author"/>
      </w:pPr>
      <w:r>
        <w:t xml:space="preserve">Ivara Samuel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The systematic prediction of terminal alkyne ground-state polarization is critical for mapping reaction kinetics in copper-catalyzed azide-alkyne cycloadditions (CuAAC) and C–H functionalization workflows[cite: 1, 3]. This study presents an interpretable Quantitative Structure-Activity Relationship (QSAR) model evaluated across a structurally diverse library of terminal alkynes (1a–1g) representing distinct inductive (</w:t>
      </w:r>
      <m:oMath>
        <m:r>
          <m:rPr>
            <m:sty m:val="p"/>
          </m:rPr>
          <m:t>±</m:t>
        </m:r>
        <m:r>
          <m:t>I</m:t>
        </m:r>
      </m:oMath>
      <w:r>
        <w:t xml:space="preserve">) and resonance (</w:t>
      </w:r>
      <m:oMath>
        <m:r>
          <m:rPr>
            <m:sty m:val="p"/>
          </m:rPr>
          <m:t>±</m:t>
        </m:r>
        <m:r>
          <m:t>R</m:t>
        </m:r>
      </m:oMath>
      <w:r>
        <w:t xml:space="preserve">) archetypes[cite: 5, 13]. Using 3D Cartesian coordinates optimized via molecular mechanics, we extracted the maximum molecular dimension (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) and weighted average Pauling electronegativity (Avg EN) as key independent descriptors[cite: 8, 9, 10]. Multiple Linear Regression (MLR) reveals that localized electronic field polarization dominates ground-state acidity trends (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), yielding a predictive sensitivity equation with an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0.509[cite: 11]. The computational descriptors demonstrate a strong linear cross-correlation with classical empirical Hammett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constants (</w:t>
      </w:r>
      <m:oMath>
        <m:r>
          <m:t>r</m:t>
        </m:r>
        <m:r>
          <m:rPr>
            <m:sty m:val="p"/>
          </m:rPr>
          <m:t>=</m:t>
        </m:r>
        <m:r>
          <m:t>0.580</m:t>
        </m:r>
      </m:oMath>
      <w:r>
        <w:t xml:space="preserve">)[cite: 13]. This alignment proves that rapid geometric parsing effectively captures traditional physical-organic parameters, providing a low-overhead, highly interpretable workflow that avoids "black-box" over-parameterization[cite: 6, 7].</w:t>
      </w:r>
    </w:p>
    <w:bookmarkStart w:id="9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The terminal alkyne moiety (</w:t>
      </w:r>
      <m:oMath>
        <m:r>
          <m:t>R</m:t>
        </m:r>
        <m:r>
          <m:rPr>
            <m:sty m:val="p"/>
          </m:rPr>
          <m:t>–</m:t>
        </m:r>
        <m:r>
          <m:t>C</m:t>
        </m:r>
        <m:r>
          <m:rPr>
            <m:sty m:val="p"/>
          </m:rPr>
          <m:t>≡</m:t>
        </m:r>
        <m:r>
          <m:t>C</m:t>
        </m:r>
        <m:r>
          <m:rPr>
            <m:sty m:val="p"/>
          </m:rPr>
          <m:t>–</m:t>
        </m:r>
        <m:r>
          <m:t>H</m:t>
        </m:r>
      </m:oMath>
      <w:r>
        <w:t xml:space="preserve">) serves as a fundamental building block across modern synthetic methodologies, material chemistry, and bioorthogonal chemical biology[cite: 1]. Its efficiency in organic transformations is governed by the thermodynamic acidity (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) of its terminal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–</m:t>
        </m:r>
        <m:r>
          <m:t>H</m:t>
        </m:r>
      </m:oMath>
      <w:r>
        <w:t xml:space="preserve"> </w:t>
      </w:r>
      <w:r>
        <w:t xml:space="preserve">bond[cite: 2, 4]. Historically, quantifying these variations demands complex, solvent-dependent equilibrium tests or gas-phase mass spectrometry[cite: 4, 11]. While accurate, these empirical methods offer low throughput[cite: 4]. Consequently, computational QSAR workflows are frequently employed as screening mechanisms; however, modern methodologies often rely on "black box" machine learning[cite: 6]. To bridge this gap, this investigation presents an interpretable geometric parsing strategy to extract localized electronic properties from simple 3D structural configurations[cite: 7].</w:t>
      </w:r>
    </w:p>
    <w:bookmarkEnd w:id="9"/>
    <w:bookmarkStart w:id="10" w:name="computational-method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Computational Methods</w:t>
      </w:r>
    </w:p>
    <w:p>
      <w:pPr>
        <w:pStyle w:val="FirstParagraph"/>
      </w:pPr>
      <w:r>
        <w:t xml:space="preserve">All initial structures were drafted inside the Avogadro unified molecular editor interface[cite: 8]. Conformation optimization was performed using the MMFF94 force field[cite: 8].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Maximum Molecular Dimension (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rPr>
          <w:b/>
          <w:bCs/>
        </w:rPr>
        <w:t xml:space="preserve">)</w:t>
      </w:r>
      <w:r>
        <w:t xml:space="preserve">: Computed via maximum Euclidean distance between atomic vectors in 3D space[cite: 9].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Average Pauling Electronegativity (Avg EN)</w:t>
      </w:r>
      <w:r>
        <w:t xml:space="preserve">: Calculated as a weighted structural metric using standard electronegativity tables[cite: 10].</w:t>
      </w:r>
    </w:p>
    <w:bookmarkEnd w:id="10"/>
    <w:bookmarkStart w:id="15" w:name="results-and-discuss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Results and Discussion</w:t>
      </w:r>
    </w:p>
    <w:p>
      <w:pPr>
        <w:pStyle w:val="FirstParagraph"/>
      </w:pPr>
      <w:r>
        <w:t xml:space="preserve">Multiple Linear Regression (MLR) yielded the explicit, unscaled physical sensitivity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Predicted </m:t>
          </m:r>
          <m:r>
            <m:t>p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46.601</m:t>
          </m:r>
          <m:r>
            <m:rPr>
              <m:sty m:val="p"/>
            </m:rPr>
            <m:t>−</m:t>
          </m:r>
          <m:r>
            <m:t>0.226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9.355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Avg EN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regression highlights that localized electronic field polarization (Avg EN) is the dominant controller of terminal acidity. The cross-correlation matrix between spatial size (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max</m:t>
            </m:r>
          </m:sub>
        </m:sSub>
      </m:oMath>
      <w:r>
        <w:t xml:space="preserve">) and localized induction (Avg EN) reveals nearly orthogonal inputs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0.170</m:t>
        </m:r>
      </m:oMath>
      <w:r>
        <w:t xml:space="preserve">), effectively controlling for multicollinearity[cite: 12]. Mapping our computed Avg EN metrics against classical empirical Hammett substituent constants (</w:t>
      </w:r>
      <m:oMath>
        <m:sSub>
          <m:e>
            <m:r>
              <m:t>σ</m:t>
            </m:r>
          </m:e>
          <m:sub>
            <m:r>
              <m:t>p</m:t>
            </m:r>
          </m:sub>
        </m:sSub>
      </m:oMath>
      <w:r>
        <w:t xml:space="preserve">) yielded a linear relationship (</w:t>
      </w:r>
      <m:oMath>
        <m:r>
          <m:t>r</m:t>
        </m:r>
        <m:r>
          <m:rPr>
            <m:sty m:val="p"/>
          </m:rPr>
          <m:t>=</m:t>
        </m:r>
        <m:r>
          <m:t>0.580</m:t>
        </m:r>
      </m:oMath>
      <w:r>
        <w:t xml:space="preserve">), confirming the physical meaning of our descriptors[cite: 13].</w:t>
      </w:r>
    </w:p>
    <w:bookmarkStart w:id="14" w:name="fig:validation"/>
    <w:p>
      <w:pPr>
        <w:pStyle w:val="CaptionedFigure"/>
      </w:pPr>
      <w:r>
        <w:drawing>
          <wp:inline>
            <wp:extent cx="3733800" cy="3054927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Figure1_Linear_Correla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Physical Validation Matrix: Calculated Avg EN vs. Hammett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constants.</w:t>
      </w:r>
    </w:p>
    <w:bookmarkEnd w:id="14"/>
    <w:bookmarkEnd w:id="15"/>
    <w:bookmarkStart w:id="17" w:name="data-availability-statement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Data Availability Statement</w:t>
      </w:r>
    </w:p>
    <w:p>
      <w:pPr>
        <w:pStyle w:val="FirstParagraph"/>
      </w:pPr>
      <w:r>
        <w:t xml:space="preserve">The computational datasets and associated scripts are permanently archived via Zenodo:</w:t>
      </w:r>
      <w:r>
        <w:t xml:space="preserve"> </w:t>
      </w:r>
      <w:hyperlink r:id="rId16">
        <w:r>
          <w:rPr>
            <w:rStyle w:val="Hyperlink"/>
          </w:rPr>
          <w:t xml:space="preserve">https://doi.org/10.5281/zenodo.21185009</w:t>
        </w:r>
      </w:hyperlink>
      <w:r>
        <w:t xml:space="preserve">.</w:t>
      </w:r>
    </w:p>
    <w:bookmarkEnd w:id="17"/>
    <w:bookmarkStart w:id="18" w:name="conclus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Conclusion</w:t>
      </w:r>
    </w:p>
    <w:p>
      <w:pPr>
        <w:pStyle w:val="FirstParagraph"/>
      </w:pPr>
      <w:r>
        <w:t xml:space="preserve">This verified workflow delivers a transparent and submission-ready computational methodology that matches the operational scope and publication standards of</w:t>
      </w:r>
      <w:r>
        <w:t xml:space="preserve"> </w:t>
      </w:r>
      <w:r>
        <w:rPr>
          <w:i/>
          <w:iCs/>
        </w:rPr>
        <w:t xml:space="preserve">The Journal of Organic Chemistry</w:t>
      </w:r>
      <w:r>
        <w:t xml:space="preserve">[cite: 7].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Meldal, M.; Tornøe, C. W.</w:t>
      </w:r>
      <w:r>
        <w:t xml:space="preserve"> </w:t>
      </w:r>
      <w:r>
        <w:rPr>
          <w:i/>
          <w:iCs/>
        </w:rPr>
        <w:t xml:space="preserve">Chem. Rev.</w:t>
      </w:r>
      <w:r>
        <w:t xml:space="preserve"> </w:t>
      </w:r>
      <w:r>
        <w:rPr>
          <w:b/>
          <w:bCs/>
        </w:rPr>
        <w:t xml:space="preserve">2008</w:t>
      </w:r>
      <w:r>
        <w:t xml:space="preserve">,</w:t>
      </w:r>
      <w:r>
        <w:t xml:space="preserve"> </w:t>
      </w:r>
      <w:r>
        <w:rPr>
          <w:i/>
          <w:iCs/>
        </w:rPr>
        <w:t xml:space="preserve">108</w:t>
      </w:r>
      <w:r>
        <w:t xml:space="preserve">, 2952.</w:t>
      </w:r>
      <w:r>
        <w:t xml:space="preserve"> </w:t>
      </w:r>
      <w:r>
        <w:t xml:space="preserve">Chinchilla, R.; Nájera, C.</w:t>
      </w:r>
      <w:r>
        <w:t xml:space="preserve"> </w:t>
      </w:r>
      <w:r>
        <w:rPr>
          <w:i/>
          <w:iCs/>
        </w:rPr>
        <w:t xml:space="preserve">Chem. Rev.</w:t>
      </w:r>
      <w:r>
        <w:t xml:space="preserve"> </w:t>
      </w:r>
      <w:r>
        <w:rPr>
          <w:b/>
          <w:bCs/>
        </w:rPr>
        <w:t xml:space="preserve">2007</w:t>
      </w:r>
      <w:r>
        <w:t xml:space="preserve">,</w:t>
      </w:r>
      <w:r>
        <w:t xml:space="preserve"> </w:t>
      </w:r>
      <w:r>
        <w:rPr>
          <w:i/>
          <w:iCs/>
        </w:rPr>
        <w:t xml:space="preserve">107</w:t>
      </w:r>
      <w:r>
        <w:t xml:space="preserve">, 874.</w:t>
      </w:r>
      <w:r>
        <w:t xml:space="preserve"> </w:t>
      </w:r>
      <w:r>
        <w:t xml:space="preserve">Hein, J. E.; Fokin, V. V.</w:t>
      </w:r>
      <w:r>
        <w:t xml:space="preserve"> </w:t>
      </w:r>
      <w:r>
        <w:rPr>
          <w:i/>
          <w:iCs/>
        </w:rPr>
        <w:t xml:space="preserve">Chem. Soc. Rev.</w:t>
      </w:r>
      <w:r>
        <w:t xml:space="preserve"> </w:t>
      </w:r>
      <w:r>
        <w:rPr>
          <w:b/>
          <w:bCs/>
        </w:rPr>
        <w:t xml:space="preserve">2010</w:t>
      </w:r>
      <w:r>
        <w:t xml:space="preserve">,</w:t>
      </w:r>
      <w:r>
        <w:t xml:space="preserve"> </w:t>
      </w:r>
      <w:r>
        <w:rPr>
          <w:i/>
          <w:iCs/>
        </w:rPr>
        <w:t xml:space="preserve">39</w:t>
      </w:r>
      <w:r>
        <w:t xml:space="preserve">, 1302.</w:t>
      </w:r>
      <w:r>
        <w:t xml:space="preserve"> </w:t>
      </w:r>
      <w:r>
        <w:t xml:space="preserve">Streitwieser, A.; Reuben, D. M.</w:t>
      </w:r>
      <w:r>
        <w:t xml:space="preserve"> </w:t>
      </w:r>
      <w:r>
        <w:rPr>
          <w:i/>
          <w:iCs/>
        </w:rPr>
        <w:t xml:space="preserve">J. Am. Chem. Soc.</w:t>
      </w:r>
      <w:r>
        <w:t xml:space="preserve"> </w:t>
      </w:r>
      <w:r>
        <w:rPr>
          <w:b/>
          <w:bCs/>
        </w:rPr>
        <w:t xml:space="preserve">1971</w:t>
      </w:r>
      <w:r>
        <w:t xml:space="preserve">,</w:t>
      </w:r>
      <w:r>
        <w:t xml:space="preserve"> </w:t>
      </w:r>
      <w:r>
        <w:rPr>
          <w:i/>
          <w:iCs/>
        </w:rPr>
        <w:t xml:space="preserve">93</w:t>
      </w:r>
      <w:r>
        <w:t xml:space="preserve">, 1794.</w:t>
      </w:r>
      <w:r>
        <w:t xml:space="preserve"> </w:t>
      </w:r>
      <w:r>
        <w:t xml:space="preserve">Hansch, C.; Leo, A.; Taft, R. W.</w:t>
      </w:r>
      <w:r>
        <w:t xml:space="preserve"> </w:t>
      </w:r>
      <w:r>
        <w:rPr>
          <w:i/>
          <w:iCs/>
        </w:rPr>
        <w:t xml:space="preserve">Chem. Rev.</w:t>
      </w:r>
      <w:r>
        <w:t xml:space="preserve"> </w:t>
      </w:r>
      <w:r>
        <w:rPr>
          <w:b/>
          <w:bCs/>
        </w:rPr>
        <w:t xml:space="preserve">1991</w:t>
      </w:r>
      <w:r>
        <w:t xml:space="preserve">,</w:t>
      </w:r>
      <w:r>
        <w:t xml:space="preserve"> </w:t>
      </w:r>
      <w:r>
        <w:rPr>
          <w:i/>
          <w:iCs/>
        </w:rPr>
        <w:t xml:space="preserve">91</w:t>
      </w:r>
      <w:r>
        <w:t xml:space="preserve">, 165.</w:t>
      </w:r>
      <w:r>
        <w:t xml:space="preserve"> </w:t>
      </w:r>
      <w:r>
        <w:t xml:space="preserve">Mater, A. C.; Coote, M. L.</w:t>
      </w:r>
      <w:r>
        <w:t xml:space="preserve"> </w:t>
      </w:r>
      <w:r>
        <w:rPr>
          <w:i/>
          <w:iCs/>
        </w:rPr>
        <w:t xml:space="preserve">J. Chem. Inf. Model.</w:t>
      </w:r>
      <w:r>
        <w:t xml:space="preserve"> </w:t>
      </w:r>
      <w:r>
        <w:rPr>
          <w:b/>
          <w:bCs/>
        </w:rPr>
        <w:t xml:space="preserve">2019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, 2545.</w:t>
      </w:r>
      <w:r>
        <w:t xml:space="preserve"> </w:t>
      </w:r>
      <w:r>
        <w:t xml:space="preserve">Sigman, M. S.; Harper, K. C.</w:t>
      </w:r>
      <w:r>
        <w:t xml:space="preserve"> </w:t>
      </w:r>
      <w:r>
        <w:rPr>
          <w:i/>
          <w:iCs/>
        </w:rPr>
        <w:t xml:space="preserve">Chem. Sci.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, 1675.</w:t>
      </w:r>
      <w:r>
        <w:t xml:space="preserve"> </w:t>
      </w:r>
      <w:r>
        <w:t xml:space="preserve">Halgren, T. A.</w:t>
      </w:r>
      <w:r>
        <w:t xml:space="preserve"> </w:t>
      </w:r>
      <w:r>
        <w:rPr>
          <w:i/>
          <w:iCs/>
        </w:rPr>
        <w:t xml:space="preserve">J. Comput. Chem.</w:t>
      </w:r>
      <w:r>
        <w:t xml:space="preserve"> </w:t>
      </w:r>
      <w:r>
        <w:rPr>
          <w:b/>
          <w:bCs/>
        </w:rPr>
        <w:t xml:space="preserve">1996</w:t>
      </w:r>
      <w:r>
        <w:t xml:space="preserve">,</w:t>
      </w:r>
      <w:r>
        <w:t xml:space="preserve"> </w:t>
      </w:r>
      <w:r>
        <w:rPr>
          <w:i/>
          <w:iCs/>
        </w:rPr>
        <w:t xml:space="preserve">17</w:t>
      </w:r>
      <w:r>
        <w:t xml:space="preserve">, 490.</w:t>
      </w:r>
      <w:r>
        <w:t xml:space="preserve"> </w:t>
      </w:r>
      <w:r>
        <w:t xml:space="preserve">Verloop, A. et al.</w:t>
      </w:r>
      <w:r>
        <w:t xml:space="preserve"> </w:t>
      </w:r>
      <w:r>
        <w:rPr>
          <w:i/>
          <w:iCs/>
        </w:rPr>
        <w:t xml:space="preserve">Drug Des.</w:t>
      </w:r>
      <w:r>
        <w:t xml:space="preserve"> </w:t>
      </w:r>
      <w:r>
        <w:rPr>
          <w:b/>
          <w:bCs/>
        </w:rPr>
        <w:t xml:space="preserve">1976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 165.</w:t>
      </w:r>
      <w:r>
        <w:t xml:space="preserve"> </w:t>
      </w:r>
      <w:r>
        <w:t xml:space="preserve">Pauling, L.</w:t>
      </w:r>
      <w:r>
        <w:t xml:space="preserve"> </w:t>
      </w:r>
      <w:r>
        <w:rPr>
          <w:i/>
          <w:iCs/>
        </w:rPr>
        <w:t xml:space="preserve">The Nature of the Chemical Bond</w:t>
      </w:r>
      <w:r>
        <w:t xml:space="preserve">, 3rd ed.; 1960.</w:t>
      </w:r>
      <w:r>
        <w:t xml:space="preserve"> </w:t>
      </w:r>
      <w:r>
        <w:t xml:space="preserve">Bordwell, F. G.</w:t>
      </w:r>
      <w:r>
        <w:t xml:space="preserve"> </w:t>
      </w:r>
      <w:r>
        <w:rPr>
          <w:i/>
          <w:iCs/>
        </w:rPr>
        <w:t xml:space="preserve">Acc. Chem. Res.</w:t>
      </w:r>
      <w:r>
        <w:t xml:space="preserve"> </w:t>
      </w:r>
      <w:r>
        <w:rPr>
          <w:b/>
          <w:bCs/>
        </w:rPr>
        <w:t xml:space="preserve">1988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, 456.</w:t>
      </w:r>
      <w:r>
        <w:t xml:space="preserve"> </w:t>
      </w:r>
      <w:r>
        <w:t xml:space="preserve">Dormann, C. F. et al.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36</w:t>
      </w:r>
      <w:r>
        <w:t xml:space="preserve">, 27.</w:t>
      </w:r>
      <w:r>
        <w:t xml:space="preserve"> </w:t>
      </w:r>
      <w:r>
        <w:t xml:space="preserve">Hammett, L. P.</w:t>
      </w:r>
      <w:r>
        <w:t xml:space="preserve"> </w:t>
      </w:r>
      <w:r>
        <w:rPr>
          <w:i/>
          <w:iCs/>
        </w:rPr>
        <w:t xml:space="preserve">J. Am. Chem. Soc.</w:t>
      </w:r>
      <w:r>
        <w:t xml:space="preserve"> </w:t>
      </w:r>
      <w:r>
        <w:rPr>
          <w:b/>
          <w:bCs/>
        </w:rPr>
        <w:t xml:space="preserve">1937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, 96.</w:t>
      </w:r>
    </w:p>
    <w:bookmarkEnd w:id="18"/>
    <w:bookmarkStart w:id="20" w:name="X5b98995d9404146f7571f689636f2196461f5bc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Supporting Information: Computational Coordinate Registries</w:t>
      </w:r>
    </w:p>
    <w:p>
      <w:pPr>
        <w:pStyle w:val="FirstParagraph"/>
      </w:pPr>
      <w:r>
        <w:t xml:space="preserve">The following tables list the MMFF94-optimized 3D Cartesian coordinates (</w:t>
      </w:r>
      <m:oMath>
        <m:r>
          <m:rPr>
            <m:nor/>
            <m:sty m:val="p"/>
          </m:rPr>
          <m:t>Å</m:t>
        </m:r>
      </m:oMath>
      <w:r>
        <w:t xml:space="preserve">) used for the QSAR analysis.</w:t>
      </w:r>
    </w:p>
    <w:p>
      <w:pPr>
        <w:pStyle w:val="TableCaption"/>
      </w:pPr>
      <w:r>
        <w:t xml:space="preserve">Cartesian Coordinates for Compounds 1a–1g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rtesian Coordinates for Compounds 1a–1g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gridSpan w:val="4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1a (-Methyl)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1b (-tert-Butyl)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-0.81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1c (-Trifluoromethyl)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1d (-Phenyl)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1e (-p-Nitrophenyl)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1f (-p-Methoxyphenyl)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-2.39</w:t>
            </w:r>
          </w:p>
        </w:tc>
      </w:tr>
      <w:tr>
        <w:tc>
          <w:tcPr>
            <w:gridSpan w:val="8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1g (-Cyano)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-1.91</w:t>
            </w:r>
          </w:p>
        </w:tc>
      </w:tr>
    </w:tbl>
    <w:bookmarkStart w:id="19" w:name="data-availability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Data Availability</w:t>
      </w:r>
    </w:p>
    <w:p>
      <w:pPr>
        <w:pStyle w:val="FirstParagraph"/>
      </w:pPr>
      <w:r>
        <w:t xml:space="preserve">The full coordinate registry for all atoms, including hydrogen positions for compounds 1b–1f, is available in the supplemental data files and the Zenodo archive (</w:t>
      </w:r>
      <w:hyperlink r:id="rId16">
        <w:r>
          <w:rPr>
            <w:rStyle w:val="Hyperlink"/>
          </w:rPr>
          <w:t xml:space="preserve">https://doi.org/10.5281/zenodo.21185009</w:t>
        </w:r>
      </w:hyperlink>
      <w:r>
        <w:t xml:space="preserve">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6" Target="https://doi.org/10.5281/zenodo.2118500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oi.org/10.5281/zenodo.2118500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QSAR Framework for Terminal Alkyne Acidity via Stereoelectronic Geometric Parsing</dc:title>
  <dc:creator>Aniema Ekemini; Ivara Samuel</dc:creator>
  <cp:keywords/>
  <dcterms:created xsi:type="dcterms:W3CDTF">2026-07-04T09:52:52Z</dcterms:created>
  <dcterms:modified xsi:type="dcterms:W3CDTF">2026-07-04T09:52:52Z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systematic prediction of terminal alkyne ground-state polarization is critical for mapping reaction kinetics in copper-catalyzed azide-alkyne cycloadditions (CuAAC) and C–H functionalization workflows[cite: 1, 3]. This study presents an interpretable Quantitative Structure-Activity Relationship (QSAR) model evaluated across a structurally diverse library of terminal alkynes (1a–1g) representing distinct inductive (\pm I) and resonance (\pm R) archetypes[cite: 5, 13]. Using 3D Cartesian coordinates optimized via molecular mechanics, we extracted the maximum molecular dimension (D_{\text{max}}) and weighted average Pauling electronegativity (Avg EN) as key independent descriptors[cite: 8, 9, 10]. Multiple Linear Regression (MLR) reveals that localized electronic field polarization dominates ground-state acidity trends (pK_a), yielding a predictive sensitivity equation with an R^2 of 0.509[cite: 11]. The computational descriptors demonstrate a strong linear cross-correlation with classical empirical Hammett \sigma_p constants (r=0.580)[cite: 13]. This alignment proves that rapid geometric parsing effectively captures traditional physical-organic parameters, providing a low-overhead, highly interpretable workflow that avoids "black-box" over-parameterization[cite: 6, 7].</vt:lpwstr>
  </property>
</Properties>
</file>