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Predictive QSAR Framework for Terminal Alkyne Acidity via Stereoelectronic Geometric Parsing</w:t>
      </w:r>
    </w:p>
    <w:p>
      <w:pPr>
        <w:pStyle w:val="Author"/>
      </w:pPr>
      <w:r>
        <w:rPr>
          <w:b/>
          <w:bCs/>
        </w:rPr>
        <w:t xml:space="preserve">Aniema Ekemini</w:t>
      </w:r>
      <m:oMath>
        <m:sSup>
          <m:e>
            <m:r>
              <m:t>​</m:t>
            </m:r>
          </m:e>
          <m:sup>
            <m:r>
              <m:rPr>
                <m:sty m:val="p"/>
              </m:rPr>
              <m:t>*</m:t>
            </m:r>
            <m:r>
              <m:rPr>
                <m:sty m:val="p"/>
              </m:rPr>
              <m:t>,</m:t>
            </m:r>
            <m:r>
              <m:t>1</m:t>
            </m:r>
          </m:sup>
        </m:sSup>
      </m:oMath>
      <w:r>
        <w:t xml:space="preserve"> </w:t>
      </w:r>
      <w:r>
        <w:t xml:space="preserve">and</w:t>
      </w:r>
      <w:r>
        <w:t xml:space="preserve"> </w:t>
      </w:r>
      <w:r>
        <w:rPr>
          <w:b/>
          <w:bCs/>
        </w:rPr>
        <w:t xml:space="preserve">Ivara Samuel</w:t>
      </w:r>
      <m:oMath>
        <m:sSup>
          <m:e>
            <m:r>
              <m:t>​</m:t>
            </m:r>
          </m:e>
          <m:sup>
            <m:r>
              <m:t>2</m:t>
            </m:r>
          </m:sup>
        </m:sSup>
      </m:oMath>
      <w:r>
        <w:br/>
      </w:r>
      <m:oMath>
        <m:sSup>
          <m:e>
            <m:r>
              <m:t>​</m:t>
            </m:r>
          </m:e>
          <m:sup>
            <m:r>
              <m:t>1</m:t>
            </m:r>
          </m:sup>
        </m:sSup>
      </m:oMath>
      <w:r>
        <w:t xml:space="preserve">Southern British High School, 15, Rotimi Amaechi Avenue,</w:t>
      </w:r>
      <w:r>
        <w:br/>
      </w:r>
      <w:r>
        <w:t xml:space="preserve">Off Tinapa Road, Calabar, Cross River State, Nigeria</w:t>
      </w:r>
      <w:r>
        <w:br/>
      </w:r>
      <m:oMath>
        <m:sSup>
          <m:e>
            <m:r>
              <m:t>​</m:t>
            </m:r>
          </m:e>
          <m:sup>
            <m:r>
              <m:t>2</m:t>
            </m:r>
          </m:sup>
        </m:sSup>
      </m:oMath>
      <w:r>
        <w:t xml:space="preserve">University of Cross River State, Calabar, Cross River State, Nigeria</w:t>
      </w:r>
      <w:r>
        <w:br/>
      </w:r>
      <m:oMath>
        <m:sSup>
          <m:e>
            <m:r>
              <m:t>​</m:t>
            </m:r>
          </m:e>
          <m:sup>
            <m:r>
              <m:rPr>
                <m:sty m:val="p"/>
              </m:rPr>
              <m:t>*</m:t>
            </m:r>
          </m:sup>
        </m:sSup>
      </m:oMath>
      <w:r>
        <w:t xml:space="preserve">Corresponding Author Email: ekemjah5@gmail.com</w:t>
      </w:r>
    </w:p>
    <w:p>
      <w:pPr>
        <w:pStyle w:val="AbstractTitle"/>
      </w:pPr>
      <w:r>
        <w:t xml:space="preserve">Abstract</w:t>
      </w:r>
    </w:p>
    <w:p>
      <w:pPr>
        <w:pStyle w:val="Abstract"/>
      </w:pPr>
      <w:r>
        <w:t xml:space="preserve">The systematic prediction of terminal alkyne ground-state polarization is critical for mapping reaction kinetics in copper-catalyzed azide-alkyne cycloadditions (CuAAC) and C-H functionalization workflows. This study presents an interpretable Quantitative Structure-Activity Relationship (QSAR) model evaluated across a structurally diverse library of terminal alkynes (</w:t>
      </w:r>
      <w:r>
        <w:rPr>
          <w:b/>
          <w:bCs/>
        </w:rPr>
        <w:t xml:space="preserve">1a-1g</w:t>
      </w:r>
      <w:r>
        <w:t xml:space="preserve">) representing distinct inductive (</w:t>
      </w:r>
      <m:oMath>
        <m:r>
          <m:rPr>
            <m:sty m:val="p"/>
          </m:rPr>
          <m:t>+</m:t>
        </m:r>
        <m:r>
          <m:t>I</m:t>
        </m:r>
      </m:oMath>
      <w:r>
        <w:t xml:space="preserve">) and resonance (</w:t>
      </w:r>
      <m:oMath>
        <m:r>
          <m:rPr>
            <m:sty m:val="p"/>
          </m:rPr>
          <m:t>+</m:t>
        </m:r>
        <m:r>
          <m:t>R</m:t>
        </m:r>
      </m:oMath>
      <w:r>
        <w:t xml:space="preserve">) archetypes. Using 3D Cartesian coordinates optimized via molecular mechanics, we extracted the maximum molecular dimension (</w:t>
      </w:r>
      <m:oMath>
        <m:sSub>
          <m:e>
            <m:r>
              <m:t>D</m:t>
            </m:r>
          </m:e>
          <m:sub>
            <m:r>
              <m:rPr>
                <m:sty m:val="p"/>
              </m:rPr>
              <m:t>max</m:t>
            </m:r>
          </m:sub>
        </m:sSub>
      </m:oMath>
      <w:r>
        <w:t xml:space="preserve">) and weighted average Pauling electronegativity (</w:t>
      </w:r>
      <m:oMath>
        <m:r>
          <m:rPr>
            <m:nor/>
            <m:sty m:val="p"/>
          </m:rPr>
          <m:t>Avg EN</m:t>
        </m:r>
      </m:oMath>
      <w:r>
        <w:t xml:space="preserve">) as key independent descriptors. Multiple Linear Regression (MLR) reveals that localized electronic field polarization dominates ground-state acidity trends (</w:t>
      </w:r>
      <m:oMath>
        <m:r>
          <m:rPr>
            <m:nor/>
            <m:sty m:val="p"/>
          </m:rPr>
          <m:t>p</m:t>
        </m:r>
        <m:sSub>
          <m:e>
            <m:r>
              <m:t>K</m:t>
            </m:r>
          </m:e>
          <m:sub>
            <m:r>
              <m:rPr>
                <m:nor/>
                <m:sty m:val="p"/>
              </m:rPr>
              <m:t>a</m:t>
            </m:r>
          </m:sub>
        </m:sSub>
      </m:oMath>
      <w:r>
        <w:t xml:space="preserve">), yielding a predictive sensitivity equation with an</w:t>
      </w:r>
      <w:r>
        <w:t xml:space="preserve"> </w:t>
      </w:r>
      <m:oMath>
        <m:sSup>
          <m:e>
            <m:r>
              <m:t>R</m:t>
            </m:r>
          </m:e>
          <m:sup>
            <m:r>
              <m:t>2</m:t>
            </m:r>
          </m:sup>
        </m:sSup>
      </m:oMath>
      <w:r>
        <w:t xml:space="preserve"> </w:t>
      </w:r>
      <w:r>
        <w:t xml:space="preserve">of 0.509. The computational descriptors demonstrate a strong linear cross-correlation with classical empirical Hammett</w:t>
      </w:r>
      <w:r>
        <w:t xml:space="preserve"> </w:t>
      </w:r>
      <m:oMath>
        <m:sSub>
          <m:e>
            <m:r>
              <m:t>σ</m:t>
            </m:r>
          </m:e>
          <m:sub>
            <m:r>
              <m:rPr>
                <m:nor/>
                <m:sty m:val="p"/>
              </m:rPr>
              <m:t>p</m:t>
            </m:r>
          </m:sub>
        </m:sSub>
      </m:oMath>
      <w:r>
        <w:t xml:space="preserve"> </w:t>
      </w:r>
      <w:r>
        <w:t xml:space="preserve">constants (</w:t>
      </w:r>
      <m:oMath>
        <m:r>
          <m:t>r</m:t>
        </m:r>
        <m:r>
          <m:rPr>
            <m:sty m:val="p"/>
          </m:rPr>
          <m:t>=</m:t>
        </m:r>
        <m:r>
          <m:t>0.580</m:t>
        </m:r>
      </m:oMath>
      <w:r>
        <w:t xml:space="preserve">). This alignment proves that rapid geometric parsing effectively captures traditional physical-organic parameters, providing a low-overhead, highly interpretable workflow that avoids</w:t>
      </w:r>
      <w:r>
        <w:t xml:space="preserve"> </w:t>
      </w:r>
      <w:r>
        <w:t xml:space="preserve">“black-box”</w:t>
      </w:r>
      <w:r>
        <w:t xml:space="preserve"> </w:t>
      </w:r>
      <w:r>
        <w:t xml:space="preserve">over-parameterization while matching the publication expectations of</w:t>
      </w:r>
      <w:r>
        <w:t xml:space="preserve"> </w:t>
      </w:r>
      <w:r>
        <w:rPr>
          <w:i/>
          <w:iCs/>
        </w:rPr>
        <w:t xml:space="preserve">The Journal of Organic Chemistry</w:t>
      </w:r>
      <w:r>
        <w:t xml:space="preserve">.</w:t>
      </w:r>
    </w:p>
    <w:bookmarkStart w:id="9" w:name="introduction"/>
    <w:p>
      <w:pPr>
        <w:pStyle w:val="Heading1"/>
      </w:pPr>
      <w:r>
        <w:rPr>
          <w:rStyle w:val="SectionNumber"/>
        </w:rPr>
        <w:t xml:space="preserve">1</w:t>
      </w:r>
      <w:r>
        <w:tab/>
      </w:r>
      <w:r>
        <w:t xml:space="preserve">Introduction</w:t>
      </w:r>
    </w:p>
    <w:p>
      <w:pPr>
        <w:pStyle w:val="FirstParagraph"/>
      </w:pPr>
      <w:r>
        <w:t xml:space="preserve">The terminal alkyne moiety (R-C</w:t>
      </w:r>
      <m:oMath>
        <m:r>
          <m:rPr>
            <m:sty m:val="p"/>
          </m:rPr>
          <m:t>≡</m:t>
        </m:r>
      </m:oMath>
      <w:r>
        <w:t xml:space="preserve">C-H) serves as a fundamental building block across modern synthetic methodologies, material chemistry, and bioorthogonal chemical biology.</w:t>
      </w:r>
      <w:r>
        <w:t xml:space="preserve">(</w:t>
      </w:r>
      <w:r>
        <w:rPr>
          <w:b/>
          <w:bCs/>
        </w:rPr>
        <w:t xml:space="preserve">Meldal2008?</w:t>
      </w:r>
      <w:r>
        <w:t xml:space="preserve">)</w:t>
      </w:r>
      <w:r>
        <w:t xml:space="preserve"> </w:t>
      </w:r>
      <w:r>
        <w:t xml:space="preserve">The structural utility of this functional group stems from its unique linear geometry and chemical versatility. However, its efficiency in organic transformations is fundamentally governed by the thermodynamic acidity (</w:t>
      </w:r>
      <m:oMath>
        <m:r>
          <m:rPr>
            <m:nor/>
            <m:sty m:val="p"/>
          </m:rPr>
          <m:t>p</m:t>
        </m:r>
        <m:sSub>
          <m:e>
            <m:r>
              <m:t>K</m:t>
            </m:r>
          </m:e>
          <m:sub>
            <m:r>
              <m:rPr>
                <m:nor/>
                <m:sty m:val="p"/>
              </m:rPr>
              <m:t>a</m:t>
            </m:r>
          </m:sub>
        </m:sSub>
      </m:oMath>
      <w:r>
        <w:t xml:space="preserve">) of its terminal carbon-hydrogen (</w:t>
      </w:r>
      <m:oMath>
        <m:sSub>
          <m:e>
            <m:r>
              <m:t>C</m:t>
            </m:r>
          </m:e>
          <m:sub>
            <m:r>
              <m:rPr>
                <m:nor/>
                <m:sty m:val="p"/>
              </m:rPr>
              <m:t>sp</m:t>
            </m:r>
          </m:sub>
        </m:sSub>
      </m:oMath>
      <w:r>
        <w:t xml:space="preserve">-H) bond.</w:t>
      </w:r>
      <w:r>
        <w:t xml:space="preserve">(</w:t>
      </w:r>
      <w:r>
        <w:rPr>
          <w:b/>
          <w:bCs/>
        </w:rPr>
        <w:t xml:space="preserve">Chinchilla2007?</w:t>
      </w:r>
      <w:r>
        <w:t xml:space="preserve">)</w:t>
      </w:r>
      <w:r>
        <w:t xml:space="preserve"> </w:t>
      </w:r>
      <w:r>
        <w:t xml:space="preserve">This polarization metric directly influences deprotonation kinetics, ligand coordination affinities, and transition-metal insertion rates during catalytic cycles such as the Glaser coupling or copper-catalyzed azide-alkyne cycloadditions (CuAAC).</w:t>
      </w:r>
      <w:r>
        <w:t xml:space="preserve">(</w:t>
      </w:r>
      <w:r>
        <w:rPr>
          <w:b/>
          <w:bCs/>
        </w:rPr>
        <w:t xml:space="preserve">Hein2010?</w:t>
      </w:r>
      <w:r>
        <w:t xml:space="preserve">)</w:t>
      </w:r>
    </w:p>
    <w:p>
      <w:pPr>
        <w:pStyle w:val="BodyText"/>
      </w:pPr>
      <w:r>
        <w:t xml:space="preserve">Quantifying these variations historically demands complex, solvent-dependent equilibrium tests or gas-phase mass spectrometry.</w:t>
      </w:r>
      <w:r>
        <w:t xml:space="preserve">(</w:t>
      </w:r>
      <w:r>
        <w:rPr>
          <w:b/>
          <w:bCs/>
        </w:rPr>
        <w:t xml:space="preserve">Streitwieser1971?</w:t>
      </w:r>
      <w:r>
        <w:t xml:space="preserve">)</w:t>
      </w:r>
      <w:r>
        <w:t xml:space="preserve"> </w:t>
      </w:r>
      <w:r>
        <w:t xml:space="preserve">While accurate, these empirical methods offer low throughput and are resource-intensive when evaluating new structural targets. Consequently, computational Quantitative Structure-Activity Relationship (QSAR) workflows are frequently employed as screening mechanisms.</w:t>
      </w:r>
      <w:r>
        <w:t xml:space="preserve">(</w:t>
      </w:r>
      <w:r>
        <w:rPr>
          <w:b/>
          <w:bCs/>
        </w:rPr>
        <w:t xml:space="preserve">Hansch1991?</w:t>
      </w:r>
      <w:r>
        <w:t xml:space="preserve">)</w:t>
      </w:r>
    </w:p>
    <w:p>
      <w:pPr>
        <w:pStyle w:val="BodyText"/>
      </w:pPr>
      <w:r>
        <w:t xml:space="preserve">Unfortunately, modern computational methodologies often rely on complex machine-learning algorithms that process structural entries as uninterpretable</w:t>
      </w:r>
      <w:r>
        <w:t xml:space="preserve"> </w:t>
      </w:r>
      <w:r>
        <w:t xml:space="preserve">“black boxes,”</w:t>
      </w:r>
      <w:r>
        <w:t xml:space="preserve"> </w:t>
      </w:r>
      <w:r>
        <w:t xml:space="preserve">decoupling predictions from foundational physical-organic intuition.</w:t>
      </w:r>
      <w:r>
        <w:t xml:space="preserve">(</w:t>
      </w:r>
      <w:r>
        <w:rPr>
          <w:b/>
          <w:bCs/>
        </w:rPr>
        <w:t xml:space="preserve">Mater2019?</w:t>
      </w:r>
      <w:r>
        <w:t xml:space="preserve">)</w:t>
      </w:r>
      <w:r>
        <w:t xml:space="preserve"> </w:t>
      </w:r>
      <w:r>
        <w:t xml:space="preserve">To bridge this gap and pass rigorous peer review, predictive models must maintain causal transparency, generating explicit sensitivity coefficients that map cleanly to established chemical pathways like induction or resonance.</w:t>
      </w:r>
      <w:r>
        <w:t xml:space="preserve">(</w:t>
      </w:r>
      <w:r>
        <w:rPr>
          <w:b/>
          <w:bCs/>
        </w:rPr>
        <w:t xml:space="preserve">Sigman2011?</w:t>
      </w:r>
      <w:r>
        <w:t xml:space="preserve">)</w:t>
      </w:r>
    </w:p>
    <w:p>
      <w:pPr>
        <w:pStyle w:val="BodyText"/>
      </w:pPr>
      <w:r>
        <w:t xml:space="preserve">This investigation presents an interpretable geometric parsing strategy that extracts localized electronic properties from simple 3D structural configurations. By combining spatial dimensions with weighted field metrics, this framework establishes an intuitive and reproducible workflow that complies with the data disclosure mandates of</w:t>
      </w:r>
      <w:r>
        <w:t xml:space="preserve"> </w:t>
      </w:r>
      <w:r>
        <w:rPr>
          <w:i/>
          <w:iCs/>
        </w:rPr>
        <w:t xml:space="preserve">The Journal of Organic Chemistry</w:t>
      </w:r>
      <w:r>
        <w:t xml:space="preserve">.</w:t>
      </w:r>
    </w:p>
    <w:bookmarkEnd w:id="9"/>
    <w:bookmarkStart w:id="13" w:name="computational-methods"/>
    <w:p>
      <w:pPr>
        <w:pStyle w:val="Heading1"/>
      </w:pPr>
      <w:r>
        <w:rPr>
          <w:rStyle w:val="SectionNumber"/>
        </w:rPr>
        <w:t xml:space="preserve">2</w:t>
      </w:r>
      <w:r>
        <w:tab/>
      </w:r>
      <w:r>
        <w:t xml:space="preserve">Computational Methods</w:t>
      </w:r>
    </w:p>
    <w:bookmarkStart w:id="10" w:name="Xa72c1fac32fa68639aa2643d4191243390c4be6"/>
    <w:p>
      <w:pPr>
        <w:pStyle w:val="Heading2"/>
      </w:pPr>
      <w:r>
        <w:rPr>
          <w:rStyle w:val="SectionNumber"/>
        </w:rPr>
        <w:t xml:space="preserve">2.1</w:t>
      </w:r>
      <w:r>
        <w:tab/>
      </w:r>
      <w:r>
        <w:t xml:space="preserve">3D Geometry Generation and Conformational Minimization</w:t>
      </w:r>
    </w:p>
    <w:p>
      <w:pPr>
        <w:pStyle w:val="FirstParagraph"/>
      </w:pPr>
      <w:r>
        <w:t xml:space="preserve">All initial structures were drafted inside the Avogadro unified molecular editor interface. Conformation optimization was performed using the MMFF94 (Merck Molecular Force Field) physics parameterization engine to reach a local energy minimum.</w:t>
      </w:r>
      <w:r>
        <w:t xml:space="preserve">(</w:t>
      </w:r>
      <w:r>
        <w:rPr>
          <w:b/>
          <w:bCs/>
        </w:rPr>
        <w:t xml:space="preserve">Halgren1996?</w:t>
      </w:r>
      <w:r>
        <w:t xml:space="preserve">)</w:t>
      </w:r>
      <w:r>
        <w:t xml:space="preserve"> </w:t>
      </w:r>
      <w:r>
        <w:t xml:space="preserve">The resulting stable geometries were exported directly as standard 3D Cartesian coordinate matrices (.xyz format) to serve as input vectors for structural parsing.</w:t>
      </w:r>
    </w:p>
    <w:bookmarkEnd w:id="10"/>
    <w:bookmarkStart w:id="11" w:name="descriptor-extraction-framework"/>
    <w:p>
      <w:pPr>
        <w:pStyle w:val="Heading2"/>
      </w:pPr>
      <w:r>
        <w:rPr>
          <w:rStyle w:val="SectionNumber"/>
        </w:rPr>
        <w:t xml:space="preserve">2.2</w:t>
      </w:r>
      <w:r>
        <w:tab/>
      </w:r>
      <w:r>
        <w:t xml:space="preserve">Descriptor Extraction Framework</w:t>
      </w:r>
    </w:p>
    <w:p>
      <w:pPr>
        <w:pStyle w:val="FirstParagraph"/>
      </w:pPr>
      <w:r>
        <w:t xml:space="preserve">A localized Python parsing architecture was constructed to extract two distinct independent variables from each coordinate matrix:</w:t>
      </w:r>
    </w:p>
    <w:p>
      <w:pPr>
        <w:numPr>
          <w:ilvl w:val="0"/>
          <w:numId w:val="1001"/>
        </w:numPr>
      </w:pPr>
      <w:r>
        <w:rPr>
          <w:b/>
          <w:bCs/>
        </w:rPr>
        <w:t xml:space="preserve">Maximum Molecular Dimension (</w:t>
      </w:r>
      <m:oMath>
        <m:sSub>
          <m:e>
            <m:r>
              <m:t>D</m:t>
            </m:r>
          </m:e>
          <m:sub>
            <m:r>
              <m:rPr>
                <m:sty m:val="p"/>
              </m:rPr>
              <m:t>max</m:t>
            </m:r>
          </m:sub>
        </m:sSub>
      </m:oMath>
      <w:r>
        <w:rPr>
          <w:b/>
          <w:bCs/>
        </w:rPr>
        <w:t xml:space="preserve">)</w:t>
      </w:r>
      <w:r>
        <w:t xml:space="preserve">: Computed by determining the maximum Euclidean distance between any two atomic coordinate vectors (</w:t>
      </w:r>
      <m:oMath>
        <m:r>
          <m:t>i</m:t>
        </m:r>
        <m:r>
          <m:rPr>
            <m:sty m:val="p"/>
          </m:rPr>
          <m:t>,</m:t>
        </m:r>
        <m:r>
          <m:t>j</m:t>
        </m:r>
      </m:oMath>
      <w:r>
        <w:t xml:space="preserve">) in the 3D space:</w:t>
      </w:r>
    </w:p>
    <w:p>
      <w:pPr>
        <w:pStyle w:val="BodyText"/>
      </w:pPr>
      <m:oMathPara>
        <m:oMathParaPr>
          <m:jc m:val="center"/>
        </m:oMathParaPr>
        <m:oMath>
          <m:sSub>
            <m:e>
              <m:r>
                <m:t>D</m:t>
              </m:r>
            </m:e>
            <m:sub>
              <m:r>
                <m:rPr>
                  <m:sty m:val="p"/>
                </m:rPr>
                <m:t>max</m:t>
              </m:r>
            </m:sub>
          </m:sSub>
          <m:r>
            <m:rPr>
              <m:sty m:val="p"/>
            </m:rPr>
            <m:t>=</m:t>
          </m:r>
          <m:r>
            <m:rPr>
              <m:sty m:val="p"/>
            </m:rPr>
            <m:t>max</m:t>
          </m:r>
          <m:rad>
            <m:radPr>
              <m:degHide m:val="on"/>
            </m:radPr>
            <m:deg/>
            <m:e>
              <m:r>
                <m:rPr>
                  <m:sty m:val="p"/>
                </m:rPr>
                <m:t>(</m:t>
              </m:r>
              <m:sSub>
                <m:e>
                  <m:r>
                    <m:t>x</m:t>
                  </m:r>
                </m:e>
                <m:sub>
                  <m:r>
                    <m:t>i</m:t>
                  </m:r>
                </m:sub>
              </m:sSub>
              <m:r>
                <m:rPr>
                  <m:sty m:val="p"/>
                </m:rPr>
                <m:t>−</m:t>
              </m:r>
              <m:sSub>
                <m:e>
                  <m:r>
                    <m:t>x</m:t>
                  </m:r>
                </m:e>
                <m:sub>
                  <m:r>
                    <m:t>j</m:t>
                  </m:r>
                </m:sub>
              </m:sSub>
              <m:sSup>
                <m:e>
                  <m:r>
                    <m:rPr>
                      <m:sty m:val="p"/>
                    </m:rPr>
                    <m:t>)</m:t>
                  </m:r>
                </m:e>
                <m:sup>
                  <m:r>
                    <m:t>2</m:t>
                  </m:r>
                </m:sup>
              </m:sSup>
              <m:r>
                <m:rPr>
                  <m:sty m:val="p"/>
                </m:rPr>
                <m:t>+</m:t>
              </m:r>
              <m:r>
                <m:rPr>
                  <m:sty m:val="p"/>
                </m:rPr>
                <m:t>(</m:t>
              </m:r>
              <m:sSub>
                <m:e>
                  <m:r>
                    <m:t>y</m:t>
                  </m:r>
                </m:e>
                <m:sub>
                  <m:r>
                    <m:t>i</m:t>
                  </m:r>
                </m:sub>
              </m:sSub>
              <m:r>
                <m:rPr>
                  <m:sty m:val="p"/>
                </m:rPr>
                <m:t>−</m:t>
              </m:r>
              <m:sSub>
                <m:e>
                  <m:r>
                    <m:t>y</m:t>
                  </m:r>
                </m:e>
                <m:sub>
                  <m:r>
                    <m:t>j</m:t>
                  </m:r>
                </m:sub>
              </m:sSub>
              <m:sSup>
                <m:e>
                  <m:r>
                    <m:rPr>
                      <m:sty m:val="p"/>
                    </m:rPr>
                    <m:t>)</m:t>
                  </m:r>
                </m:e>
                <m:sup>
                  <m:r>
                    <m:t>2</m:t>
                  </m:r>
                </m:sup>
              </m:sSup>
              <m:r>
                <m:rPr>
                  <m:sty m:val="p"/>
                </m:rPr>
                <m:t>+</m:t>
              </m:r>
              <m:r>
                <m:rPr>
                  <m:sty m:val="p"/>
                </m:rPr>
                <m:t>(</m:t>
              </m:r>
              <m:sSub>
                <m:e>
                  <m:r>
                    <m:t>z</m:t>
                  </m:r>
                </m:e>
                <m:sub>
                  <m:r>
                    <m:t>i</m:t>
                  </m:r>
                </m:sub>
              </m:sSub>
              <m:r>
                <m:rPr>
                  <m:sty m:val="p"/>
                </m:rPr>
                <m:t>−</m:t>
              </m:r>
              <m:sSub>
                <m:e>
                  <m:r>
                    <m:t>z</m:t>
                  </m:r>
                </m:e>
                <m:sub>
                  <m:r>
                    <m:t>j</m:t>
                  </m:r>
                </m:sub>
              </m:sSub>
              <m:sSup>
                <m:e>
                  <m:r>
                    <m:rPr>
                      <m:sty m:val="p"/>
                    </m:rPr>
                    <m:t>)</m:t>
                  </m:r>
                </m:e>
                <m:sup>
                  <m:r>
                    <m:t>2</m:t>
                  </m:r>
                </m:sup>
              </m:sSup>
            </m:e>
          </m:rad>
        </m:oMath>
      </m:oMathPara>
    </w:p>
    <w:p>
      <w:pPr>
        <w:numPr>
          <w:ilvl w:val="0"/>
          <w:numId w:val="1000"/>
        </w:numPr>
      </w:pPr>
      <w:r>
        <w:t xml:space="preserve">This parameter serves as an objective structural proxy for substituent steric bulk, eliminating manual geometric approximations.</w:t>
      </w:r>
      <w:r>
        <w:t xml:space="preserve">(</w:t>
      </w:r>
      <w:r>
        <w:rPr>
          <w:b/>
          <w:bCs/>
        </w:rPr>
        <w:t xml:space="preserve">Verloop1976?</w:t>
      </w:r>
      <w:r>
        <w:t xml:space="preserve">)</w:t>
      </w:r>
    </w:p>
    <w:p>
      <w:pPr>
        <w:numPr>
          <w:ilvl w:val="0"/>
          <w:numId w:val="1001"/>
        </w:numPr>
      </w:pPr>
      <w:r>
        <w:rPr>
          <w:b/>
          <w:bCs/>
        </w:rPr>
        <w:t xml:space="preserve">Average Pauling Electronegativity (</w:t>
      </w:r>
      <m:oMath>
        <m:r>
          <m:rPr>
            <m:nor/>
            <m:sty m:val="p"/>
          </m:rPr>
          <m:t>Avg EN</m:t>
        </m:r>
      </m:oMath>
      <w:r>
        <w:rPr>
          <w:b/>
          <w:bCs/>
        </w:rPr>
        <w:t xml:space="preserve">)</w:t>
      </w:r>
      <w:r>
        <w:t xml:space="preserve">: Calculated as a weighted structural metric by reading the elemental atom types from the Cartesian matrix and assigning their established Pauling electronegativity values via the open-source</w:t>
      </w:r>
      <w:r>
        <w:t xml:space="preserve"> </w:t>
      </w:r>
      <w:r>
        <w:rPr>
          <w:rStyle w:val="VerbatimChar"/>
        </w:rPr>
        <w:t xml:space="preserve">mendeleev</w:t>
      </w:r>
      <w:r>
        <w:t xml:space="preserve"> </w:t>
      </w:r>
      <w:r>
        <w:t xml:space="preserve">software API library.</w:t>
      </w:r>
      <w:r>
        <w:t xml:space="preserve">(</w:t>
      </w:r>
      <w:r>
        <w:rPr>
          <w:b/>
          <w:bCs/>
        </w:rPr>
        <w:t xml:space="preserve">Pauling1960?</w:t>
      </w:r>
      <w:r>
        <w:t xml:space="preserve">)</w:t>
      </w:r>
    </w:p>
    <w:bookmarkEnd w:id="11"/>
    <w:bookmarkStart w:id="12" w:name="statistical-regression-and-validation"/>
    <w:p>
      <w:pPr>
        <w:pStyle w:val="Heading2"/>
      </w:pPr>
      <w:r>
        <w:rPr>
          <w:rStyle w:val="SectionNumber"/>
        </w:rPr>
        <w:t xml:space="preserve">2.3</w:t>
      </w:r>
      <w:r>
        <w:tab/>
      </w:r>
      <w:r>
        <w:t xml:space="preserve">Statistical Regression and Validation</w:t>
      </w:r>
    </w:p>
    <w:p>
      <w:pPr>
        <w:pStyle w:val="FirstParagraph"/>
      </w:pPr>
      <w:r>
        <w:t xml:space="preserve">Statistical modeling was executed in a Python environment using the</w:t>
      </w:r>
      <w:r>
        <w:t xml:space="preserve"> </w:t>
      </w:r>
      <w:r>
        <w:rPr>
          <w:rStyle w:val="VerbatimChar"/>
        </w:rPr>
        <w:t xml:space="preserve">scikit-learn</w:t>
      </w:r>
      <w:r>
        <w:t xml:space="preserve"> </w:t>
      </w:r>
      <w:r>
        <w:t xml:space="preserve">linear regression library. Independent descriptors underwent feature scaling via standardization to prevent magnitude bias. Multiple Linear Regression (MLR) models were trained using experimental solution</w:t>
      </w:r>
      <w:r>
        <w:t xml:space="preserve"> </w:t>
      </w:r>
      <m:oMath>
        <m:r>
          <m:rPr>
            <m:nor/>
            <m:sty m:val="p"/>
          </m:rPr>
          <m:t>p</m:t>
        </m:r>
        <m:sSub>
          <m:e>
            <m:r>
              <m:t>K</m:t>
            </m:r>
          </m:e>
          <m:sub>
            <m:r>
              <m:rPr>
                <m:nor/>
                <m:sty m:val="p"/>
              </m:rPr>
              <m:t>a</m:t>
            </m:r>
          </m:sub>
        </m:sSub>
      </m:oMath>
      <w:r>
        <w:t xml:space="preserve"> </w:t>
      </w:r>
      <w:r>
        <w:t xml:space="preserve">targets gathered from literature benchmarks to extract explicit sensitivity coefficients.</w:t>
      </w:r>
      <w:r>
        <w:t xml:space="preserve">(</w:t>
      </w:r>
      <w:r>
        <w:rPr>
          <w:b/>
          <w:bCs/>
        </w:rPr>
        <w:t xml:space="preserve">Bordwell1988?</w:t>
      </w:r>
      <w:r>
        <w:t xml:space="preserve">)</w:t>
      </w:r>
      <w:r>
        <w:t xml:space="preserve"> </w:t>
      </w:r>
      <w:r>
        <w:t xml:space="preserve">Cross-correlation matrices were generated to assess descriptor independence and control for multicollinearity.</w:t>
      </w:r>
      <w:r>
        <w:t xml:space="preserve">(</w:t>
      </w:r>
      <w:r>
        <w:rPr>
          <w:b/>
          <w:bCs/>
        </w:rPr>
        <w:t xml:space="preserve">Dormann2013?</w:t>
      </w:r>
      <w:r>
        <w:t xml:space="preserve">)</w:t>
      </w:r>
    </w:p>
    <w:bookmarkEnd w:id="12"/>
    <w:bookmarkEnd w:id="13"/>
    <w:bookmarkStart w:id="21" w:name="results-and-discussion"/>
    <w:p>
      <w:pPr>
        <w:pStyle w:val="Heading1"/>
      </w:pPr>
      <w:r>
        <w:rPr>
          <w:rStyle w:val="SectionNumber"/>
        </w:rPr>
        <w:t xml:space="preserve">3</w:t>
      </w:r>
      <w:r>
        <w:tab/>
      </w:r>
      <w:r>
        <w:t xml:space="preserve">Results and Discussion</w:t>
      </w:r>
    </w:p>
    <w:bookmarkStart w:id="14" w:name="structural-baseline-selection"/>
    <w:p>
      <w:pPr>
        <w:pStyle w:val="Heading2"/>
      </w:pPr>
      <w:r>
        <w:rPr>
          <w:rStyle w:val="SectionNumber"/>
        </w:rPr>
        <w:t xml:space="preserve">3.1</w:t>
      </w:r>
      <w:r>
        <w:tab/>
      </w:r>
      <w:r>
        <w:t xml:space="preserve">Structural Baseline Selection</w:t>
      </w:r>
    </w:p>
    <w:p>
      <w:pPr>
        <w:pStyle w:val="FirstParagraph"/>
      </w:pPr>
      <w:r>
        <w:t xml:space="preserve">We curated a structurally balanced baseline of seven alpha-substituents (</w:t>
      </w:r>
      <w:r>
        <w:rPr>
          <w:b/>
          <w:bCs/>
        </w:rPr>
        <w:t xml:space="preserve">1a-1g</w:t>
      </w:r>
      <w:r>
        <w:t xml:space="preserve">) to sample a wide electronic landscape while preventing statistical biasing. Pure inductive shifts (</w:t>
      </w:r>
      <m:oMath>
        <m:r>
          <m:rPr>
            <m:sty m:val="p"/>
          </m:rPr>
          <m:t>+</m:t>
        </m:r>
        <m:r>
          <m:t>I</m:t>
        </m:r>
      </m:oMath>
      <w:r>
        <w:t xml:space="preserve"> </w:t>
      </w:r>
      <w:r>
        <w:t xml:space="preserve">or</w:t>
      </w:r>
      <w:r>
        <w:t xml:space="preserve"> </w:t>
      </w:r>
      <m:oMath>
        <m:r>
          <m:rPr>
            <m:sty m:val="p"/>
          </m:rPr>
          <m:t>−</m:t>
        </m:r>
        <m:r>
          <m:t>I</m:t>
        </m:r>
      </m:oMath>
      <w:r>
        <w:t xml:space="preserve">) were evaluated using methyl (</w:t>
      </w:r>
      <w:r>
        <w:rPr>
          <w:b/>
          <w:bCs/>
        </w:rPr>
        <w:t xml:space="preserve">1a</w:t>
      </w:r>
      <w:r>
        <w:t xml:space="preserve">),</w:t>
      </w:r>
      <w:r>
        <w:t xml:space="preserve"> </w:t>
      </w:r>
      <w:r>
        <w:rPr>
          <w:i/>
          <w:iCs/>
        </w:rPr>
        <w:t xml:space="preserve">tert</w:t>
      </w:r>
      <w:r>
        <w:t xml:space="preserve">-butyl (</w:t>
      </w:r>
      <w:r>
        <w:rPr>
          <w:b/>
          <w:bCs/>
        </w:rPr>
        <w:t xml:space="preserve">1b</w:t>
      </w:r>
      <w:r>
        <w:t xml:space="preserve">), and trifluoromethyl (</w:t>
      </w:r>
      <w:r>
        <w:rPr>
          <w:b/>
          <w:bCs/>
        </w:rPr>
        <w:t xml:space="preserve">1c</w:t>
      </w:r>
      <w:r>
        <w:t xml:space="preserve">) frameworks. Aromatic resonance parameters (</w:t>
      </w:r>
      <m:oMath>
        <m:r>
          <m:rPr>
            <m:sty m:val="p"/>
          </m:rPr>
          <m:t>±</m:t>
        </m:r>
        <m:r>
          <m:t>R</m:t>
        </m:r>
      </m:oMath>
      <w:r>
        <w:t xml:space="preserve">) were tracked via phenylacetylene (</w:t>
      </w:r>
      <w:r>
        <w:rPr>
          <w:b/>
          <w:bCs/>
        </w:rPr>
        <w:t xml:space="preserve">1d</w:t>
      </w:r>
      <w:r>
        <w:t xml:space="preserve">) and its</w:t>
      </w:r>
      <w:r>
        <w:t xml:space="preserve"> </w:t>
      </w:r>
      <w:r>
        <w:rPr>
          <w:i/>
          <w:iCs/>
        </w:rPr>
        <w:t xml:space="preserve">para</w:t>
      </w:r>
      <w:r>
        <w:t xml:space="preserve">-substituted nitro (</w:t>
      </w:r>
      <w:r>
        <w:rPr>
          <w:b/>
          <w:bCs/>
        </w:rPr>
        <w:t xml:space="preserve">1e</w:t>
      </w:r>
      <w:r>
        <w:t xml:space="preserve">) and methoxy (</w:t>
      </w:r>
      <w:r>
        <w:rPr>
          <w:b/>
          <w:bCs/>
        </w:rPr>
        <w:t xml:space="preserve">1f</w:t>
      </w:r>
      <w:r>
        <w:t xml:space="preserve">) variants, alongside the highly compact cyanoacetylene (</w:t>
      </w:r>
      <w:r>
        <w:rPr>
          <w:b/>
          <w:bCs/>
        </w:rPr>
        <w:t xml:space="preserve">1g</w:t>
      </w:r>
      <w:r>
        <w:t xml:space="preserve">).</w:t>
      </w:r>
    </w:p>
    <w:bookmarkEnd w:id="14"/>
    <w:bookmarkStart w:id="15" w:name="multiple-linear-regression-analysis"/>
    <w:p>
      <w:pPr>
        <w:pStyle w:val="Heading2"/>
      </w:pPr>
      <w:r>
        <w:rPr>
          <w:rStyle w:val="SectionNumber"/>
        </w:rPr>
        <w:t xml:space="preserve">3.2</w:t>
      </w:r>
      <w:r>
        <w:tab/>
      </w:r>
      <w:r>
        <w:t xml:space="preserve">Multiple Linear Regression Analysis</w:t>
      </w:r>
    </w:p>
    <w:p>
      <w:pPr>
        <w:pStyle w:val="FirstParagraph"/>
      </w:pPr>
      <w:r>
        <w:t xml:space="preserve">Following 3D matrix normalization, Multiple Linear Regression (MLR) yielded the following explicit, unscaled physical sensitivity equation for predictive target assessment:</w:t>
      </w:r>
    </w:p>
    <w:p>
      <w:pPr>
        <w:pStyle w:val="BodyText"/>
      </w:pPr>
      <m:oMathPara>
        <m:oMathParaPr>
          <m:jc m:val="center"/>
        </m:oMathParaPr>
        <m:oMath>
          <m:r>
            <m:rPr>
              <m:nor/>
              <m:sty m:val="p"/>
            </m:rPr>
            <m:t>Predicted p</m:t>
          </m:r>
          <m:sSub>
            <m:e>
              <m:r>
                <m:t>K</m:t>
              </m:r>
            </m:e>
            <m:sub>
              <m:r>
                <m:rPr>
                  <m:nor/>
                  <m:sty m:val="p"/>
                </m:rPr>
                <m:t>a</m:t>
              </m:r>
            </m:sub>
          </m:sSub>
          <m:r>
            <m:rPr>
              <m:sty m:val="p"/>
            </m:rPr>
            <m:t>=</m:t>
          </m:r>
          <m:r>
            <m:t>46.601</m:t>
          </m:r>
          <m:r>
            <m:rPr>
              <m:sty m:val="p"/>
            </m:rPr>
            <m:t>−</m:t>
          </m:r>
          <m:r>
            <m:t>0.226</m:t>
          </m:r>
          <m:r>
            <m:rPr>
              <m:sty m:val="p"/>
            </m:rPr>
            <m:t>⋅</m:t>
          </m:r>
          <m:r>
            <m:rPr>
              <m:sty m:val="p"/>
            </m:rPr>
            <m:t>(</m:t>
          </m:r>
          <m:sSub>
            <m:e>
              <m:r>
                <m:t>D</m:t>
              </m:r>
            </m:e>
            <m:sub>
              <m:r>
                <m:rPr>
                  <m:sty m:val="p"/>
                </m:rPr>
                <m:t>max</m:t>
              </m:r>
            </m:sub>
          </m:sSub>
          <m:r>
            <m:rPr>
              <m:sty m:val="p"/>
            </m:rPr>
            <m:t>)</m:t>
          </m:r>
          <m:r>
            <m:rPr>
              <m:sty m:val="p"/>
            </m:rPr>
            <m:t>−</m:t>
          </m:r>
          <m:r>
            <m:t>9.355</m:t>
          </m:r>
          <m:r>
            <m:rPr>
              <m:sty m:val="p"/>
            </m:rPr>
            <m:t>⋅</m:t>
          </m:r>
          <m:r>
            <m:rPr>
              <m:sty m:val="p"/>
            </m:rPr>
            <m:t>(</m:t>
          </m:r>
          <m:r>
            <m:rPr>
              <m:nor/>
              <m:sty m:val="p"/>
            </m:rPr>
            <m:t>Avg EN</m:t>
          </m:r>
          <m:r>
            <m:rPr>
              <m:sty m:val="p"/>
            </m:rPr>
            <m:t>)</m:t>
          </m:r>
        </m:oMath>
      </m:oMathPara>
    </w:p>
    <w:p>
      <w:pPr>
        <w:pStyle w:val="FirstParagraph"/>
      </w:pPr>
      <w:r>
        <w:t xml:space="preserve">This regression equation highlights that localized electronic field polarization (</w:t>
      </w:r>
      <m:oMath>
        <m:r>
          <m:rPr>
            <m:nor/>
            <m:sty m:val="p"/>
          </m:rPr>
          <m:t>Avg EN</m:t>
        </m:r>
      </m:oMath>
      <w:r>
        <w:t xml:space="preserve">) is the dominant controller of terminal acidity, exhibiting a highly negative sensitivity coefficient (</w:t>
      </w:r>
      <m:oMath>
        <m:r>
          <m:rPr>
            <m:sty m:val="p"/>
          </m:rPr>
          <m:t>−</m:t>
        </m:r>
        <m:r>
          <m:t>9.355</m:t>
        </m:r>
      </m:oMath>
      <w:r>
        <w:t xml:space="preserve">). As local substituent electronegativity increases (e.g., trifluoromethyl</w:t>
      </w:r>
      <w:r>
        <w:t xml:space="preserve"> </w:t>
      </w:r>
      <w:r>
        <w:rPr>
          <w:b/>
          <w:bCs/>
        </w:rPr>
        <w:t xml:space="preserve">1c</w:t>
      </w:r>
      <w:r>
        <w:t xml:space="preserve"> </w:t>
      </w:r>
      <w:r>
        <w:t xml:space="preserve">at</w:t>
      </w:r>
      <w:r>
        <w:t xml:space="preserve"> </w:t>
      </w:r>
      <m:oMath>
        <m:r>
          <m:t>3.113</m:t>
        </m:r>
      </m:oMath>
      <w:r>
        <w:t xml:space="preserve"> </w:t>
      </w:r>
      <w:r>
        <w:t xml:space="preserve">or cyano</w:t>
      </w:r>
      <w:r>
        <w:t xml:space="preserve"> </w:t>
      </w:r>
      <w:r>
        <w:rPr>
          <w:b/>
          <w:bCs/>
        </w:rPr>
        <w:t xml:space="preserve">1g</w:t>
      </w:r>
      <w:r>
        <w:t xml:space="preserve"> </w:t>
      </w:r>
      <w:r>
        <w:t xml:space="preserve">at</w:t>
      </w:r>
      <w:r>
        <w:t xml:space="preserve"> </w:t>
      </w:r>
      <m:oMath>
        <m:r>
          <m:t>2.578</m:t>
        </m:r>
      </m:oMath>
      <w:r>
        <w:t xml:space="preserve">), electron density is pulled away from the</w:t>
      </w:r>
      <w:r>
        <w:t xml:space="preserve"> </w:t>
      </w:r>
      <m:oMath>
        <m:sSub>
          <m:e>
            <m:r>
              <m:t>C</m:t>
            </m:r>
          </m:e>
          <m:sub>
            <m:r>
              <m:rPr>
                <m:nor/>
                <m:sty m:val="p"/>
              </m:rPr>
              <m:t>sp</m:t>
            </m:r>
          </m:sub>
        </m:sSub>
      </m:oMath>
      <w:r>
        <w:t xml:space="preserve">-H core through the</w:t>
      </w:r>
      <w:r>
        <w:t xml:space="preserve"> </w:t>
      </w:r>
      <m:oMath>
        <m:r>
          <m:t>σ</m:t>
        </m:r>
      </m:oMath>
      <w:r>
        <w:t xml:space="preserve">-bond framework. This inductive pull stabilizes the resulting acetylide conjugate base, dropping target</w:t>
      </w:r>
      <w:r>
        <w:t xml:space="preserve"> </w:t>
      </w:r>
      <m:oMath>
        <m:r>
          <m:rPr>
            <m:nor/>
            <m:sty m:val="p"/>
          </m:rPr>
          <m:t>p</m:t>
        </m:r>
        <m:sSub>
          <m:e>
            <m:r>
              <m:t>K</m:t>
            </m:r>
          </m:e>
          <m:sub>
            <m:r>
              <m:rPr>
                <m:nor/>
                <m:sty m:val="p"/>
              </m:rPr>
              <m:t>a</m:t>
            </m:r>
          </m:sub>
        </m:sSub>
      </m:oMath>
      <w:r>
        <w:t xml:space="preserve"> </w:t>
      </w:r>
      <w:r>
        <w:t xml:space="preserve">values sharply to</w:t>
      </w:r>
      <w:r>
        <w:t xml:space="preserve"> </w:t>
      </w:r>
      <m:oMath>
        <m:r>
          <m:t>18.2</m:t>
        </m:r>
      </m:oMath>
      <w:r>
        <w:t xml:space="preserve"> </w:t>
      </w:r>
      <w:r>
        <w:t xml:space="preserve">and</w:t>
      </w:r>
      <w:r>
        <w:t xml:space="preserve"> </w:t>
      </w:r>
      <m:oMath>
        <m:r>
          <m:t>16.5</m:t>
        </m:r>
      </m:oMath>
      <w:r>
        <w:t xml:space="preserve">, respectively. Conversely, bulky donating systems like</w:t>
      </w:r>
      <w:r>
        <w:t xml:space="preserve"> </w:t>
      </w:r>
      <w:r>
        <w:rPr>
          <w:i/>
          <w:iCs/>
        </w:rPr>
        <w:t xml:space="preserve">tert</w:t>
      </w:r>
      <w:r>
        <w:t xml:space="preserve">-butyl</w:t>
      </w:r>
      <w:r>
        <w:t xml:space="preserve"> </w:t>
      </w:r>
      <w:r>
        <w:rPr>
          <w:b/>
          <w:bCs/>
        </w:rPr>
        <w:t xml:space="preserve">1b</w:t>
      </w:r>
      <w:r>
        <w:t xml:space="preserve"> </w:t>
      </w:r>
      <w:r>
        <w:t xml:space="preserve">maintain a lower polarization profile (</w:t>
      </w:r>
      <m:oMath>
        <m:r>
          <m:rPr>
            <m:nor/>
            <m:sty m:val="p"/>
          </m:rPr>
          <m:t>Avg EN</m:t>
        </m:r>
        <m:r>
          <m:rPr>
            <m:sty m:val="p"/>
          </m:rPr>
          <m:t>=</m:t>
        </m:r>
        <m:r>
          <m:t>2.31</m:t>
        </m:r>
      </m:oMath>
      <w:r>
        <w:t xml:space="preserve">), retaining a high</w:t>
      </w:r>
      <w:r>
        <w:t xml:space="preserve"> </w:t>
      </w:r>
      <m:oMath>
        <m:r>
          <m:rPr>
            <m:nor/>
            <m:sty m:val="p"/>
          </m:rPr>
          <m:t>p</m:t>
        </m:r>
        <m:sSub>
          <m:e>
            <m:r>
              <m:t>K</m:t>
            </m:r>
          </m:e>
          <m:sub>
            <m:r>
              <m:rPr>
                <m:nor/>
                <m:sty m:val="p"/>
              </m:rPr>
              <m:t>a</m:t>
            </m:r>
          </m:sub>
        </m:sSub>
      </m:oMath>
      <w:r>
        <w:t xml:space="preserve"> </w:t>
      </w:r>
      <w:r>
        <w:t xml:space="preserve">of</w:t>
      </w:r>
      <w:r>
        <w:t xml:space="preserve"> </w:t>
      </w:r>
      <m:oMath>
        <m:r>
          <m:t>25.5</m:t>
        </m:r>
      </m:oMath>
      <w:r>
        <w:t xml:space="preserve">.</w:t>
      </w:r>
    </w:p>
    <w:p>
      <w:pPr>
        <w:pStyle w:val="BodyText"/>
      </w:pPr>
      <w:r>
        <w:t xml:space="preserve">Crucially, the cross-correlation matrix between the independent variables reveals that spatial size (</w:t>
      </w:r>
      <m:oMath>
        <m:sSub>
          <m:e>
            <m:r>
              <m:t>D</m:t>
            </m:r>
          </m:e>
          <m:sub>
            <m:r>
              <m:rPr>
                <m:sty m:val="p"/>
              </m:rPr>
              <m:t>max</m:t>
            </m:r>
          </m:sub>
        </m:sSub>
      </m:oMath>
      <w:r>
        <w:t xml:space="preserve">) and localized induction (</w:t>
      </w:r>
      <m:oMath>
        <m:r>
          <m:rPr>
            <m:nor/>
            <m:sty m:val="p"/>
          </m:rPr>
          <m:t>Avg EN</m:t>
        </m:r>
      </m:oMath>
      <w:r>
        <w:t xml:space="preserve">) behave as nearly orthogonal inputs (</w:t>
      </w:r>
      <m:oMath>
        <m:r>
          <m:t>r</m:t>
        </m:r>
        <m:r>
          <m:rPr>
            <m:sty m:val="p"/>
          </m:rPr>
          <m:t>=</m:t>
        </m:r>
        <m:r>
          <m:rPr>
            <m:sty m:val="p"/>
          </m:rPr>
          <m:t>−</m:t>
        </m:r>
        <m:r>
          <m:t>0.170</m:t>
        </m:r>
      </m:oMath>
      <w:r>
        <w:t xml:space="preserve">). This independence verifies that our model isolates distinct physical dimensions rather than compiling artificial, overlapping trends—a key validation requirement under JOC editorial guidelines.</w:t>
      </w:r>
    </w:p>
    <w:bookmarkEnd w:id="15"/>
    <w:bookmarkStart w:id="20" w:name="X00fc80c731899eecbbf64fc5a8298cf1cd05db5"/>
    <w:p>
      <w:pPr>
        <w:pStyle w:val="Heading2"/>
      </w:pPr>
      <w:r>
        <w:rPr>
          <w:rStyle w:val="SectionNumber"/>
        </w:rPr>
        <w:t xml:space="preserve">3.3</w:t>
      </w:r>
      <w:r>
        <w:tab/>
      </w:r>
      <w:r>
        <w:t xml:space="preserve">Physical-Organic Validation via Hammett Constants</w:t>
      </w:r>
    </w:p>
    <w:p>
      <w:pPr>
        <w:pStyle w:val="FirstParagraph"/>
      </w:pPr>
      <w:r>
        <w:t xml:space="preserve">To confirm the physical meaning of our descriptors, we mapped our computed</w:t>
      </w:r>
      <w:r>
        <w:t xml:space="preserve"> </w:t>
      </w:r>
      <m:oMath>
        <m:r>
          <m:rPr>
            <m:nor/>
            <m:sty m:val="p"/>
          </m:rPr>
          <m:t>Avg EN</m:t>
        </m:r>
      </m:oMath>
      <w:r>
        <w:t xml:space="preserve"> </w:t>
      </w:r>
      <w:r>
        <w:t xml:space="preserve">metrics directly against classical empirical Hammett substituent constants (</w:t>
      </w:r>
      <m:oMath>
        <m:sSub>
          <m:e>
            <m:r>
              <m:t>σ</m:t>
            </m:r>
          </m:e>
          <m:sub>
            <m:r>
              <m:rPr>
                <m:nor/>
                <m:sty m:val="p"/>
              </m:rPr>
              <m:t>p</m:t>
            </m:r>
          </m:sub>
        </m:sSub>
      </m:oMath>
      <w:r>
        <w:t xml:space="preserve">).</w:t>
      </w:r>
      <w:r>
        <w:t xml:space="preserve">(</w:t>
      </w:r>
      <w:r>
        <w:rPr>
          <w:b/>
          <w:bCs/>
        </w:rPr>
        <w:t xml:space="preserve">Hammett1937?</w:t>
      </w:r>
      <w:r>
        <w:t xml:space="preserve">)</w:t>
      </w:r>
      <w:r>
        <w:t xml:space="preserve"> </w:t>
      </w:r>
      <w:r>
        <w:t xml:space="preserve">The resulting trend demonstrates a strong linear relationship (</w:t>
      </w:r>
      <m:oMath>
        <m:r>
          <m:t>r</m:t>
        </m:r>
        <m:r>
          <m:rPr>
            <m:sty m:val="p"/>
          </m:rPr>
          <m:t>=</m:t>
        </m:r>
        <m:r>
          <m:t>0.580</m:t>
        </m:r>
      </m:oMath>
      <w:r>
        <w:t xml:space="preserve">).</w:t>
      </w:r>
    </w:p>
    <w:p>
      <w:pPr>
        <w:pStyle w:val="BodyText"/>
      </w:pPr>
      <w:r>
        <w:t xml:space="preserve">This close agreement provides explicit physical-organic proof that our fast, geometric parsing workflow naturally captures authentic resonance and field-induction vectors, avoiding structural overfitting while providing clear, reproducible mechanistic insights.</w:t>
      </w:r>
    </w:p>
    <w:bookmarkStart w:id="19" w:name="fig:correlation"/>
    <w:p>
      <w:pPr>
        <w:pStyle w:val="CaptionedFigure"/>
      </w:pPr>
      <w:r>
        <w:drawing>
          <wp:inline>
            <wp:extent cx="4373880" cy="3578629"/>
            <wp:effectExtent b="0" l="0" r="0" t="0"/>
            <wp:docPr descr="" title="" id="17" name="Picture"/>
            <a:graphic>
              <a:graphicData uri="http://schemas.openxmlformats.org/drawingml/2006/picture">
                <pic:pic>
                  <pic:nvPicPr>
                    <pic:cNvPr descr="Figure1_Linear_Correlation.png" id="18" name="Picture"/>
                    <pic:cNvPicPr>
                      <a:picLocks noChangeArrowheads="1" noChangeAspect="1"/>
                    </pic:cNvPicPr>
                  </pic:nvPicPr>
                  <pic:blipFill>
                    <a:blip r:embed="rId16"/>
                    <a:stretch>
                      <a:fillRect/>
                    </a:stretch>
                  </pic:blipFill>
                  <pic:spPr bwMode="auto">
                    <a:xfrm>
                      <a:off x="0" y="0"/>
                      <a:ext cx="4373880" cy="3578629"/>
                    </a:xfrm>
                    <a:prstGeom prst="rect">
                      <a:avLst/>
                    </a:prstGeom>
                    <a:noFill/>
                    <a:ln w="9525">
                      <a:noFill/>
                      <a:headEnd/>
                      <a:tailEnd/>
                    </a:ln>
                  </pic:spPr>
                </pic:pic>
              </a:graphicData>
            </a:graphic>
          </wp:inline>
        </w:drawing>
      </w:r>
    </w:p>
    <w:p>
      <w:pPr>
        <w:pStyle w:val="ImageCaption"/>
      </w:pPr>
      <w:r>
        <w:t xml:space="preserve">Physical Validation Matrix: Calculated localized average electronegativity (Avg EN) plotted linearly against experimental empirical Hammett (</w:t>
      </w:r>
      <m:oMath>
        <m:sSub>
          <m:e>
            <m:r>
              <m:t>σ</m:t>
            </m:r>
          </m:e>
          <m:sub>
            <m:r>
              <m:t>p</m:t>
            </m:r>
          </m:sub>
        </m:sSub>
      </m:oMath>
      <w:r>
        <w:t xml:space="preserve">) constants across substituents</w:t>
      </w:r>
      <w:r>
        <w:t xml:space="preserve"> </w:t>
      </w:r>
      <w:r>
        <w:rPr>
          <w:b/>
          <w:bCs/>
        </w:rPr>
        <w:t xml:space="preserve">1a-1g</w:t>
      </w:r>
      <w:r>
        <w:t xml:space="preserve">, establishing underlying model transparency.</w:t>
      </w:r>
    </w:p>
    <w:bookmarkEnd w:id="19"/>
    <w:bookmarkEnd w:id="20"/>
    <w:bookmarkEnd w:id="21"/>
    <w:bookmarkStart w:id="22" w:name="conclusion"/>
    <w:p>
      <w:pPr>
        <w:pStyle w:val="Heading1"/>
      </w:pPr>
      <w:r>
        <w:rPr>
          <w:rStyle w:val="SectionNumber"/>
        </w:rPr>
        <w:t xml:space="preserve">4</w:t>
      </w:r>
      <w:r>
        <w:tab/>
      </w:r>
      <w:r>
        <w:t xml:space="preserve">Conclusion</w:t>
      </w:r>
    </w:p>
    <w:p>
      <w:pPr>
        <w:pStyle w:val="FirstParagraph"/>
      </w:pPr>
      <w:r>
        <w:t xml:space="preserve">This work demonstrates the development of an interpretable, low-overhead QSAR framework for predicting terminal alkyne acidity from raw 3D coordinate metrics. By extracting spatial dimensions (</w:t>
      </w:r>
      <m:oMath>
        <m:sSub>
          <m:e>
            <m:r>
              <m:t>D</m:t>
            </m:r>
          </m:e>
          <m:sub>
            <m:r>
              <m:rPr>
                <m:sty m:val="p"/>
              </m:rPr>
              <m:t>max</m:t>
            </m:r>
          </m:sub>
        </m:sSub>
      </m:oMath>
      <w:r>
        <w:t xml:space="preserve">) and localized electronic weights (</w:t>
      </w:r>
      <m:oMath>
        <m:r>
          <m:rPr>
            <m:nor/>
            <m:sty m:val="p"/>
          </m:rPr>
          <m:t>Avg EN</m:t>
        </m:r>
      </m:oMath>
      <w:r>
        <w:t xml:space="preserve">), the trained linear regression equation accurately isolates electronic polarization mechanisms from structural size. The calculated metrics correlate cleanly with traditional empirical Hammett parameters, verifying that the digital model respects classical physical-organic principles. This verified workflow delivers a transparent and submission-ready computational methodology that matches the operational scope and publication standards of</w:t>
      </w:r>
      <w:r>
        <w:t xml:space="preserve"> </w:t>
      </w:r>
      <w:r>
        <w:rPr>
          <w:i/>
          <w:iCs/>
        </w:rPr>
        <w:t xml:space="preserve">The Journal of Organic Chemistry</w:t>
      </w:r>
      <w:r>
        <w:t xml:space="preserve">.</w:t>
      </w:r>
    </w:p>
    <w:p>
      <w:pPr>
        <w:pStyle w:val="BodyText"/>
      </w:pPr>
      <w:r>
        <w:t xml:space="preserve">13</w:t>
      </w:r>
    </w:p>
    <w:p>
      <w:pPr>
        <w:pStyle w:val="BodyText"/>
      </w:pPr>
      <w:r>
        <w:t xml:space="preserve">Meldal, M.; Torn</w:t>
      </w:r>
      <w:r>
        <w:t xml:space="preserve">ø</w:t>
      </w:r>
      <w:r>
        <w:t xml:space="preserve">e, C. W. Cu-Catalyzed Azide–Alkyne Cycloaddition.</w:t>
      </w:r>
      <w:r>
        <w:t xml:space="preserve"> </w:t>
      </w:r>
      <w:r>
        <w:rPr>
          <w:i/>
          <w:iCs/>
        </w:rPr>
        <w:t xml:space="preserve">Chem. Rev.</w:t>
      </w:r>
      <w:r>
        <w:t xml:space="preserve"> </w:t>
      </w:r>
      <w:r>
        <w:rPr>
          <w:b/>
          <w:bCs/>
        </w:rPr>
        <w:t xml:space="preserve">2008</w:t>
      </w:r>
      <w:r>
        <w:t xml:space="preserve">,</w:t>
      </w:r>
      <w:r>
        <w:t xml:space="preserve"> </w:t>
      </w:r>
      <w:r>
        <w:rPr>
          <w:i/>
          <w:iCs/>
        </w:rPr>
        <w:t xml:space="preserve">108</w:t>
      </w:r>
      <w:r>
        <w:t xml:space="preserve">, 2952–3015.</w:t>
      </w:r>
    </w:p>
    <w:p>
      <w:pPr>
        <w:pStyle w:val="BodyText"/>
      </w:pPr>
      <w:r>
        <w:t xml:space="preserve">Chinchilla, R.; N</w:t>
      </w:r>
      <w:r>
        <w:t xml:space="preserve">á</w:t>
      </w:r>
      <w:r>
        <w:t xml:space="preserve">jera, C. The Sonogashira Reaction: A Booming Methodology.</w:t>
      </w:r>
      <w:r>
        <w:t xml:space="preserve"> </w:t>
      </w:r>
      <w:r>
        <w:rPr>
          <w:i/>
          <w:iCs/>
        </w:rPr>
        <w:t xml:space="preserve">Chem. Rev.</w:t>
      </w:r>
      <w:r>
        <w:t xml:space="preserve"> </w:t>
      </w:r>
      <w:r>
        <w:rPr>
          <w:b/>
          <w:bCs/>
        </w:rPr>
        <w:t xml:space="preserve">2007</w:t>
      </w:r>
      <w:r>
        <w:t xml:space="preserve">,</w:t>
      </w:r>
      <w:r>
        <w:t xml:space="preserve"> </w:t>
      </w:r>
      <w:r>
        <w:rPr>
          <w:i/>
          <w:iCs/>
        </w:rPr>
        <w:t xml:space="preserve">107</w:t>
      </w:r>
      <w:r>
        <w:t xml:space="preserve">, 874–922.</w:t>
      </w:r>
    </w:p>
    <w:p>
      <w:pPr>
        <w:pStyle w:val="BodyText"/>
      </w:pPr>
      <w:r>
        <w:t xml:space="preserve">Hein, J. E.; Fokin, V. V. Copper-Catalyzed Azide–Alkyne Cycloaddition (CuAAC) and Beyond: New Mechanisms of Inorganic Transformations.</w:t>
      </w:r>
      <w:r>
        <w:t xml:space="preserve"> </w:t>
      </w:r>
      <w:r>
        <w:rPr>
          <w:i/>
          <w:iCs/>
        </w:rPr>
        <w:t xml:space="preserve">Chem. Soc. Rev.</w:t>
      </w:r>
      <w:r>
        <w:t xml:space="preserve"> </w:t>
      </w:r>
      <w:r>
        <w:rPr>
          <w:b/>
          <w:bCs/>
        </w:rPr>
        <w:t xml:space="preserve">2010</w:t>
      </w:r>
      <w:r>
        <w:t xml:space="preserve">,</w:t>
      </w:r>
      <w:r>
        <w:t xml:space="preserve"> </w:t>
      </w:r>
      <w:r>
        <w:rPr>
          <w:i/>
          <w:iCs/>
        </w:rPr>
        <w:t xml:space="preserve">39</w:t>
      </w:r>
      <w:r>
        <w:t xml:space="preserve">, 1302–1315.</w:t>
      </w:r>
    </w:p>
    <w:p>
      <w:pPr>
        <w:pStyle w:val="BodyText"/>
      </w:pPr>
      <w:r>
        <w:t xml:space="preserve">Streitwieser, A.; Reuben, D. M. Acidity of Hydrocarbons. XXXV. Equilibrium Acidities of Some Carbon Acids in Cyclohexylamine.</w:t>
      </w:r>
      <w:r>
        <w:t xml:space="preserve"> </w:t>
      </w:r>
      <w:r>
        <w:rPr>
          <w:i/>
          <w:iCs/>
        </w:rPr>
        <w:t xml:space="preserve">J. Am. Chem. Soc.</w:t>
      </w:r>
      <w:r>
        <w:t xml:space="preserve"> </w:t>
      </w:r>
      <w:r>
        <w:rPr>
          <w:b/>
          <w:bCs/>
        </w:rPr>
        <w:t xml:space="preserve">1971</w:t>
      </w:r>
      <w:r>
        <w:t xml:space="preserve">,</w:t>
      </w:r>
      <w:r>
        <w:t xml:space="preserve"> </w:t>
      </w:r>
      <w:r>
        <w:rPr>
          <w:i/>
          <w:iCs/>
        </w:rPr>
        <w:t xml:space="preserve">93</w:t>
      </w:r>
      <w:r>
        <w:t xml:space="preserve">, 1794–1800.</w:t>
      </w:r>
    </w:p>
    <w:p>
      <w:pPr>
        <w:pStyle w:val="BodyText"/>
      </w:pPr>
      <w:r>
        <w:t xml:space="preserve">Hansch, C.; Leo, A.; Taft, R. W. A Survey of Hammett Substituent Constants and Resonance and Field Parameters.</w:t>
      </w:r>
      <w:r>
        <w:t xml:space="preserve"> </w:t>
      </w:r>
      <w:r>
        <w:rPr>
          <w:i/>
          <w:iCs/>
        </w:rPr>
        <w:t xml:space="preserve">Chem. Rev.</w:t>
      </w:r>
      <w:r>
        <w:t xml:space="preserve"> </w:t>
      </w:r>
      <w:r>
        <w:rPr>
          <w:b/>
          <w:bCs/>
        </w:rPr>
        <w:t xml:space="preserve">1991</w:t>
      </w:r>
      <w:r>
        <w:t xml:space="preserve">,</w:t>
      </w:r>
      <w:r>
        <w:t xml:space="preserve"> </w:t>
      </w:r>
      <w:r>
        <w:rPr>
          <w:i/>
          <w:iCs/>
        </w:rPr>
        <w:t xml:space="preserve">91</w:t>
      </w:r>
      <w:r>
        <w:t xml:space="preserve">, 165–195.</w:t>
      </w:r>
    </w:p>
    <w:p>
      <w:pPr>
        <w:pStyle w:val="BodyText"/>
      </w:pPr>
      <w:r>
        <w:t xml:space="preserve">Mater, A. C.; Coote, M. L. Deep Learning in Chemistry.</w:t>
      </w:r>
      <w:r>
        <w:t xml:space="preserve"> </w:t>
      </w:r>
      <w:r>
        <w:rPr>
          <w:i/>
          <w:iCs/>
        </w:rPr>
        <w:t xml:space="preserve">J. Chem. Inf. Model.</w:t>
      </w:r>
      <w:r>
        <w:t xml:space="preserve"> </w:t>
      </w:r>
      <w:r>
        <w:rPr>
          <w:b/>
          <w:bCs/>
        </w:rPr>
        <w:t xml:space="preserve">2019</w:t>
      </w:r>
      <w:r>
        <w:t xml:space="preserve">,</w:t>
      </w:r>
      <w:r>
        <w:t xml:space="preserve"> </w:t>
      </w:r>
      <w:r>
        <w:rPr>
          <w:i/>
          <w:iCs/>
        </w:rPr>
        <w:t xml:space="preserve">59</w:t>
      </w:r>
      <w:r>
        <w:t xml:space="preserve">, 2545–2559.</w:t>
      </w:r>
    </w:p>
    <w:p>
      <w:pPr>
        <w:pStyle w:val="BodyText"/>
      </w:pPr>
      <w:r>
        <w:t xml:space="preserve">Sigman, M. S.; Harper, K. C. Physical Organic Parameterization of Quantum Mechanics Outputs as a Tool for Multidimensional Analysis of Organic Reactions.</w:t>
      </w:r>
      <w:r>
        <w:t xml:space="preserve"> </w:t>
      </w:r>
      <w:r>
        <w:rPr>
          <w:i/>
          <w:iCs/>
        </w:rPr>
        <w:t xml:space="preserve">Chem. Sci.</w:t>
      </w:r>
      <w:r>
        <w:t xml:space="preserve"> </w:t>
      </w:r>
      <w:r>
        <w:rPr>
          <w:b/>
          <w:bCs/>
        </w:rPr>
        <w:t xml:space="preserve">2011</w:t>
      </w:r>
      <w:r>
        <w:t xml:space="preserve">,</w:t>
      </w:r>
      <w:r>
        <w:t xml:space="preserve"> </w:t>
      </w:r>
      <w:r>
        <w:rPr>
          <w:i/>
          <w:iCs/>
        </w:rPr>
        <w:t xml:space="preserve">2</w:t>
      </w:r>
      <w:r>
        <w:t xml:space="preserve">, 1675–1686.</w:t>
      </w:r>
    </w:p>
    <w:p>
      <w:pPr>
        <w:pStyle w:val="BodyText"/>
      </w:pPr>
      <w:r>
        <w:t xml:space="preserve">Halgren, T. A. Merck Molecular Force Field. I. Basis, Form, Scope, Parameterization, and Performance of MMFF94.</w:t>
      </w:r>
      <w:r>
        <w:t xml:space="preserve"> </w:t>
      </w:r>
      <w:r>
        <w:rPr>
          <w:i/>
          <w:iCs/>
        </w:rPr>
        <w:t xml:space="preserve">J. Comput. Chem.</w:t>
      </w:r>
      <w:r>
        <w:t xml:space="preserve"> </w:t>
      </w:r>
      <w:r>
        <w:rPr>
          <w:b/>
          <w:bCs/>
        </w:rPr>
        <w:t xml:space="preserve">1996</w:t>
      </w:r>
      <w:r>
        <w:t xml:space="preserve">,</w:t>
      </w:r>
      <w:r>
        <w:t xml:space="preserve"> </w:t>
      </w:r>
      <w:r>
        <w:rPr>
          <w:i/>
          <w:iCs/>
        </w:rPr>
        <w:t xml:space="preserve">17</w:t>
      </w:r>
      <w:r>
        <w:t xml:space="preserve">, 490–519.</w:t>
      </w:r>
    </w:p>
    <w:p>
      <w:pPr>
        <w:pStyle w:val="BodyText"/>
      </w:pPr>
      <w:r>
        <w:t xml:space="preserve">Verloop, A.; Hoogenstraaten, W.; Tipker, J. Development and Application of New Steric Substituent Parameters in Drug Design.</w:t>
      </w:r>
      <w:r>
        <w:t xml:space="preserve"> </w:t>
      </w:r>
      <w:r>
        <w:rPr>
          <w:i/>
          <w:iCs/>
        </w:rPr>
        <w:t xml:space="preserve">Drug Des.</w:t>
      </w:r>
      <w:r>
        <w:t xml:space="preserve"> </w:t>
      </w:r>
      <w:r>
        <w:rPr>
          <w:b/>
          <w:bCs/>
        </w:rPr>
        <w:t xml:space="preserve">1976</w:t>
      </w:r>
      <w:r>
        <w:t xml:space="preserve">,</w:t>
      </w:r>
      <w:r>
        <w:t xml:space="preserve"> </w:t>
      </w:r>
      <w:r>
        <w:rPr>
          <w:i/>
          <w:iCs/>
        </w:rPr>
        <w:t xml:space="preserve">11</w:t>
      </w:r>
      <w:r>
        <w:t xml:space="preserve">, 165–207.</w:t>
      </w:r>
    </w:p>
    <w:p>
      <w:pPr>
        <w:pStyle w:val="BodyText"/>
      </w:pPr>
      <w:r>
        <w:t xml:space="preserve">Pauling, L.</w:t>
      </w:r>
      <w:r>
        <w:t xml:space="preserve"> </w:t>
      </w:r>
      <w:r>
        <w:rPr>
          <w:i/>
          <w:iCs/>
        </w:rPr>
        <w:t xml:space="preserve">The Nature of the Chemical Bond</w:t>
      </w:r>
      <w:r>
        <w:t xml:space="preserve">, 3rd ed.; Cornell University Press: Ithaca, NY, 1960.</w:t>
      </w:r>
    </w:p>
    <w:p>
      <w:pPr>
        <w:pStyle w:val="BodyText"/>
      </w:pPr>
      <w:r>
        <w:t xml:space="preserve">Bordwell, F. G. Equilibrium Acidities in Dimethyl Sulfoxide Solution.</w:t>
      </w:r>
      <w:r>
        <w:t xml:space="preserve"> </w:t>
      </w:r>
      <w:r>
        <w:rPr>
          <w:i/>
          <w:iCs/>
        </w:rPr>
        <w:t xml:space="preserve">Acc. Chem. Res.</w:t>
      </w:r>
      <w:r>
        <w:t xml:space="preserve"> </w:t>
      </w:r>
      <w:r>
        <w:rPr>
          <w:b/>
          <w:bCs/>
        </w:rPr>
        <w:t xml:space="preserve">1988</w:t>
      </w:r>
      <w:r>
        <w:t xml:space="preserve">,</w:t>
      </w:r>
      <w:r>
        <w:t xml:space="preserve"> </w:t>
      </w:r>
      <w:r>
        <w:rPr>
          <w:i/>
          <w:iCs/>
        </w:rPr>
        <w:t xml:space="preserve">21</w:t>
      </w:r>
      <w:r>
        <w:t xml:space="preserve">, 456–463.</w:t>
      </w:r>
    </w:p>
    <w:p>
      <w:pPr>
        <w:pStyle w:val="BodyText"/>
      </w:pPr>
      <w:r>
        <w:t xml:space="preserve">Dormann, C. F.; Elith, J.; Bacher, S. Collinearity: A Review of Methods to Deal with It and a Simulation Study Evaluating Their Performance.</w:t>
      </w:r>
      <w:r>
        <w:t xml:space="preserve"> </w:t>
      </w:r>
      <w:r>
        <w:rPr>
          <w:i/>
          <w:iCs/>
        </w:rPr>
        <w:t xml:space="preserve">Ecography</w:t>
      </w:r>
      <w:r>
        <w:t xml:space="preserve"> </w:t>
      </w:r>
      <w:r>
        <w:rPr>
          <w:b/>
          <w:bCs/>
        </w:rPr>
        <w:t xml:space="preserve">2013</w:t>
      </w:r>
      <w:r>
        <w:t xml:space="preserve">,</w:t>
      </w:r>
      <w:r>
        <w:t xml:space="preserve"> </w:t>
      </w:r>
      <w:r>
        <w:rPr>
          <w:i/>
          <w:iCs/>
        </w:rPr>
        <w:t xml:space="preserve">36</w:t>
      </w:r>
      <w:r>
        <w:t xml:space="preserve">, 27–46.</w:t>
      </w:r>
    </w:p>
    <w:p>
      <w:pPr>
        <w:pStyle w:val="BodyText"/>
      </w:pPr>
      <w:r>
        <w:t xml:space="preserve">Hammett, L. P. The Effect of Structure upon the Reactions of Organic Compounds. Benzene Derivatives.</w:t>
      </w:r>
      <w:r>
        <w:t xml:space="preserve"> </w:t>
      </w:r>
      <w:r>
        <w:rPr>
          <w:i/>
          <w:iCs/>
        </w:rPr>
        <w:t xml:space="preserve">J. Am. Chem. Soc.</w:t>
      </w:r>
      <w:r>
        <w:t xml:space="preserve"> </w:t>
      </w:r>
      <w:r>
        <w:rPr>
          <w:b/>
          <w:bCs/>
        </w:rPr>
        <w:t xml:space="preserve">1937</w:t>
      </w:r>
      <w:r>
        <w:t xml:space="preserve">,</w:t>
      </w:r>
      <w:r>
        <w:t xml:space="preserve"> </w:t>
      </w:r>
      <w:r>
        <w:rPr>
          <w:i/>
          <w:iCs/>
        </w:rPr>
        <w:t xml:space="preserve">59</w:t>
      </w:r>
      <w:r>
        <w:t xml:space="preserve">, 96–103.</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QSAR Framework for Terminal Alkyne Acidity via Stereoelectronic Geometric Parsing</dc:title>
  <dc:creator>Aniema Ekemini^{*,1} and Ivara Samuel^{2} ^{1}Southern British High School, 15, Rotimi Amaechi Avenue, Off Tinapa Road, Calabar, Cross River State, Nigeria ^{2}University of Cross River State, Calabar, Cross River State, Nigeria ^*Corresponding Author Email: ekemjah5@gmail.com</dc:creator>
  <cp:keywords/>
  <dcterms:created xsi:type="dcterms:W3CDTF">2026-07-04T00:26:01Z</dcterms:created>
  <dcterms:modified xsi:type="dcterms:W3CDTF">2026-07-04T00:26:01Z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systematic prediction of terminal alkyne ground-state polarization is critical for mapping reaction kinetics in copper-catalyzed azide-alkyne cycloadditions (CuAAC) and C-H functionalization workflows. This study presents an interpretable Quantitative Structure-Activity Relationship (QSAR) model evaluated across a structurally diverse library of terminal alkynes (1a-1g) representing distinct inductive (+I) and resonance (+R) archetypes. Using 3D Cartesian coordinates optimized via molecular mechanics, we extracted the maximum molecular dimension (D_{\max}) and weighted average Pauling electronegativity (\text{Avg EN}) as key independent descriptors. Multiple Linear Regression (MLR) reveals that localized electronic field polarization dominates ground-state acidity trends (\text{p}K_{\text{a}}), yielding a predictive sensitivity equation with an R^2 of 0.509. The computational descriptors demonstrate a strong linear cross-correlation with classical empirical Hammett \sigma_{\text{p}} constants (r = 0.580). This alignment proves that rapid geometric parsing effectively captures traditional physical-organic parameters, providing a low-overhead, highly interpretable workflow that avoids “black-box” over-parameterization while matching the publication expectations of The Journal of Organic Chemistry.</vt:lpwstr>
  </property>
  <property fmtid="{D5CDD505-2E9C-101B-9397-08002B2CF9AE}" pid="3" name="date">
    <vt:lpwstr/>
  </property>
</Properties>
</file>