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 physics-informed matrix engine bypasses scaling relations in alkyne-poisoned catalytic interfaces — Part 2</w:t>
      </w:r>
    </w:p>
    <w:p>
      <w:pPr>
        <w:pStyle w:val="Author"/>
      </w:pPr>
      <w:r>
        <w:rPr>
          <w:b/>
          <w:bCs/>
        </w:rPr>
        <w:t xml:space="preserve">Aniema Ekemini</w:t>
      </w:r>
      <w:r>
        <w:t xml:space="preserve">,</w:t>
      </w:r>
      <w:r>
        <w:t xml:space="preserve"> </w:t>
      </w:r>
      <w:r>
        <w:rPr>
          <w:b/>
          <w:bCs/>
        </w:rPr>
        <w:t xml:space="preserve">Ededet Asuquo</w:t>
      </w:r>
      <w:r>
        <w:br/>
      </w:r>
      <w:r>
        <w:t xml:space="preserve">Southern British High School, Calabar, CRS, Nigeria</w:t>
      </w:r>
    </w:p>
    <w:p>
      <w:pPr>
        <w:pStyle w:val="Date"/>
      </w:pPr>
      <w:r>
        <w:t xml:space="preserve">2026-07-04</w:t>
      </w:r>
    </w:p>
    <w:bookmarkStart w:id="12" w:name="methodology-mathematical-derivation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Methodology &amp; Mathematical Derivations</w:t>
      </w:r>
    </w:p>
    <w:bookmarkStart w:id="9" w:name="Xa83a5aa8af95556cccacd2fe63e2c7eb70f3b1b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Physical Justification for the Tight-Binding Framework</w:t>
      </w:r>
    </w:p>
    <w:p>
      <w:pPr>
        <w:pStyle w:val="FirstParagraph"/>
      </w:pPr>
      <w:r>
        <w:t xml:space="preserve">Traditional electronic descriptors, such as the static</w:t>
      </w:r>
      <w:r>
        <w:t xml:space="preserve"> </w:t>
      </w:r>
      <m:oMath>
        <m:r>
          <m:t>d</m:t>
        </m:r>
      </m:oMath>
      <w:r>
        <w:t xml:space="preserve">-band center, collapse the entire electronic structure of a catalytic surface into a single scalar value. This approximation holds well for simple, single-atom adsorbates like atomic oxygen or hydrogen </w:t>
      </w:r>
      <w:r>
        <w:t xml:space="preserve">(</w:t>
      </w:r>
      <w:r>
        <w:rPr>
          <w:b/>
          <w:bCs/>
        </w:rPr>
        <w:t xml:space="preserve">norskov2009?</w:t>
      </w:r>
      <w:r>
        <w:t xml:space="preserve">)</w:t>
      </w:r>
      <w:r>
        <w:t xml:space="preserve">. However, it fails fundamentally for polyatomic molecular adsorbates like terminal alkynes (</w:t>
      </w:r>
      <m:oMath>
        <m:r>
          <m:rPr>
            <m:nor/>
            <m:sty m:val="p"/>
          </m:rPr>
          <m:t>R</m:t>
        </m:r>
        <m:r>
          <m:rPr>
            <m:sty m:val="p"/>
          </m:rPr>
          <m:t>−</m:t>
        </m:r>
        <m:r>
          <m:rPr>
            <m:nor/>
            <m:sty m:val="p"/>
          </m:rPr>
          <m:t>C</m:t>
        </m:r>
        <m:r>
          <m:rPr>
            <m:sty m:val="p"/>
          </m:rPr>
          <m:t>≡</m:t>
        </m:r>
        <m:r>
          <m:rPr>
            <m:nor/>
            <m:sty m:val="p"/>
          </m:rPr>
          <m:t>H</m:t>
        </m:r>
      </m:oMath>
      <w:r>
        <w:t xml:space="preserve">). Alkyne adsorption is inherently a multi-center phenomenon governed by the Dewar-Chatt-Duncanson (DCD) paradigm </w:t>
      </w:r>
      <w:r>
        <w:t xml:space="preserve">(</w:t>
      </w:r>
      <w:r>
        <w:rPr>
          <w:b/>
          <w:bCs/>
        </w:rPr>
        <w:t xml:space="preserve">chatt1953?</w:t>
      </w:r>
      <w:r>
        <w:t xml:space="preserve">)</w:t>
      </w:r>
      <w:r>
        <w:t xml:space="preserve">. This interaction involves two simultaneous, competing pathways:</w:t>
      </w:r>
      <w:r>
        <w:t xml:space="preserve"> </w:t>
      </w:r>
      <m:oMath>
        <m:r>
          <m:t>σ</m:t>
        </m:r>
      </m:oMath>
      <w:r>
        <w:t xml:space="preserve">-donation from the alkyne</w:t>
      </w:r>
      <w:r>
        <w:t xml:space="preserve"> </w:t>
      </w:r>
      <m:oMath>
        <m:r>
          <m:t>π</m:t>
        </m:r>
      </m:oMath>
      <w:r>
        <w:t xml:space="preserve">-orbital to empty metal</w:t>
      </w:r>
      <w:r>
        <w:t xml:space="preserve"> </w:t>
      </w:r>
      <m:oMath>
        <m:r>
          <m:t>d</m:t>
        </m:r>
      </m:oMath>
      <w:r>
        <w:t xml:space="preserve">-orbitals, and</w:t>
      </w:r>
      <w:r>
        <w:t xml:space="preserve"> </w:t>
      </w:r>
      <m:oMath>
        <m:r>
          <m:t>π</m:t>
        </m:r>
      </m:oMath>
      <w:r>
        <w:t xml:space="preserve">-backbonding from occupied metal</w:t>
      </w:r>
      <w:r>
        <w:t xml:space="preserve"> </w:t>
      </w:r>
      <m:oMath>
        <m:r>
          <m:t>d</m:t>
        </m:r>
      </m:oMath>
      <w:r>
        <w:t xml:space="preserve">-orbitals into the alkyne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-antibonding orbital.</w:t>
      </w:r>
    </w:p>
    <w:p>
      <w:pPr>
        <w:pStyle w:val="BodyText"/>
      </w:pPr>
      <w:r>
        <w:t xml:space="preserve">To capture this multi-center orbital mixing without the massive computational expense of periodic DFT, we select a tight-binding framework based on a modified three-center Hückel-Coulson Hamiltonian. This choice is justified by three key factors: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Computational Efficiency:</w:t>
      </w:r>
      <w:r>
        <w:t xml:space="preserve"> </w:t>
      </w:r>
      <w:r>
        <w:t xml:space="preserve">It reduces the electronic structure of the interface to its essential frontier orbitals, allowing candidate configurations to be evaluated in less than 0.2 milliseconds.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Physical Interpretability:</w:t>
      </w:r>
      <w:r>
        <w:t xml:space="preserve"> </w:t>
      </w:r>
      <w:r>
        <w:t xml:space="preserve">By solving the secular equations analytically, we can directly separate individual electronic contributions that are usually lumped together in black-box machine learning models.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Dynamic Response:</w:t>
      </w:r>
      <w:r>
        <w:t xml:space="preserve"> </w:t>
      </w:r>
      <w:r>
        <w:t xml:space="preserve">Unlike static descriptors, this model accounts for changes in the active-site wavefunction as a function of coordination distance (</w:t>
      </w:r>
      <m:oMath>
        <m:r>
          <m:t>r</m:t>
        </m:r>
      </m:oMath>
      <w:r>
        <w:t xml:space="preserve">) and the local chemical environment.</w:t>
      </w:r>
    </w:p>
    <w:bookmarkEnd w:id="9"/>
    <w:bookmarkStart w:id="10" w:name="X391ed2b4f186fe4f31ab05770686bad471389a2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Construction of the Localized Tight-Binding Hamiltonian</w:t>
      </w:r>
    </w:p>
    <w:p>
      <w:pPr>
        <w:pStyle w:val="FirstParagraph"/>
      </w:pPr>
      <w:r>
        <w:t xml:space="preserve">We model the interface using a localized three-center basis set comprised of the active metal site orbital (</w:t>
      </w:r>
      <m:oMath>
        <m:r>
          <m:rPr>
            <m:sty m:val="p"/>
          </m:rPr>
          <m:t>|</m:t>
        </m:r>
        <m:r>
          <m:t>​</m:t>
        </m:r>
        <m:r>
          <m:t>M</m:t>
        </m:r>
        <m:r>
          <m:rPr>
            <m:sty m:val="p"/>
          </m:rPr>
          <m:t>⟩</m:t>
        </m:r>
      </m:oMath>
      <w:r>
        <w:t xml:space="preserve">), the terminal alkyne carbon atom orbital (</w:t>
      </w:r>
      <m:oMath>
        <m:r>
          <m:rPr>
            <m:sty m:val="p"/>
          </m:rPr>
          <m:t>|</m:t>
        </m:r>
        <m:r>
          <m:t>​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⟩</m:t>
        </m:r>
      </m:oMath>
      <w:r>
        <w:t xml:space="preserve">), and the internal alkyne carbon atom orbital (</w:t>
      </w:r>
      <m:oMath>
        <m:r>
          <m:rPr>
            <m:sty m:val="p"/>
          </m:rPr>
          <m:t>|</m:t>
        </m:r>
        <m:r>
          <m:t>​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⟩</m:t>
        </m:r>
      </m:oMath>
      <w:r>
        <w:t xml:space="preserve">). In this localized basis, the effective real symmetric tridiagonal Hamiltonian matrix (</w:t>
      </w:r>
      <m:oMath>
        <m:r>
          <m:rPr>
            <m:sty m:val="bi"/>
          </m:rPr>
          <m:t>H</m:t>
        </m:r>
      </m:oMath>
      <w:r>
        <w:t xml:space="preserve">) is written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C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C</m:t>
                        </m:r>
                      </m:sub>
                    </m:sSub>
                  </m:e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C</m:t>
                        </m:r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represents the effective on-site energy of the active metal site,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C</m:t>
            </m:r>
            <m:r>
              <m:t>2</m:t>
            </m:r>
          </m:sub>
        </m:sSub>
      </m:oMath>
      <w:r>
        <w:t xml:space="preserve"> </w:t>
      </w:r>
      <w:r>
        <w:t xml:space="preserve">represent the on-site energies of the carbon atoms, and</w:t>
      </w:r>
      <w:r>
        <w:t xml:space="preserve"> </w:t>
      </w:r>
      <m:oMath>
        <m:sSub>
          <m:e>
            <m:r>
              <m:t>β</m:t>
            </m:r>
          </m:e>
          <m:sub>
            <m:r>
              <m:t>C</m:t>
            </m:r>
            <m:r>
              <m:rPr>
                <m:sty m:val="p"/>
              </m:rPr>
              <m:t>≡</m:t>
            </m:r>
            <m:r>
              <m:t>C</m:t>
            </m:r>
          </m:sub>
        </m:sSub>
      </m:oMath>
      <w:r>
        <w:t xml:space="preserve"> </w:t>
      </w:r>
      <w:r>
        <w:t xml:space="preserve">is set as a constant structural parameter (</w:t>
      </w:r>
      <m:oMath>
        <m:r>
          <m:rPr>
            <m:sty m:val="p"/>
          </m:rPr>
          <m:t>−</m:t>
        </m:r>
        <m:r>
          <m:t>7.20</m:t>
        </m:r>
        <m:r>
          <m:rPr>
            <m:nor/>
            <m:sty m:val="p"/>
          </m:rPr>
          <m:t> eV</m:t>
        </m:r>
      </m:oMath>
      <w:r>
        <w:t xml:space="preserve">). The interfacial coupling is governed by a modified Wolfsberg-Helmholz approximation combined with an exponential overlap decay function </w:t>
      </w:r>
      <w:r>
        <w:t xml:space="preserve">(</w:t>
      </w:r>
      <w:r>
        <w:rPr>
          <w:b/>
          <w:bCs/>
        </w:rPr>
        <w:t xml:space="preserve">wolfsberg1952?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scale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k</m:t>
              </m:r>
              <m:r>
                <m:t>a</m:t>
              </m:r>
              <m:r>
                <m:t>p</m:t>
              </m:r>
              <m:r>
                <m:t>p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scale</m:t>
            </m:r>
          </m:sub>
        </m:sSub>
        <m:r>
          <m:rPr>
            <m:sty m:val="p"/>
          </m:rPr>
          <m:t>=</m:t>
        </m:r>
        <m:r>
          <m:t>1.75</m:t>
        </m:r>
      </m:oMath>
      <w:r>
        <w:t xml:space="preserve">,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1.2</m:t>
        </m:r>
        <m:sSup>
          <m:e>
            <m:r>
              <m:rPr>
                <m:nor/>
                <m:sty m:val="p"/>
              </m:rPr>
              <m:t> Å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nor/>
            <m:sty m:val="p"/>
          </m:rPr>
          <m:t> Å</m:t>
        </m:r>
      </m:oMath>
      <w:r>
        <w:t xml:space="preserve">.</w:t>
      </w:r>
    </w:p>
    <w:bookmarkEnd w:id="10"/>
    <w:bookmarkStart w:id="11" w:name="Xc498b082a28ec7de609ce99f9c8cd0711ff3fc3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Step-by-Step Derivation of Eigenvalues and Wavefunctions</w:t>
      </w:r>
    </w:p>
    <w:p>
      <w:pPr>
        <w:pStyle w:val="FirstParagraph"/>
      </w:pPr>
      <w:r>
        <w:t xml:space="preserve">To determine the electronic energy states, we solve the secular determinant: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bi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Expanding this determinant along the first row yields the characteristic cubic polynomial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β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≡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−</m:t>
          </m:r>
          <m:sSubSup>
            <m:e>
              <m:r>
                <m:t>β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C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lowest root corresponds to the primary bonding ground-state eigenvalue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bond</m:t>
            </m:r>
          </m:sub>
        </m:sSub>
      </m:oMath>
      <w:r>
        <w:t xml:space="preserve">) </w:t>
      </w:r>
      <w:r>
        <w:t xml:space="preserve">(</w:t>
      </w:r>
      <w:r>
        <w:rPr>
          <w:b/>
          <w:bCs/>
        </w:rPr>
        <w:t xml:space="preserve">wilkinson1965?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bond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ad>
            <m:radPr>
              <m:degHide m:val="on"/>
            </m:radPr>
            <m:deg/>
            <m:e>
              <m:r>
                <m:t>Q</m:t>
              </m:r>
            </m:e>
          </m:ra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Once the eigenvalues are established, we evaluate the wavefunctions to determine the dynamic quantum descriptors. The local</w:t>
      </w:r>
      <w:r>
        <w:t xml:space="preserve"> </w:t>
      </w:r>
      <m:oMath>
        <m:r>
          <m:t>π</m:t>
        </m:r>
      </m:oMath>
      <w:r>
        <w:t xml:space="preserve">-backbonding susceptibility (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π</m:t>
            </m:r>
          </m:sub>
        </m:sSub>
      </m:oMath>
      <w:r>
        <w:t xml:space="preserve">) is isolated via second-order perturbation theory relative to the unmixed alkyne LUMO level (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LUMO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C</m:t>
            </m:r>
            <m:r>
              <m:t>1</m:t>
            </m:r>
          </m:sub>
        </m:sSub>
        <m:r>
          <m:rPr>
            <m:sty m:val="p"/>
          </m:rPr>
          <m:t>−</m:t>
        </m:r>
        <m:r>
          <m:t>0.5</m:t>
        </m:r>
        <m:r>
          <m:rPr>
            <m:nor/>
            <m:sty m:val="p"/>
          </m:rPr>
          <m:t> eV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LUMO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Using Coulson’s population analysis method, the net ground-state charge density localized at the terminal carbon atom (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) is determined assuming a two-electron filling of the lowest energy channel </w:t>
      </w:r>
      <w:r>
        <w:t xml:space="preserve">(</w:t>
      </w:r>
      <w:r>
        <w:rPr>
          <w:b/>
          <w:bCs/>
        </w:rPr>
        <w:t xml:space="preserve">coulson1939?</w:t>
      </w:r>
      <w:r>
        <w:t xml:space="preserve">;</w:t>
      </w:r>
      <w:r>
        <w:t xml:space="preserve"> </w:t>
      </w:r>
      <w:r>
        <w:rPr>
          <w:b/>
          <w:bCs/>
        </w:rPr>
        <w:t xml:space="preserve">murrell1978?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C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is the exact terminal carbon eigenvector coefficient derived from the system secular components: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C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bond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C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C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≡</m:t>
                      </m:r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10</w:t>
      </w:r>
      <w:r>
        <w:t xml:space="preserve"> </w:t>
      </w:r>
      <w:r>
        <w:t xml:space="preserve">Nørskov, J. K. et al.</w:t>
      </w:r>
      <w:r>
        <w:t xml:space="preserve"> </w:t>
      </w:r>
      <w:r>
        <w:rPr>
          <w:i/>
          <w:iCs/>
        </w:rPr>
        <w:t xml:space="preserve">Nature Chem.</w:t>
      </w:r>
      <w:r>
        <w:t xml:space="preserve"> </w:t>
      </w:r>
      <w:r>
        <w:rPr>
          <w:b/>
          <w:bCs/>
        </w:rPr>
        <w:t xml:space="preserve">1</w:t>
      </w:r>
      <w:r>
        <w:t xml:space="preserve">, 22–30 (2009).</w:t>
      </w:r>
      <w:r>
        <w:t xml:space="preserve"> </w:t>
      </w:r>
      <w:r>
        <w:t xml:space="preserve">Chatt, J. &amp; Duncanson, L. A.</w:t>
      </w:r>
      <w:r>
        <w:t xml:space="preserve"> </w:t>
      </w:r>
      <w:r>
        <w:rPr>
          <w:i/>
          <w:iCs/>
        </w:rPr>
        <w:t xml:space="preserve">J. Chem. Soc.</w:t>
      </w:r>
      <w:r>
        <w:t xml:space="preserve"> </w:t>
      </w:r>
      <w:r>
        <w:t xml:space="preserve">2939–2947 (1953).</w:t>
      </w:r>
      <w:r>
        <w:t xml:space="preserve"> </w:t>
      </w:r>
      <w:r>
        <w:t xml:space="preserve">Wolfsberg, M. &amp; Helmholz, L.</w:t>
      </w:r>
      <w:r>
        <w:t xml:space="preserve"> </w:t>
      </w:r>
      <w:r>
        <w:rPr>
          <w:i/>
          <w:iCs/>
        </w:rPr>
        <w:t xml:space="preserve">J. Chem. Phys.</w:t>
      </w:r>
      <w:r>
        <w:t xml:space="preserve"> </w:t>
      </w:r>
      <w:r>
        <w:rPr>
          <w:b/>
          <w:bCs/>
        </w:rPr>
        <w:t xml:space="preserve">20</w:t>
      </w:r>
      <w:r>
        <w:t xml:space="preserve">, 837–843 (1952).</w:t>
      </w:r>
      <w:r>
        <w:t xml:space="preserve"> </w:t>
      </w:r>
      <w:r>
        <w:t xml:space="preserve">Wilkinson, J. H.</w:t>
      </w:r>
      <w:r>
        <w:t xml:space="preserve"> </w:t>
      </w:r>
      <w:r>
        <w:rPr>
          <w:i/>
          <w:iCs/>
        </w:rPr>
        <w:t xml:space="preserve">The Algebraic Eigenvalue Problem</w:t>
      </w:r>
      <w:r>
        <w:t xml:space="preserve">. (Clarendon Press, 1965).</w:t>
      </w:r>
      <w:r>
        <w:t xml:space="preserve"> </w:t>
      </w:r>
      <w:r>
        <w:t xml:space="preserve">Coulson, C. A.</w:t>
      </w:r>
      <w:r>
        <w:t xml:space="preserve"> </w:t>
      </w:r>
      <w:r>
        <w:rPr>
          <w:i/>
          <w:iCs/>
        </w:rPr>
        <w:t xml:space="preserve">Proc. R. Soc. Lond. A</w:t>
      </w:r>
      <w:r>
        <w:t xml:space="preserve"> </w:t>
      </w:r>
      <w:r>
        <w:rPr>
          <w:b/>
          <w:bCs/>
        </w:rPr>
        <w:t xml:space="preserve">169</w:t>
      </w:r>
      <w:r>
        <w:t xml:space="preserve">, 413–428 (1939).</w:t>
      </w:r>
      <w:r>
        <w:t xml:space="preserve"> </w:t>
      </w:r>
      <w:r>
        <w:t xml:space="preserve">Murrell, J. N. et al.</w:t>
      </w:r>
      <w:r>
        <w:t xml:space="preserve"> </w:t>
      </w:r>
      <w:r>
        <w:rPr>
          <w:i/>
          <w:iCs/>
        </w:rPr>
        <w:t xml:space="preserve">The Chemical Bond</w:t>
      </w:r>
      <w:r>
        <w:t xml:space="preserve">. (Wiley, 1978).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physics-informed matrix engine bypasses scaling relations in alkyne-poisoned catalytic interfaces — Part 2</dc:title>
  <dc:creator>Aniema Ekemini, Ededet Asuquo Southern British High School, Calabar, CRS, Nigeria</dc:creator>
  <cp:keywords/>
  <dcterms:created xsi:type="dcterms:W3CDTF">2026-07-04T16:30:36Z</dcterms:created>
  <dcterms:modified xsi:type="dcterms:W3CDTF">2026-07-04T16:30:36Z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2026-07-04</vt:lpwstr>
  </property>
</Properties>
</file>