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physics-informed matrix engine bypasses scaling relations in alkyne-poisoned catalytic interfaces — Part 1</w:t>
      </w:r>
    </w:p>
    <w:p>
      <w:pPr>
        <w:pStyle w:val="Author"/>
      </w:pPr>
      <w:r>
        <w:rPr>
          <w:b/>
          <w:bCs/>
        </w:rPr>
        <w:t xml:space="preserve">Aniema Ekemini</w:t>
      </w:r>
      <w:r>
        <w:rPr>
          <w:rStyle w:val="FootnoteReference"/>
        </w:rPr>
        <w:footnoteReference w:id="9"/>
      </w:r>
      <w:r>
        <w:br/>
      </w:r>
      <w:r>
        <w:t xml:space="preserve">Department of Science, Southern British High School, Calabar, CRS, Nigeria</w:t>
      </w:r>
    </w:p>
    <w:p>
      <w:pPr>
        <w:pStyle w:val="Author"/>
      </w:pPr>
      <w:r>
        <w:rPr>
          <w:b/>
          <w:bCs/>
        </w:rPr>
        <w:t xml:space="preserve">Ededet Asuquo</w:t>
      </w:r>
      <w:r>
        <w:br/>
      </w:r>
      <w:r>
        <w:t xml:space="preserve">Department of Science, Southern British High School, Calabar, CRS, Nigeria</w:t>
      </w:r>
    </w:p>
    <w:p>
      <w:pPr>
        <w:pStyle w:val="Date"/>
      </w:pPr>
      <w:r>
        <w:t xml:space="preserve">July 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High-throughput catalyst design is frequently constrained by linear scaling relations, which enforce a strict compromise between catalytic activity and interface deactivation. In the selective hydrogenation of olefins, terminal alkyne impurities cause severe active-site poisoning via irreversible</w:t>
      </w:r>
      <w:r>
        <w:t xml:space="preserve"> </w:t>
      </w:r>
      <m:oMath>
        <m:r>
          <m:t>σ</m:t>
        </m:r>
      </m:oMath>
      <w:r>
        <w:t xml:space="preserve">-acetylide formation, yet traditional static electronic descriptors fail to distinguish this destructive path from benign</w:t>
      </w:r>
      <w:r>
        <w:t xml:space="preserve"> </w:t>
      </w:r>
      <m:oMath>
        <m:r>
          <m:t>π</m:t>
        </m:r>
      </m:oMath>
      <w:r>
        <w:t xml:space="preserve">-coordination. Here, we report a physical tight-binding framework based on a modified three-center Hückel-Coulson Hamiltonian that resolves this limitation by evaluating quantum mechanical conservation principles in sub-millisecond cycles. By deriving dynamic wavefunction-based descriptors—</w:t>
      </w:r>
      <m:oMath>
        <m:r>
          <m:t>π</m:t>
        </m:r>
      </m:oMath>
      <w:r>
        <w:t xml:space="preserve">-backbonding susceptibility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) and Coulson charge redistribution (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)—our matrix engine successfully isolates and maps the electronic phase boundaries governing poisoning pathways. Screening a digital library of 300,000 distinct catalyst–reactant configurations uncovers a class of coinage-metal single-atom alloys and spatially confined single-atom catalysts that completely bypass classical scaling trends through local charge inversion. Kinetic Monte Carlo simulations driven by these physics-embedded metrics predict near-infinite active-site preservation under realistic process environments. This computationally scalable framework replaces black-box correlations with explicit chemical intuition, offering an adaptable paradigm for navigating complex catalytic phase spaces.</w:t>
      </w:r>
    </w:p>
    <w:bookmarkStart w:id="1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High-throughput computational screening has emerged as a cornerstone of modern catalyst discovery, yet its velocity is fundamentally throttled by the persistent challenge of catalyst deactivation </w:t>
      </w:r>
      <w:r>
        <w:t xml:space="preserve">(</w:t>
      </w:r>
      <w:r>
        <w:rPr>
          <w:b/>
          <w:bCs/>
        </w:rPr>
        <w:t xml:space="preserve">norskov2009?</w:t>
      </w:r>
      <w:r>
        <w:t xml:space="preserve">)</w:t>
      </w:r>
      <w:r>
        <w:t xml:space="preserve">. In industrial chemical purification streams—most notably the selective hydrogenation of ethylene feeds—the presence of trace terminal alkynes (such as acetylene or propyne) presents a severe poisoning risk to transition metal active sites </w:t>
      </w:r>
      <w:r>
        <w:t xml:space="preserve">(</w:t>
      </w:r>
      <w:r>
        <w:rPr>
          <w:b/>
          <w:bCs/>
        </w:rPr>
        <w:t xml:space="preserve">studt2008?</w:t>
      </w:r>
      <w:r>
        <w:t xml:space="preserve">)</w:t>
      </w:r>
      <w:r>
        <w:t xml:space="preserve">. These impurities undergo rapid, competitive adsorption, triggering irreversible active-site blocking that degrades catalyst lifetime and product selectivity </w:t>
      </w:r>
      <w:r>
        <w:t xml:space="preserve">(</w:t>
      </w:r>
      <w:r>
        <w:rPr>
          <w:b/>
          <w:bCs/>
        </w:rPr>
        <w:t xml:space="preserve">curtarolo2013?</w:t>
      </w:r>
      <w:r>
        <w:t xml:space="preserve">)</w:t>
      </w:r>
      <w:r>
        <w:t xml:space="preserve">.</w:t>
      </w:r>
    </w:p>
    <w:p>
      <w:pPr>
        <w:pStyle w:val="BodyText"/>
      </w:pPr>
      <w:r>
        <w:t xml:space="preserve">Historically, navigating this design space has relied on linear scaling relations, which assert a strict thermodynamic correlation between the binding energies of reaction intermediates and those of poisonous side-products </w:t>
      </w:r>
      <w:r>
        <w:t xml:space="preserve">(</w:t>
      </w:r>
      <w:r>
        <w:rPr>
          <w:b/>
          <w:bCs/>
        </w:rPr>
        <w:t xml:space="preserve">xin2014?</w:t>
      </w:r>
      <w:r>
        <w:t xml:space="preserve">)</w:t>
      </w:r>
      <w:r>
        <w:t xml:space="preserve">. Consequently, efforts to optimize the catalytic interface for alkene production inevitably exacerbate its vulnerability to permanent alkyne deactivation. This compromise reveals a fundamental limitation in our current descriptor paradigms. Traditional static metrics, such as the surface</w:t>
      </w:r>
      <w:r>
        <w:t xml:space="preserve"> </w:t>
      </w:r>
      <m:oMath>
        <m:r>
          <m:t>d</m:t>
        </m:r>
      </m:oMath>
      <w:r>
        <w:t xml:space="preserve">-band center (</w:t>
      </w:r>
      <m:oMath>
        <m:sSub>
          <m:e>
            <m:r>
              <m:t>ε</m:t>
            </m:r>
          </m:e>
          <m:sub>
            <m:r>
              <m:t>d</m:t>
            </m:r>
          </m:sub>
        </m:sSub>
      </m:oMath>
      <w:r>
        <w:t xml:space="preserve">), assume an unyielding electronic state during the coordination process. In doing so, they fail to capture the dynamic orbital hybridization, local charge redistribution, and symmetry-allowed mixing that occur as a reactant approaches an active site.</w:t>
      </w:r>
    </w:p>
    <w:p>
      <w:pPr>
        <w:pStyle w:val="BodyText"/>
      </w:pPr>
      <w:r>
        <w:t xml:space="preserve">To bypass the limitations of linear scaling relations, recent computational discovery pipelines have shifted toward high-throughput screening using density functional theory (DFT). While DFT offers detailed insight into electronic structures, its high computational demand makes it impractical for exploring vast, multi-component chemical spaces or complex alloy surfaces </w:t>
      </w:r>
      <w:r>
        <w:t xml:space="preserve">(</w:t>
      </w:r>
      <w:r>
        <w:rPr>
          <w:b/>
          <w:bCs/>
        </w:rPr>
        <w:t xml:space="preserve">butler2018?</w:t>
      </w:r>
      <w:r>
        <w:t xml:space="preserve">)</w:t>
      </w:r>
      <w:r>
        <w:t xml:space="preserve">. This issue has led to the widespread adoption of data-driven machine learning (ML) models </w:t>
      </w:r>
      <w:r>
        <w:t xml:space="preserve">(</w:t>
      </w:r>
      <w:r>
        <w:rPr>
          <w:b/>
          <w:bCs/>
        </w:rPr>
        <w:t xml:space="preserve">goldsmith2018?</w:t>
      </w:r>
      <w:r>
        <w:t xml:space="preserve">)</w:t>
      </w:r>
      <w:r>
        <w:t xml:space="preserve">.</w:t>
      </w:r>
    </w:p>
    <w:p>
      <w:pPr>
        <w:pStyle w:val="BodyText"/>
      </w:pPr>
      <w:r>
        <w:t xml:space="preserve">However, pure ML screening approaches often act as uninterpretable black boxes, mapping structural inputs directly to adsorption energies without providing physical or chemical context </w:t>
      </w:r>
      <w:r>
        <w:t xml:space="preserve">(</w:t>
      </w:r>
      <w:r>
        <w:rPr>
          <w:b/>
          <w:bCs/>
        </w:rPr>
        <w:t xml:space="preserve">xie2018?</w:t>
      </w:r>
      <w:r>
        <w:t xml:space="preserve">)</w:t>
      </w:r>
      <w:r>
        <w:t xml:space="preserve">. Many of these models lack explicit physical constraints, such as quantum mechanical conservation principles or orbital symmetry rules </w:t>
      </w:r>
      <w:r>
        <w:t xml:space="preserve">(</w:t>
      </w:r>
      <w:r>
        <w:rPr>
          <w:b/>
          <w:bCs/>
        </w:rPr>
        <w:t xml:space="preserve">voyles2021?</w:t>
      </w:r>
      <w:r>
        <w:t xml:space="preserve">)</w:t>
      </w:r>
      <w:r>
        <w:t xml:space="preserve">. When applied to complex tasks like alkyne coordination, generic ML models frequently fail to distinguish between non-destructive, reversible</w:t>
      </w:r>
      <w:r>
        <w:t xml:space="preserve"> </w:t>
      </w:r>
      <m:oMath>
        <m:r>
          <m:t>π</m:t>
        </m:r>
      </m:oMath>
      <w:r>
        <w:t xml:space="preserve">-coordination and destructive, irreversible</w:t>
      </w:r>
      <w:r>
        <w:t xml:space="preserve"> </w:t>
      </w:r>
      <m:oMath>
        <m:r>
          <m:t>σ</m:t>
        </m:r>
      </m:oMath>
      <w:r>
        <w:t xml:space="preserve">-acetylide formation. This systematic blind spot highlights the urgent need for a screening method that combines the speed of data-driven models with the physical rigor and interpretability of quantum mechanics.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Nørskov, J. K. et al.</w:t>
      </w:r>
      <w:r>
        <w:t xml:space="preserve"> </w:t>
      </w:r>
      <w:r>
        <w:rPr>
          <w:i/>
          <w:iCs/>
        </w:rPr>
        <w:t xml:space="preserve">Nature Chem.</w:t>
      </w:r>
      <w:r>
        <w:t xml:space="preserve"> </w:t>
      </w:r>
      <w:r>
        <w:rPr>
          <w:b/>
          <w:bCs/>
        </w:rPr>
        <w:t xml:space="preserve">1</w:t>
      </w:r>
      <w:r>
        <w:t xml:space="preserve">, 22–30 (2009).</w:t>
      </w:r>
      <w:r>
        <w:t xml:space="preserve"> </w:t>
      </w:r>
      <w:r>
        <w:t xml:space="preserve">Studt, F. et al.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320</w:t>
      </w:r>
      <w:r>
        <w:t xml:space="preserve">, 1320–1322 (2008).</w:t>
      </w:r>
      <w:r>
        <w:t xml:space="preserve"> </w:t>
      </w:r>
      <w:r>
        <w:t xml:space="preserve">Curtarolo, S. et al.</w:t>
      </w:r>
      <w:r>
        <w:t xml:space="preserve"> </w:t>
      </w:r>
      <w:r>
        <w:rPr>
          <w:i/>
          <w:iCs/>
        </w:rPr>
        <w:t xml:space="preserve">Nature Mater.</w:t>
      </w:r>
      <w:r>
        <w:t xml:space="preserve"> </w:t>
      </w:r>
      <w:r>
        <w:rPr>
          <w:b/>
          <w:bCs/>
        </w:rPr>
        <w:t xml:space="preserve">12</w:t>
      </w:r>
      <w:r>
        <w:t xml:space="preserve">, 191–201 (2013).</w:t>
      </w:r>
      <w:r>
        <w:t xml:space="preserve"> </w:t>
      </w:r>
      <w:r>
        <w:t xml:space="preserve">Xin, H. et al.</w:t>
      </w:r>
      <w:r>
        <w:t xml:space="preserve"> </w:t>
      </w:r>
      <w:r>
        <w:rPr>
          <w:i/>
          <w:iCs/>
        </w:rPr>
        <w:t xml:space="preserve">J. Phys. Chem. Lett.</w:t>
      </w:r>
      <w:r>
        <w:t xml:space="preserve"> </w:t>
      </w:r>
      <w:r>
        <w:rPr>
          <w:b/>
          <w:bCs/>
        </w:rPr>
        <w:t xml:space="preserve">5</w:t>
      </w:r>
      <w:r>
        <w:t xml:space="preserve">, 240–244 (2014).</w:t>
      </w:r>
      <w:r>
        <w:t xml:space="preserve"> </w:t>
      </w:r>
      <w:r>
        <w:t xml:space="preserve">Butler, K. T. et al.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559</w:t>
      </w:r>
      <w:r>
        <w:t xml:space="preserve">, 547–555 (2018).</w:t>
      </w:r>
      <w:r>
        <w:t xml:space="preserve"> </w:t>
      </w:r>
      <w:r>
        <w:t xml:space="preserve">Goldsmith, B. R. et al.</w:t>
      </w:r>
      <w:r>
        <w:t xml:space="preserve"> </w:t>
      </w:r>
      <w:r>
        <w:rPr>
          <w:i/>
          <w:iCs/>
        </w:rPr>
        <w:t xml:space="preserve">AIChE J.</w:t>
      </w:r>
      <w:r>
        <w:t xml:space="preserve"> </w:t>
      </w:r>
      <w:r>
        <w:rPr>
          <w:b/>
          <w:bCs/>
        </w:rPr>
        <w:t xml:space="preserve">64</w:t>
      </w:r>
      <w:r>
        <w:t xml:space="preserve">, 2311–2323 (2018).</w:t>
      </w:r>
      <w:r>
        <w:t xml:space="preserve"> </w:t>
      </w:r>
      <w:r>
        <w:t xml:space="preserve">Xie, T. &amp; Grossman, J. C.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rPr>
          <w:b/>
          <w:bCs/>
        </w:rPr>
        <w:t xml:space="preserve">120</w:t>
      </w:r>
      <w:r>
        <w:t xml:space="preserve">, 145301 (2018).</w:t>
      </w:r>
      <w:r>
        <w:t xml:space="preserve"> </w:t>
      </w:r>
      <w:r>
        <w:t xml:space="preserve">Voyles, J. M. et al.</w:t>
      </w:r>
      <w:r>
        <w:t xml:space="preserve"> </w:t>
      </w:r>
      <w:r>
        <w:rPr>
          <w:i/>
          <w:iCs/>
        </w:rPr>
        <w:t xml:space="preserve">ACS Catal.</w:t>
      </w:r>
      <w:r>
        <w:t xml:space="preserve"> </w:t>
      </w:r>
      <w:r>
        <w:rPr>
          <w:b/>
          <w:bCs/>
        </w:rPr>
        <w:t xml:space="preserve">11</w:t>
      </w:r>
      <w:r>
        <w:t xml:space="preserve">, 3241–3250 (2021).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 author. Email:</w:t>
      </w:r>
      <w:r>
        <w:t xml:space="preserve"> </w:t>
      </w:r>
      <w:hyperlink r:id="rId10">
        <w:r>
          <w:rPr>
            <w:rStyle w:val="Hyperlink"/>
          </w:rPr>
          <w:t xml:space="preserve">ekemjah5@gmail.com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mailto:ekemjah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ailto:ekemjah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physics-informed matrix engine bypasses scaling relations in alkyne-poisoned catalytic interfaces — Part 1</dc:title>
  <dc:creator>Aniema Ekemini Department of Science, Southern British High School, Calabar, CRS, Nigeria; Ededet Asuquo Department of Science, Southern British High School, Calabar, CRS, Nigeria</dc:creator>
  <cp:keywords/>
  <dcterms:created xsi:type="dcterms:W3CDTF">2026-07-04T16:45:25Z</dcterms:created>
  <dcterms:modified xsi:type="dcterms:W3CDTF">2026-07-04T16:45:25Z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High-throughput catalyst design is frequently constrained by linear scaling relations, which enforce a strict compromise between catalytic activity and interface deactivation. In the selective hydrogenation of olefins, terminal alkyne impurities cause severe active-site poisoning via irreversible \sigma-acetylide formation, yet traditional static electronic descriptors fail to distinguish this destructive path from benign \pi-coordination. Here, we report a physical tight-binding framework based on a modified three-center Hückel-Coulson Hamiltonian that resolves this limitation by evaluating quantum mechanical conservation principles in sub-millisecond cycles. By deriving dynamic wavefunction-based descriptors—\pi-backbonding susceptibility (\Delta E_{\pi}) and Coulson charge redistribution (\Delta q_{C1})—our matrix engine successfully isolates and maps the electronic phase boundaries governing poisoning pathways. Screening a digital library of 300,000 distinct catalyst–reactant configurations uncovers a class of coinage-metal single-atom alloys and spatially confined single-atom catalysts that completely bypass classical scaling trends through local charge inversion. Kinetic Monte Carlo simulations driven by these physics-embedded metrics predict near-infinite active-site preservation under realistic process environments. This computationally scalable framework replaces black-box correlations with explicit chemical intuition, offering an adaptable paradigm for navigating complex catalytic phase spaces.</vt:lpwstr>
  </property>
  <property fmtid="{D5CDD505-2E9C-101B-9397-08002B2CF9AE}" pid="3" name="date">
    <vt:lpwstr>July 4, 2026</vt:lpwstr>
  </property>
</Properties>
</file>