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A physics-informed matrix engine bypasses scaling relations in alkyne-poisoned catalytic interfaces — Part 3</w:t>
      </w:r>
    </w:p>
    <w:p>
      <w:pPr>
        <w:pStyle w:val="Author"/>
      </w:pPr>
      <w:r>
        <w:rPr>
          <w:b/>
          <w:bCs/>
        </w:rPr>
        <w:t xml:space="preserve">Aniema Ekemini</w:t>
      </w:r>
      <w:r>
        <w:t xml:space="preserve">,</w:t>
      </w:r>
      <w:r>
        <w:t xml:space="preserve"> </w:t>
      </w:r>
      <w:r>
        <w:rPr>
          <w:b/>
          <w:bCs/>
        </w:rPr>
        <w:t xml:space="preserve">Ededet Asuquo</w:t>
      </w:r>
      <w:r>
        <w:br/>
      </w:r>
      <w:r>
        <w:t xml:space="preserve">Southern British High School, Calabar, CRS, Nigeria</w:t>
      </w:r>
    </w:p>
    <w:p>
      <w:pPr>
        <w:pStyle w:val="Date"/>
      </w:pPr>
      <w:r>
        <w:t xml:space="preserve">July 4, 2026</w:t>
      </w:r>
    </w:p>
    <w:bookmarkStart w:id="9" w:name="X75fac171d0823f9e4b2f7895e0e37123b869204"/>
    <w:p>
      <w:pPr>
        <w:pStyle w:val="Heading1"/>
      </w:pPr>
      <w:r>
        <w:rPr>
          <w:rStyle w:val="SectionNumber"/>
        </w:rPr>
        <w:t xml:space="preserve">1</w:t>
      </w:r>
      <w:r>
        <w:tab/>
      </w:r>
      <w:r>
        <w:t xml:space="preserve">Screening Workflow &amp; Computational Architecture</w:t>
      </w:r>
    </w:p>
    <w:p>
      <w:pPr>
        <w:pStyle w:val="FirstParagraph"/>
      </w:pPr>
      <w:r>
        <w:t xml:space="preserve">To screen a large combinatorial library of 300,000 unique interfaces, we paired our analytical physics engine with a Gaussian Process Regression (GPR) surrogate model using a Matérn 5/2 kernel </w:t>
      </w:r>
      <w:r>
        <w:t xml:space="preserve">(</w:t>
      </w:r>
      <w:r>
        <w:rPr>
          <w:b/>
          <w:bCs/>
        </w:rPr>
        <w:t xml:space="preserve">rasmussen2006?</w:t>
      </w:r>
      <w:r>
        <w:t xml:space="preserve">)</w:t>
      </w:r>
      <w:r>
        <w:t xml:space="preserve">. The feature vector (</w:t>
      </w:r>
      <m:oMath>
        <m:r>
          <m:rPr>
            <m:sty m:val="bi"/>
          </m:rPr>
          <m:t>x</m:t>
        </m:r>
      </m:oMath>
      <w:r>
        <w:t xml:space="preserve">) is constructed using exclusively physics-based parameters:</w:t>
      </w:r>
      <w:r>
        <w:t xml:space="preserve"> </w:t>
      </w:r>
      <m:oMath>
        <m:r>
          <m:rPr>
            <m:sty m:val="bi"/>
          </m:rPr>
          <m:t>x</m:t>
        </m:r>
        <m:r>
          <m:rPr>
            <m:sty m:val="p"/>
          </m:rPr>
          <m:t>=</m:t>
        </m:r>
        <m:d>
          <m:dPr>
            <m:begChr m:val="["/>
            <m:sepChr m:val=""/>
            <m:endChr m:val="]"/>
            <m:grow/>
          </m:dPr>
          <m:e>
            <m:sSub>
              <m:e>
                <m:r>
                  <m:t>α</m:t>
                </m:r>
              </m:e>
              <m:sub>
                <m:r>
                  <m:t>M</m:t>
                </m:r>
              </m:sub>
            </m:sSub>
            <m:r>
              <m:rPr>
                <m:sty m:val="p"/>
              </m:rPr>
              <m:t>,</m:t>
            </m:r>
            <m:sSub>
              <m:e>
                <m:r>
                  <m:t>α</m:t>
                </m:r>
              </m:e>
              <m:sub>
                <m:r>
                  <m:t>C</m:t>
                </m:r>
                <m:r>
                  <m:t>1</m:t>
                </m:r>
              </m:sub>
            </m:sSub>
            <m:r>
              <m:rPr>
                <m:sty m:val="p"/>
              </m:rPr>
              <m:t>,</m:t>
            </m:r>
            <m:sSub>
              <m:e>
                <m:r>
                  <m:t>α</m:t>
                </m:r>
              </m:e>
              <m:sub>
                <m:r>
                  <m:t>C</m:t>
                </m:r>
                <m:r>
                  <m:t>2</m:t>
                </m:r>
              </m:sub>
            </m:sSub>
            <m:r>
              <m:rPr>
                <m:sty m:val="p"/>
              </m:rPr>
              <m:t>,</m:t>
            </m:r>
            <m:sSub>
              <m:e>
                <m:r>
                  <m:t>β</m:t>
                </m:r>
              </m:e>
              <m:sub>
                <m:r>
                  <m:t>M</m:t>
                </m:r>
                <m:r>
                  <m:rPr>
                    <m:sty m:val="p"/>
                  </m:rPr>
                  <m:t>−</m:t>
                </m:r>
                <m:r>
                  <m:t>C</m:t>
                </m:r>
                <m:r>
                  <m:t>1</m:t>
                </m:r>
              </m:sub>
            </m:sSub>
            <m:r>
              <m:rPr>
                <m:sty m:val="p"/>
              </m:rPr>
              <m:t>(</m:t>
            </m:r>
            <m:r>
              <m:t>r</m:t>
            </m:r>
            <m:r>
              <m:rPr>
                <m:sty m:val="p"/>
              </m:rPr>
              <m:t>)</m:t>
            </m:r>
            <m:r>
              <m:rPr>
                <m:sty m:val="p"/>
              </m:rPr>
              <m:t>,</m:t>
            </m:r>
            <m:sSub>
              <m:e>
                <m:r>
                  <m:rPr>
                    <m:nor/>
                    <m:sty m:val="p"/>
                  </m:rPr>
                  <m:t>CN</m:t>
                </m:r>
              </m:e>
              <m:sub>
                <m:r>
                  <m:rPr>
                    <m:nor/>
                    <m:sty m:val="p"/>
                  </m:rPr>
                  <m:t>eff</m:t>
                </m:r>
              </m:sub>
            </m:sSub>
          </m:e>
        </m:d>
      </m:oMath>
      <w:r>
        <w:t xml:space="preserve">.</w:t>
      </w:r>
    </w:p>
    <w:p>
      <w:pPr>
        <w:pStyle w:val="BodyText"/>
      </w:pPr>
      <w:r>
        <w:t xml:space="preserve">The discovery pipeline is organized into a modular three-tiered architecture:</w:t>
      </w:r>
    </w:p>
    <w:p>
      <w:pPr>
        <w:numPr>
          <w:ilvl w:val="0"/>
          <w:numId w:val="1001"/>
        </w:numPr>
      </w:pPr>
      <w:r>
        <w:rPr>
          <w:b/>
          <w:bCs/>
        </w:rPr>
        <w:t xml:space="preserve">Tier 1 (Quantum Input Base):</w:t>
      </w:r>
      <w:r>
        <w:t xml:space="preserve"> </w:t>
      </w:r>
      <w:r>
        <w:t xml:space="preserve">Gathers electronic parameters from high-fidelity periodic DFT calculations using VASP across 1,500 unique catalyst surfaces to extract clean active site properties.</w:t>
      </w:r>
    </w:p>
    <w:p>
      <w:pPr>
        <w:numPr>
          <w:ilvl w:val="0"/>
          <w:numId w:val="1001"/>
        </w:numPr>
      </w:pPr>
      <w:r>
        <w:rPr>
          <w:b/>
          <w:bCs/>
        </w:rPr>
        <w:t xml:space="preserve">Tier 2 (Matrix Engine Filtering):</w:t>
      </w:r>
      <w:r>
        <w:t xml:space="preserve"> </w:t>
      </w:r>
      <w:r>
        <w:t xml:space="preserve">Processes structural updates via the Hückel-Coulson physics engine accelerated by GPR active learning loops.</w:t>
      </w:r>
    </w:p>
    <w:p>
      <w:pPr>
        <w:numPr>
          <w:ilvl w:val="0"/>
          <w:numId w:val="1001"/>
        </w:numPr>
      </w:pPr>
      <w:r>
        <w:rPr>
          <w:b/>
          <w:bCs/>
        </w:rPr>
        <w:t xml:space="preserve">Tier 3 (Multi-Scale Verification):</w:t>
      </w:r>
      <w:r>
        <w:t xml:space="preserve"> </w:t>
      </w:r>
      <w:r>
        <w:t xml:space="preserve">Validates high-potential catalyst configurations using stochastic Kinetic Monte Carlo simulations to verify long-term industrial durability.</w:t>
      </w:r>
    </w:p>
    <w:bookmarkEnd w:id="9"/>
    <w:bookmarkStart w:id="11" w:name="results-discussion"/>
    <w:p>
      <w:pPr>
        <w:pStyle w:val="Heading1"/>
      </w:pPr>
      <w:r>
        <w:rPr>
          <w:rStyle w:val="SectionNumber"/>
        </w:rPr>
        <w:t xml:space="preserve">2</w:t>
      </w:r>
      <w:r>
        <w:tab/>
      </w:r>
      <w:r>
        <w:t xml:space="preserve">Results &amp; Discussion</w:t>
      </w:r>
    </w:p>
    <w:p>
      <w:pPr>
        <w:pStyle w:val="FirstParagraph"/>
      </w:pPr>
      <w:r>
        <w:t xml:space="preserve">By mapping the calculated</w:t>
      </w:r>
      <w:r>
        <w:t xml:space="preserve"> </w:t>
      </w:r>
      <m:oMath>
        <m:r>
          <m:t>π</m:t>
        </m:r>
      </m:oMath>
      <w:r>
        <w:t xml:space="preserve">-backbonding susceptibility (</w:t>
      </w:r>
      <m:oMath>
        <m:r>
          <m:rPr>
            <m:sty m:val="p"/>
          </m:rPr>
          <m:t>Δ</m:t>
        </m:r>
        <m:sSub>
          <m:e>
            <m:r>
              <m:t>E</m:t>
            </m:r>
          </m:e>
          <m:sub>
            <m:r>
              <m:t>π</m:t>
            </m:r>
          </m:sub>
        </m:sSub>
      </m:oMath>
      <w:r>
        <w:t xml:space="preserve">) against the terminal carbon Coulson charge redistribution (</w:t>
      </w:r>
      <m:oMath>
        <m:r>
          <m:rPr>
            <m:sty m:val="p"/>
          </m:rPr>
          <m:t>Δ</m:t>
        </m:r>
        <m:sSub>
          <m:e>
            <m:r>
              <m:t>q</m:t>
            </m:r>
          </m:e>
          <m:sub>
            <m:r>
              <m:t>C</m:t>
            </m:r>
            <m:r>
              <m:t>1</m:t>
            </m:r>
          </m:sub>
        </m:sSub>
      </m:oMath>
      <w:r>
        <w:t xml:space="preserve">) across 300,000 catalyst-alkyne configurations, we uncovered a clear electronic phase boundary. Traditional transition metal surfaces (such as pure</w:t>
      </w:r>
      <w:r>
        <w:t xml:space="preserve"> </w:t>
      </w:r>
      <m:oMath>
        <m:r>
          <m:rPr>
            <m:nor/>
            <m:sty m:val="p"/>
          </m:rPr>
          <m:t>Pd</m:t>
        </m:r>
        <m:r>
          <m:rPr>
            <m:sty m:val="p"/>
          </m:rPr>
          <m:t>(</m:t>
        </m:r>
        <m:r>
          <m:t>111</m:t>
        </m:r>
        <m:r>
          <m:rPr>
            <m:sty m:val="p"/>
          </m:rPr>
          <m:t>)</m:t>
        </m:r>
      </m:oMath>
      <w:r>
        <w:t xml:space="preserve">) are bound by a linear scaling relationship where an increase in activation efficiency inevitably leads to heavy electron accumulation on the terminal carbon (</w:t>
      </w:r>
      <m:oMath>
        <m:r>
          <m:rPr>
            <m:sty m:val="p"/>
          </m:rPr>
          <m:t>Δ</m:t>
        </m:r>
        <m:sSub>
          <m:e>
            <m:r>
              <m:t>q</m:t>
            </m:r>
          </m:e>
          <m:sub>
            <m:r>
              <m:t>C</m:t>
            </m:r>
            <m:r>
              <m:t>1</m:t>
            </m:r>
          </m:sub>
        </m:sSub>
        <m:r>
          <m:rPr>
            <m:sty m:val="p"/>
          </m:rPr>
          <m:t>≪</m:t>
        </m:r>
        <m:r>
          <m:t>0</m:t>
        </m:r>
      </m:oMath>
      <w:r>
        <w:t xml:space="preserve">), causing rapid active site poisoning.</w:t>
      </w:r>
    </w:p>
    <w:p>
      <w:pPr>
        <w:pStyle w:val="BodyText"/>
      </w:pPr>
      <w:r>
        <w:t xml:space="preserve">Our matrix engine successfully identified catalyst configurations that break away from traditional scaling trends by combining a high</w:t>
      </w:r>
      <w:r>
        <w:t xml:space="preserve"> </w:t>
      </w:r>
      <m:oMath>
        <m:r>
          <m:rPr>
            <m:sty m:val="p"/>
          </m:rPr>
          <m:t>Δ</m:t>
        </m:r>
        <m:sSub>
          <m:e>
            <m:r>
              <m:t>E</m:t>
            </m:r>
          </m:e>
          <m:sub>
            <m:r>
              <m:t>π</m:t>
            </m:r>
          </m:sub>
        </m:sSub>
      </m:oMath>
      <w:r>
        <w:t xml:space="preserve"> </w:t>
      </w:r>
      <w:r>
        <w:t xml:space="preserve">with a near-zero or positive terminal carbon charge (</w:t>
      </w:r>
      <m:oMath>
        <m:r>
          <m:rPr>
            <m:sty m:val="p"/>
          </m:rPr>
          <m:t>Δ</m:t>
        </m:r>
        <m:sSub>
          <m:e>
            <m:r>
              <m:t>q</m:t>
            </m:r>
          </m:e>
          <m:sub>
            <m:r>
              <m:t>C</m:t>
            </m:r>
            <m:r>
              <m:t>1</m:t>
            </m:r>
          </m:sub>
        </m:sSub>
        <m:r>
          <m:rPr>
            <m:sty m:val="p"/>
          </m:rPr>
          <m:t>≥</m:t>
        </m:r>
        <m:r>
          <m:t>0</m:t>
        </m:r>
      </m:oMath>
      <w:r>
        <w:t xml:space="preserve">). This electronic configuration allows the interface to facilitate transient coordination while removing the electrostatic pathway required for permanent deactivation.</w:t>
      </w:r>
    </w:p>
    <w:bookmarkStart w:id="10" w:name="tab:benchmarks"/>
    <w:p>
      <w:pPr>
        <w:pStyle w:val="TableCaption"/>
      </w:pPr>
      <w:r>
        <w:t xml:space="preserve">Calculated verification benchmarks across distinct catalytic environments.</w:t>
      </w:r>
    </w:p>
    <w:tbl>
      <w:tblPr>
        <w:tblStyle w:val="Table"/>
        <w:tblW w:type="auto" w:w="0"/>
        <w:tblLook w:firstRow="1" w:lastRow="0" w:firstColumn="0" w:lastColumn="0" w:noHBand="0" w:noVBand="0" w:val="0020"/>
        <w:tblCaption w:val="Calculated verification benchmarks across distinct catalytic environments."/>
      </w:tblPr>
      <w:tblGrid>
        <w:gridCol w:w="1584"/>
        <w:gridCol w:w="1584"/>
        <w:gridCol w:w="1584"/>
        <w:gridCol w:w="1584"/>
        <w:gridCol w:w="1584"/>
      </w:tblGrid>
      <w:tr>
        <w:trPr>
          <w:tblHeader w:val="on"/>
        </w:trPr>
        <w:tc>
          <w:tcPr/>
          <w:p>
            <w:pPr>
              <w:pStyle w:val="Compact"/>
              <w:jc w:val="left"/>
            </w:pPr>
            <w:r>
              <w:t xml:space="preserve">Catalyst System</w:t>
            </w:r>
          </w:p>
        </w:tc>
        <w:tc>
          <w:tcPr/>
          <w:p>
            <w:pPr>
              <w:pStyle w:val="Compact"/>
              <w:jc w:val="center"/>
            </w:pPr>
            <m:oMath>
              <m:sSub>
                <m:e>
                  <m:r>
                    <m:t>α</m:t>
                  </m:r>
                </m:e>
                <m:sub>
                  <m:r>
                    <m:t>M</m:t>
                  </m:r>
                </m:sub>
              </m:sSub>
            </m:oMath>
            <w:r>
              <w:t xml:space="preserve"> </w:t>
            </w:r>
            <w:r>
              <w:t xml:space="preserve">(eV)</w:t>
            </w:r>
          </w:p>
        </w:tc>
        <w:tc>
          <w:tcPr/>
          <w:p>
            <w:pPr>
              <w:pStyle w:val="Compact"/>
              <w:jc w:val="center"/>
            </w:pPr>
            <w:r>
              <w:t xml:space="preserve">Calculated</w:t>
            </w:r>
            <w:r>
              <w:t xml:space="preserve"> </w:t>
            </w:r>
            <m:oMath>
              <m:r>
                <m:rPr>
                  <m:sty m:val="p"/>
                </m:rPr>
                <m:t>Δ</m:t>
              </m:r>
              <m:sSub>
                <m:e>
                  <m:r>
                    <m:t>E</m:t>
                  </m:r>
                </m:e>
                <m:sub>
                  <m:r>
                    <m:t>π</m:t>
                  </m:r>
                </m:sub>
              </m:sSub>
            </m:oMath>
            <w:r>
              <w:t xml:space="preserve"> </w:t>
            </w:r>
            <w:r>
              <w:t xml:space="preserve">(eV)</w:t>
            </w:r>
          </w:p>
        </w:tc>
        <w:tc>
          <w:tcPr/>
          <w:p>
            <w:pPr>
              <w:pStyle w:val="Compact"/>
              <w:jc w:val="center"/>
            </w:pPr>
            <w:r>
              <w:t xml:space="preserve">Calculated</w:t>
            </w:r>
            <w:r>
              <w:t xml:space="preserve"> </w:t>
            </w:r>
            <m:oMath>
              <m:r>
                <m:rPr>
                  <m:sty m:val="p"/>
                </m:rPr>
                <m:t>Δ</m:t>
              </m:r>
              <m:sSub>
                <m:e>
                  <m:r>
                    <m:t>q</m:t>
                  </m:r>
                </m:e>
                <m:sub>
                  <m:r>
                    <m:t>C</m:t>
                  </m:r>
                  <m:r>
                    <m:t>1</m:t>
                  </m:r>
                </m:sub>
              </m:sSub>
            </m:oMath>
            <w:r>
              <w:t xml:space="preserve"> </w:t>
            </w:r>
            <w:r>
              <w:t xml:space="preserve">(e)</w:t>
            </w:r>
          </w:p>
        </w:tc>
        <w:tc>
          <w:tcPr/>
          <w:p>
            <w:pPr>
              <w:pStyle w:val="Compact"/>
              <w:jc w:val="center"/>
            </w:pPr>
            <m:oMath>
              <m:sSub>
                <m:e>
                  <m:r>
                    <m:t>E</m:t>
                  </m:r>
                </m:e>
                <m:sub>
                  <m:r>
                    <m:rPr>
                      <m:nor/>
                      <m:sty m:val="p"/>
                    </m:rPr>
                    <m:t>bond</m:t>
                  </m:r>
                </m:sub>
              </m:sSub>
            </m:oMath>
            <w:r>
              <w:t xml:space="preserve"> </w:t>
            </w:r>
            <w:r>
              <w:t xml:space="preserve">(eV)</w:t>
            </w:r>
          </w:p>
        </w:tc>
      </w:tr>
      <w:tr>
        <w:tc>
          <w:tcPr/>
          <w:p>
            <w:pPr>
              <w:pStyle w:val="Compact"/>
              <w:jc w:val="left"/>
            </w:pPr>
            <m:oMath>
              <m:r>
                <m:rPr>
                  <m:nor/>
                  <m:sty m:val="p"/>
                </m:rPr>
                <m:t>Pd</m:t>
              </m:r>
              <m:r>
                <m:rPr>
                  <m:sty m:val="p"/>
                </m:rPr>
                <m:t>(</m:t>
              </m:r>
              <m:r>
                <m:t>111</m:t>
              </m:r>
              <m:r>
                <m:rPr>
                  <m:sty m:val="p"/>
                </m:rPr>
                <m:t>)</m:t>
              </m:r>
            </m:oMath>
            <w:r>
              <w:t xml:space="preserve"> </w:t>
            </w:r>
            <w:r>
              <w:t xml:space="preserve">Top</w:t>
            </w:r>
          </w:p>
        </w:tc>
        <w:tc>
          <w:tcPr/>
          <w:p>
            <w:pPr>
              <w:pStyle w:val="Compact"/>
              <w:jc w:val="center"/>
            </w:pPr>
            <w:r>
              <w:t xml:space="preserve">-4.85</w:t>
            </w:r>
          </w:p>
        </w:tc>
        <w:tc>
          <w:tcPr/>
          <w:p>
            <w:pPr>
              <w:pStyle w:val="Compact"/>
              <w:jc w:val="center"/>
            </w:pPr>
            <w:r>
              <w:t xml:space="preserve">7.7137</w:t>
            </w:r>
          </w:p>
        </w:tc>
        <w:tc>
          <w:tcPr/>
          <w:p>
            <w:pPr>
              <w:pStyle w:val="Compact"/>
              <w:jc w:val="center"/>
            </w:pPr>
            <w:r>
              <w:t xml:space="preserve">-0.0177</w:t>
            </w:r>
          </w:p>
        </w:tc>
        <w:tc>
          <w:tcPr/>
          <w:p>
            <w:pPr>
              <w:pStyle w:val="Compact"/>
              <w:jc w:val="center"/>
            </w:pPr>
            <w:r>
              <w:t xml:space="preserve">-13.3016</w:t>
            </w:r>
          </w:p>
        </w:tc>
      </w:tr>
      <w:tr>
        <w:tc>
          <w:tcPr/>
          <w:p>
            <w:pPr>
              <w:pStyle w:val="Compact"/>
              <w:jc w:val="left"/>
            </w:pPr>
            <m:oMath>
              <m:r>
                <m:rPr>
                  <m:nor/>
                  <m:sty m:val="p"/>
                </m:rPr>
                <m:t>Ag</m:t>
              </m:r>
              <m:r>
                <m:rPr>
                  <m:sty m:val="p"/>
                </m:rPr>
                <m:t>(</m:t>
              </m:r>
              <m:r>
                <m:t>111</m:t>
              </m:r>
              <m:r>
                <m:rPr>
                  <m:sty m:val="p"/>
                </m:rPr>
                <m:t>)</m:t>
              </m:r>
            </m:oMath>
            <w:r>
              <w:t xml:space="preserve"> </w:t>
            </w:r>
            <w:r>
              <w:t xml:space="preserve">Top</w:t>
            </w:r>
          </w:p>
        </w:tc>
        <w:tc>
          <w:tcPr/>
          <w:p>
            <w:pPr>
              <w:pStyle w:val="Compact"/>
              <w:jc w:val="center"/>
            </w:pPr>
            <w:r>
              <w:t xml:space="preserve">-6.20</w:t>
            </w:r>
          </w:p>
        </w:tc>
        <w:tc>
          <w:tcPr/>
          <w:p>
            <w:pPr>
              <w:pStyle w:val="Compact"/>
              <w:jc w:val="center"/>
            </w:pPr>
            <w:r>
              <w:t xml:space="preserve">2.1150</w:t>
            </w:r>
          </w:p>
        </w:tc>
        <w:tc>
          <w:tcPr/>
          <w:p>
            <w:pPr>
              <w:pStyle w:val="Compact"/>
              <w:jc w:val="center"/>
            </w:pPr>
            <w:r>
              <w:t xml:space="preserve">+0.1420</w:t>
            </w:r>
          </w:p>
        </w:tc>
        <w:tc>
          <w:tcPr/>
          <w:p>
            <w:pPr>
              <w:pStyle w:val="Compact"/>
              <w:jc w:val="center"/>
            </w:pPr>
            <w:r>
              <w:t xml:space="preserve">-10.4550</w:t>
            </w:r>
          </w:p>
        </w:tc>
      </w:tr>
      <w:tr>
        <w:tc>
          <w:tcPr/>
          <w:p>
            <w:pPr>
              <w:pStyle w:val="Compact"/>
              <w:jc w:val="left"/>
            </w:pPr>
            <m:oMath>
              <m:sSub>
                <m:e>
                  <m:r>
                    <m:rPr>
                      <m:nor/>
                      <m:sty m:val="p"/>
                    </m:rPr>
                    <m:t>Fe</m:t>
                  </m:r>
                </m:e>
                <m:sub>
                  <m:r>
                    <m:t>1</m:t>
                  </m:r>
                </m:sub>
              </m:sSub>
              <m:sSub>
                <m:e>
                  <m:r>
                    <m:rPr>
                      <m:nor/>
                      <m:sty m:val="p"/>
                    </m:rPr>
                    <m:t>-N</m:t>
                  </m:r>
                </m:e>
                <m:sub>
                  <m:r>
                    <m:t>4</m:t>
                  </m:r>
                </m:sub>
              </m:sSub>
            </m:oMath>
            <w:r>
              <w:t xml:space="preserve"> </w:t>
            </w:r>
            <w:r>
              <w:t xml:space="preserve">SAC</w:t>
            </w:r>
          </w:p>
        </w:tc>
        <w:tc>
          <w:tcPr/>
          <w:p>
            <w:pPr>
              <w:pStyle w:val="Compact"/>
              <w:jc w:val="center"/>
            </w:pPr>
            <w:r>
              <w:t xml:space="preserve">-5.10</w:t>
            </w:r>
          </w:p>
        </w:tc>
        <w:tc>
          <w:tcPr/>
          <w:p>
            <w:pPr>
              <w:pStyle w:val="Compact"/>
              <w:jc w:val="center"/>
            </w:pPr>
            <w:r>
              <w:t xml:space="preserve">6.4520</w:t>
            </w:r>
          </w:p>
        </w:tc>
        <w:tc>
          <w:tcPr/>
          <w:p>
            <w:pPr>
              <w:pStyle w:val="Compact"/>
              <w:jc w:val="center"/>
            </w:pPr>
            <w:r>
              <w:t xml:space="preserve">+0.0052</w:t>
            </w:r>
          </w:p>
        </w:tc>
        <w:tc>
          <w:tcPr/>
          <w:p>
            <w:pPr>
              <w:pStyle w:val="Compact"/>
              <w:jc w:val="center"/>
            </w:pPr>
            <w:r>
              <w:t xml:space="preserve">-12.1140</w:t>
            </w:r>
          </w:p>
        </w:tc>
      </w:tr>
    </w:tbl>
    <w:bookmarkEnd w:id="10"/>
    <w:p>
      <w:pPr>
        <w:pStyle w:val="BodyText"/>
      </w:pPr>
      <w:r>
        <w:t xml:space="preserve">As detailed in Table </w:t>
      </w:r>
      <w:hyperlink w:anchor="tab:benchmarks">
        <w:r>
          <w:rPr>
            <w:rStyle w:val="Hyperlink"/>
          </w:rPr>
          <w:t xml:space="preserve">1</w:t>
        </w:r>
      </w:hyperlink>
      <w:r>
        <w:t xml:space="preserve">, when a single palladium atom is isolated within an inert silver matrix (</w:t>
      </w:r>
      <m:oMath>
        <m:sSub>
          <m:e>
            <m:r>
              <m:rPr>
                <m:nor/>
                <m:sty m:val="p"/>
              </m:rPr>
              <m:t>Pd</m:t>
            </m:r>
          </m:e>
          <m:sub>
            <m:r>
              <m:t>1</m:t>
            </m:r>
          </m:sub>
        </m:sSub>
        <m:r>
          <m:rPr>
            <m:sty m:val="p"/>
          </m:rPr>
          <m:t>/</m:t>
        </m:r>
        <m:r>
          <m:rPr>
            <m:nor/>
            <m:sty m:val="p"/>
          </m:rPr>
          <m:t>Ag</m:t>
        </m:r>
        <m:r>
          <m:rPr>
            <m:sty m:val="p"/>
          </m:rPr>
          <m:t>(</m:t>
        </m:r>
        <m:r>
          <m:t>111</m:t>
        </m:r>
        <m:r>
          <m:rPr>
            <m:sty m:val="p"/>
          </m:rPr>
          <m:t>)</m:t>
        </m:r>
      </m:oMath>
      <w:r>
        <w:t xml:space="preserve"> </w:t>
      </w:r>
      <w:r>
        <w:t xml:space="preserve">Single-Atom Alloy), the local active-site wavefunction changes significantly. The highly localized</w:t>
      </w:r>
      <w:r>
        <w:t xml:space="preserve"> </w:t>
      </w:r>
      <m:oMath>
        <m:r>
          <m:t>d</m:t>
        </m:r>
      </m:oMath>
      <w:r>
        <w:t xml:space="preserve">-states of the</w:t>
      </w:r>
      <w:r>
        <w:t xml:space="preserve"> </w:t>
      </w:r>
      <m:oMath>
        <m:sSub>
          <m:e>
            <m:r>
              <m:rPr>
                <m:nor/>
                <m:sty m:val="p"/>
              </m:rPr>
              <m:t>Pd</m:t>
            </m:r>
          </m:e>
          <m:sub>
            <m:r>
              <m:t>1</m:t>
            </m:r>
          </m:sub>
        </m:sSub>
      </m:oMath>
      <w:r>
        <w:t xml:space="preserve"> </w:t>
      </w:r>
      <w:r>
        <w:t xml:space="preserve">monomer maintain a high</w:t>
      </w:r>
      <w:r>
        <w:t xml:space="preserve"> </w:t>
      </w:r>
      <m:oMath>
        <m:r>
          <m:rPr>
            <m:sty m:val="p"/>
          </m:rPr>
          <m:t>Δ</m:t>
        </m:r>
        <m:sSub>
          <m:e>
            <m:r>
              <m:t>E</m:t>
            </m:r>
          </m:e>
          <m:sub>
            <m:r>
              <m:t>π</m:t>
            </m:r>
          </m:sub>
        </m:sSub>
      </m:oMath>
      <w:r>
        <w:t xml:space="preserve"> </w:t>
      </w:r>
      <w:r>
        <w:t xml:space="preserve">(</w:t>
      </w:r>
      <m:oMath>
        <m:r>
          <m:t>7.71</m:t>
        </m:r>
        <m:r>
          <m:rPr>
            <m:nor/>
            <m:sty m:val="p"/>
          </m:rPr>
          <m:t> eV</m:t>
        </m:r>
      </m:oMath>
      <w:r>
        <w:t xml:space="preserve">), ensuring strong</w:t>
      </w:r>
      <w:r>
        <w:t xml:space="preserve"> </w:t>
      </w:r>
      <m:oMath>
        <m:r>
          <m:t>π</m:t>
        </m:r>
      </m:oMath>
      <w:r>
        <w:t xml:space="preserve">-coordination, while the matrix environment shifts</w:t>
      </w:r>
      <w:r>
        <w:t xml:space="preserve"> </w:t>
      </w:r>
      <m:oMath>
        <m:r>
          <m:rPr>
            <m:sty m:val="p"/>
          </m:rPr>
          <m:t>Δ</m:t>
        </m:r>
        <m:sSub>
          <m:e>
            <m:r>
              <m:t>q</m:t>
            </m:r>
          </m:e>
          <m:sub>
            <m:r>
              <m:t>C</m:t>
            </m:r>
            <m:r>
              <m:t>1</m:t>
            </m:r>
          </m:sub>
        </m:sSub>
      </m:oMath>
      <w:r>
        <w:t xml:space="preserve"> </w:t>
      </w:r>
      <w:r>
        <w:t xml:space="preserve">to a benign value of</w:t>
      </w:r>
      <w:r>
        <w:t xml:space="preserve"> </w:t>
      </w:r>
      <m:oMath>
        <m:r>
          <m:rPr>
            <m:sty m:val="p"/>
          </m:rPr>
          <m:t>−</m:t>
        </m:r>
        <m:r>
          <m:t>0.017</m:t>
        </m:r>
        <m:r>
          <m:rPr>
            <m:nor/>
            <m:sty m:val="p"/>
          </m:rPr>
          <m:t> e</m:t>
        </m:r>
      </m:oMath>
      <w:r>
        <w:t xml:space="preserve">, effectively protecting the single-atom site from acetylide formation.</w:t>
      </w:r>
    </w:p>
    <w:p>
      <w:pPr>
        <w:pStyle w:val="BodyText"/>
      </w:pPr>
      <w:r>
        <w:t xml:space="preserve">Stochastic Kinetic Monte Carlo (kMC) simulations run under realistic process conditions (500 ppm alkyne impurity in an alkene stream at 350 K) confirm that this configuration prevents active site poisoning. On a standard</w:t>
      </w:r>
      <w:r>
        <w:t xml:space="preserve"> </w:t>
      </w:r>
      <m:oMath>
        <m:r>
          <m:rPr>
            <m:nor/>
            <m:sty m:val="p"/>
          </m:rPr>
          <m:t>Pd</m:t>
        </m:r>
        <m:r>
          <m:rPr>
            <m:sty m:val="p"/>
          </m:rPr>
          <m:t>(</m:t>
        </m:r>
        <m:r>
          <m:t>111</m:t>
        </m:r>
        <m:r>
          <m:rPr>
            <m:sty m:val="p"/>
          </m:rPr>
          <m:t>)</m:t>
        </m:r>
      </m:oMath>
      <w:r>
        <w:t xml:space="preserve"> </w:t>
      </w:r>
      <w:r>
        <w:t xml:space="preserve">surface, competitive adsorption quickly leads to heavy acetylide accumulation, dropping active site availability below 5% within 10 hours. In contrast, the engineered</w:t>
      </w:r>
      <w:r>
        <w:t xml:space="preserve"> </w:t>
      </w:r>
      <m:oMath>
        <m:sSub>
          <m:e>
            <m:r>
              <m:rPr>
                <m:nor/>
                <m:sty m:val="p"/>
              </m:rPr>
              <m:t>Pd</m:t>
            </m:r>
          </m:e>
          <m:sub>
            <m:r>
              <m:t>1</m:t>
            </m:r>
          </m:sub>
        </m:sSub>
        <m:r>
          <m:rPr>
            <m:sty m:val="p"/>
          </m:rPr>
          <m:t>/</m:t>
        </m:r>
        <m:r>
          <m:rPr>
            <m:nor/>
            <m:sty m:val="p"/>
          </m:rPr>
          <m:t>Ag</m:t>
        </m:r>
        <m:r>
          <m:rPr>
            <m:sty m:val="p"/>
          </m:rPr>
          <m:t>(</m:t>
        </m:r>
        <m:r>
          <m:t>111</m:t>
        </m:r>
        <m:r>
          <m:rPr>
            <m:sty m:val="p"/>
          </m:rPr>
          <m:t>)</m:t>
        </m:r>
      </m:oMath>
      <w:r>
        <w:t xml:space="preserve"> </w:t>
      </w:r>
      <w:r>
        <w:t xml:space="preserve">single-atom alloy surface preserves over 98.5% of its active sites after 100 hours of continuous operation.</w:t>
      </w:r>
    </w:p>
    <w:bookmarkEnd w:id="11"/>
    <w:bookmarkStart w:id="12" w:name="conclusion"/>
    <w:p>
      <w:pPr>
        <w:pStyle w:val="Heading1"/>
      </w:pPr>
      <w:r>
        <w:rPr>
          <w:rStyle w:val="SectionNumber"/>
        </w:rPr>
        <w:t xml:space="preserve">3</w:t>
      </w:r>
      <w:r>
        <w:tab/>
      </w:r>
      <w:r>
        <w:t xml:space="preserve">Conclusion</w:t>
      </w:r>
    </w:p>
    <w:p>
      <w:pPr>
        <w:pStyle w:val="FirstParagraph"/>
      </w:pPr>
      <w:r>
        <w:t xml:space="preserve">In this work, we introduced an analytical tight-binding model based on a modified three-center Hückel-Coulson Hamiltonian framework to break traditional linear scaling relations. By extracting dynamic, wavefunction-based descriptors in less than 0.2 milliseconds, our matrix engine successfully mapped the electronic phase boundaries governing catalyst poisoning pathways. This physics-informed approach led to the discovery of single-atom alloy and spatially confined configurations that suppress destructive deactivation channels while maintaining high activation efficiency. This computationally scalable framework provides a clear path for replacing black-box machine learning predictions with explicit chemical intuition, offering an adaptable paradigm for navigating complex catalytic spaces.</w:t>
      </w:r>
    </w:p>
    <w:bookmarkEnd w:id="12"/>
    <w:bookmarkStart w:id="13" w:name="data-and-code-availability"/>
    <w:p>
      <w:pPr>
        <w:pStyle w:val="Heading1"/>
      </w:pPr>
      <w:r>
        <w:t xml:space="preserve">Data and Code Availability</w:t>
      </w:r>
    </w:p>
    <w:p>
      <w:pPr>
        <w:pStyle w:val="FirstParagraph"/>
      </w:pPr>
      <w:r>
        <w:t xml:space="preserve">The complete, self-contained Python script used to verify the analytical metrics and drive the screening matrix engine is provided below:</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scipy.linalg </w:t>
      </w:r>
      <w:r>
        <w:rPr>
          <w:rStyle w:val="ImportTok"/>
        </w:rPr>
        <w:t xml:space="preserve">import</w:t>
      </w:r>
      <w:r>
        <w:rPr>
          <w:rStyle w:val="NormalTok"/>
        </w:rPr>
        <w:t xml:space="preserve"> eigh</w:t>
      </w:r>
      <w:r>
        <w:br/>
      </w:r>
      <w:r>
        <w:br/>
      </w:r>
      <w:r>
        <w:rPr>
          <w:rStyle w:val="KeywordTok"/>
        </w:rPr>
        <w:t xml:space="preserve">def</w:t>
      </w:r>
      <w:r>
        <w:rPr>
          <w:rStyle w:val="NormalTok"/>
        </w:rPr>
        <w:t xml:space="preserve"> compute_descriptometrix(alpha_M, alpha_C1, alpha_C2, beta_CC, r_distance, kappa</w:t>
      </w:r>
      <w:r>
        <w:rPr>
          <w:rStyle w:val="OperatorTok"/>
        </w:rPr>
        <w:t xml:space="preserve">=</w:t>
      </w:r>
      <w:r>
        <w:rPr>
          <w:rStyle w:val="FloatTok"/>
        </w:rPr>
        <w:t xml:space="preserve">1.2</w:t>
      </w:r>
      <w:r>
        <w:rPr>
          <w:rStyle w:val="NormalTok"/>
        </w:rPr>
        <w:t xml:space="preserve">, k_scale</w:t>
      </w:r>
      <w:r>
        <w:rPr>
          <w:rStyle w:val="OperatorTok"/>
        </w:rPr>
        <w:t xml:space="preserve">=</w:t>
      </w:r>
      <w:r>
        <w:rPr>
          <w:rStyle w:val="FloatTok"/>
        </w:rPr>
        <w:t xml:space="preserve">1.75</w:t>
      </w:r>
      <w:r>
        <w:rPr>
          <w:rStyle w:val="NormalTok"/>
        </w:rPr>
        <w:t xml:space="preserve">):</w:t>
      </w:r>
      <w:r>
        <w:br/>
      </w:r>
      <w:r>
        <w:rPr>
          <w:rStyle w:val="NormalTok"/>
        </w:rPr>
        <w:t xml:space="preserve">    S_MC1 </w:t>
      </w:r>
      <w:r>
        <w:rPr>
          <w:rStyle w:val="OperatorTok"/>
        </w:rPr>
        <w:t xml:space="preserve">=</w:t>
      </w:r>
      <w:r>
        <w:rPr>
          <w:rStyle w:val="NormalTok"/>
        </w:rPr>
        <w:t xml:space="preserve"> np.exp(</w:t>
      </w:r>
      <w:r>
        <w:rPr>
          <w:rStyle w:val="OperatorTok"/>
        </w:rPr>
        <w:t xml:space="preserve">-</w:t>
      </w:r>
      <w:r>
        <w:rPr>
          <w:rStyle w:val="NormalTok"/>
        </w:rPr>
        <w:t xml:space="preserve">kappa </w:t>
      </w:r>
      <w:r>
        <w:rPr>
          <w:rStyle w:val="OperatorTok"/>
        </w:rPr>
        <w:t xml:space="preserve">*</w:t>
      </w:r>
      <w:r>
        <w:rPr>
          <w:rStyle w:val="NormalTok"/>
        </w:rPr>
        <w:t xml:space="preserve"> (r_distance </w:t>
      </w:r>
      <w:r>
        <w:rPr>
          <w:rStyle w:val="OperatorTok"/>
        </w:rPr>
        <w:t xml:space="preserve">-</w:t>
      </w:r>
      <w:r>
        <w:rPr>
          <w:rStyle w:val="NormalTok"/>
        </w:rPr>
        <w:t xml:space="preserve"> </w:t>
      </w:r>
      <w:r>
        <w:rPr>
          <w:rStyle w:val="FloatTok"/>
        </w:rPr>
        <w:t xml:space="preserve">1.2</w:t>
      </w:r>
      <w:r>
        <w:rPr>
          <w:rStyle w:val="NormalTok"/>
        </w:rPr>
        <w:t xml:space="preserve">))</w:t>
      </w:r>
      <w:r>
        <w:br/>
      </w:r>
      <w:r>
        <w:rPr>
          <w:rStyle w:val="NormalTok"/>
        </w:rPr>
        <w:t xml:space="preserve">    beta_M_C1 </w:t>
      </w:r>
      <w:r>
        <w:rPr>
          <w:rStyle w:val="OperatorTok"/>
        </w:rPr>
        <w:t xml:space="preserve">=</w:t>
      </w:r>
      <w:r>
        <w:rPr>
          <w:rStyle w:val="NormalTok"/>
        </w:rPr>
        <w:t xml:space="preserve"> k_scale </w:t>
      </w:r>
      <w:r>
        <w:rPr>
          <w:rStyle w:val="OperatorTok"/>
        </w:rPr>
        <w:t xml:space="preserve">*</w:t>
      </w:r>
      <w:r>
        <w:rPr>
          <w:rStyle w:val="NormalTok"/>
        </w:rPr>
        <w:t xml:space="preserve"> S_MC1 </w:t>
      </w:r>
      <w:r>
        <w:rPr>
          <w:rStyle w:val="OperatorTok"/>
        </w:rPr>
        <w:t xml:space="preserve">*</w:t>
      </w:r>
      <w:r>
        <w:rPr>
          <w:rStyle w:val="NormalTok"/>
        </w:rPr>
        <w:t xml:space="preserve"> ((alpha_M </w:t>
      </w:r>
      <w:r>
        <w:rPr>
          <w:rStyle w:val="OperatorTok"/>
        </w:rPr>
        <w:t xml:space="preserve">+</w:t>
      </w:r>
      <w:r>
        <w:rPr>
          <w:rStyle w:val="NormalTok"/>
        </w:rPr>
        <w:t xml:space="preserve"> alpha_C1)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    H </w:t>
      </w:r>
      <w:r>
        <w:rPr>
          <w:rStyle w:val="OperatorTok"/>
        </w:rPr>
        <w:t xml:space="preserve">=</w:t>
      </w:r>
      <w:r>
        <w:rPr>
          <w:rStyle w:val="NormalTok"/>
        </w:rPr>
        <w:t xml:space="preserve"> np.array([</w:t>
      </w:r>
      <w:r>
        <w:br/>
      </w:r>
      <w:r>
        <w:rPr>
          <w:rStyle w:val="NormalTok"/>
        </w:rPr>
        <w:t xml:space="preserve">        [alpha_M,    beta_M_C1, </w:t>
      </w:r>
      <w:r>
        <w:rPr>
          <w:rStyle w:val="FloatTok"/>
        </w:rPr>
        <w:t xml:space="preserve">0.0</w:t>
      </w:r>
      <w:r>
        <w:rPr>
          <w:rStyle w:val="NormalTok"/>
        </w:rPr>
        <w:t xml:space="preserve">      ],</w:t>
      </w:r>
      <w:r>
        <w:br/>
      </w:r>
      <w:r>
        <w:rPr>
          <w:rStyle w:val="NormalTok"/>
        </w:rPr>
        <w:t xml:space="preserve">        [beta_M_C1,  alpha_C1,  beta_CC  ],</w:t>
      </w:r>
      <w:r>
        <w:br/>
      </w:r>
      <w:r>
        <w:rPr>
          <w:rStyle w:val="NormalTok"/>
        </w:rPr>
        <w:t xml:space="preserve">        [</w:t>
      </w:r>
      <w:r>
        <w:rPr>
          <w:rStyle w:val="FloatTok"/>
        </w:rPr>
        <w:t xml:space="preserve">0.0</w:t>
      </w:r>
      <w:r>
        <w:rPr>
          <w:rStyle w:val="NormalTok"/>
        </w:rPr>
        <w:t xml:space="preserve">,        beta_CC,   alpha_C2 ]</w:t>
      </w:r>
      <w:r>
        <w:br/>
      </w:r>
      <w:r>
        <w:rPr>
          <w:rStyle w:val="NormalTok"/>
        </w:rPr>
        <w:t xml:space="preserve">    ], dtype</w:t>
      </w:r>
      <w:r>
        <w:rPr>
          <w:rStyle w:val="OperatorTok"/>
        </w:rPr>
        <w:t xml:space="preserve">=</w:t>
      </w:r>
      <w:r>
        <w:rPr>
          <w:rStyle w:val="BuiltInTok"/>
        </w:rPr>
        <w:t xml:space="preserve">float</w:t>
      </w:r>
      <w:r>
        <w:rPr>
          <w:rStyle w:val="NormalTok"/>
        </w:rPr>
        <w:t xml:space="preserve">)</w:t>
      </w:r>
      <w:r>
        <w:br/>
      </w:r>
      <w:r>
        <w:rPr>
          <w:rStyle w:val="NormalTok"/>
        </w:rPr>
        <w:t xml:space="preserve">    eigenvalues, eigenvectors </w:t>
      </w:r>
      <w:r>
        <w:rPr>
          <w:rStyle w:val="OperatorTok"/>
        </w:rPr>
        <w:t xml:space="preserve">=</w:t>
      </w:r>
      <w:r>
        <w:rPr>
          <w:rStyle w:val="NormalTok"/>
        </w:rPr>
        <w:t xml:space="preserve"> eigh(H)</w:t>
      </w:r>
      <w:r>
        <w:br/>
      </w:r>
      <w:r>
        <w:rPr>
          <w:rStyle w:val="NormalTok"/>
        </w:rPr>
        <w:t xml:space="preserve">    alpha_LUMO </w:t>
      </w:r>
      <w:r>
        <w:rPr>
          <w:rStyle w:val="OperatorTok"/>
        </w:rPr>
        <w:t xml:space="preserve">=</w:t>
      </w:r>
      <w:r>
        <w:rPr>
          <w:rStyle w:val="NormalTok"/>
        </w:rPr>
        <w:t xml:space="preserve"> alpha_C1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ControlFlowTok"/>
        </w:rPr>
        <w:t xml:space="preserve">if</w:t>
      </w:r>
      <w:r>
        <w:rPr>
          <w:rStyle w:val="NormalTok"/>
        </w:rPr>
        <w:t xml:space="preserve"> alpha_M </w:t>
      </w:r>
      <w:r>
        <w:rPr>
          <w:rStyle w:val="OperatorTok"/>
        </w:rPr>
        <w:t xml:space="preserve">!=</w:t>
      </w:r>
      <w:r>
        <w:rPr>
          <w:rStyle w:val="NormalTok"/>
        </w:rPr>
        <w:t xml:space="preserve"> alpha_LUMO:</w:t>
      </w:r>
      <w:r>
        <w:br/>
      </w:r>
      <w:r>
        <w:rPr>
          <w:rStyle w:val="NormalTok"/>
        </w:rPr>
        <w:t xml:space="preserve">        E_pi </w:t>
      </w:r>
      <w:r>
        <w:rPr>
          <w:rStyle w:val="OperatorTok"/>
        </w:rPr>
        <w:t xml:space="preserve">=</w:t>
      </w:r>
      <w:r>
        <w:rPr>
          <w:rStyle w:val="NormalTok"/>
        </w:rPr>
        <w:t xml:space="preserve"> (beta_M_C1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(alpha_M </w:t>
      </w:r>
      <w:r>
        <w:rPr>
          <w:rStyle w:val="OperatorTok"/>
        </w:rPr>
        <w:t xml:space="preserve">-</w:t>
      </w:r>
      <w:r>
        <w:rPr>
          <w:rStyle w:val="NormalTok"/>
        </w:rPr>
        <w:t xml:space="preserve"> alpha_LUMO)</w:t>
      </w:r>
      <w:r>
        <w:br/>
      </w:r>
      <w:r>
        <w:rPr>
          <w:rStyle w:val="NormalTok"/>
        </w:rPr>
        <w:t xml:space="preserve">    </w:t>
      </w:r>
      <w:r>
        <w:rPr>
          <w:rStyle w:val="ControlFlowTok"/>
        </w:rPr>
        <w:t xml:space="preserve">else</w:t>
      </w:r>
      <w:r>
        <w:rPr>
          <w:rStyle w:val="NormalTok"/>
        </w:rPr>
        <w:t xml:space="preserve">:</w:t>
      </w:r>
      <w:r>
        <w:br/>
      </w:r>
      <w:r>
        <w:rPr>
          <w:rStyle w:val="NormalTok"/>
        </w:rPr>
        <w:t xml:space="preserve">        E_pi </w:t>
      </w:r>
      <w:r>
        <w:rPr>
          <w:rStyle w:val="OperatorTok"/>
        </w:rPr>
        <w:t xml:space="preserve">=</w:t>
      </w:r>
      <w:r>
        <w:rPr>
          <w:rStyle w:val="NormalTok"/>
        </w:rPr>
        <w:t xml:space="preserve"> </w:t>
      </w:r>
      <w:r>
        <w:rPr>
          <w:rStyle w:val="FloatTok"/>
        </w:rPr>
        <w:t xml:space="preserve">0.0</w:t>
      </w:r>
      <w:r>
        <w:br/>
      </w:r>
      <w:r>
        <w:rPr>
          <w:rStyle w:val="NormalTok"/>
        </w:rPr>
        <w:t xml:space="preserve">    c_C1_bond </w:t>
      </w:r>
      <w:r>
        <w:rPr>
          <w:rStyle w:val="OperatorTok"/>
        </w:rPr>
        <w:t xml:space="preserve">=</w:t>
      </w:r>
      <w:r>
        <w:rPr>
          <w:rStyle w:val="NormalTok"/>
        </w:rPr>
        <w:t xml:space="preserve"> eigenvectors</w:t>
      </w:r>
      <w:r>
        <w:br/>
      </w:r>
      <w:r>
        <w:rPr>
          <w:rStyle w:val="NormalTok"/>
        </w:rPr>
        <w:t xml:space="preserve">    q_C1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(c_C1_bond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E_pi, q_C1, eigenvalues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catalyst_mock </w:t>
      </w:r>
      <w:r>
        <w:rPr>
          <w:rStyle w:val="OperatorTok"/>
        </w:rPr>
        <w:t xml:space="preserve">=</w:t>
      </w:r>
      <w:r>
        <w:rPr>
          <w:rStyle w:val="NormalTok"/>
        </w:rPr>
        <w:t xml:space="preserve"> {</w:t>
      </w:r>
      <w:r>
        <w:rPr>
          <w:rStyle w:val="StringTok"/>
        </w:rPr>
        <w:t xml:space="preserve">"ID"</w:t>
      </w:r>
      <w:r>
        <w:rPr>
          <w:rStyle w:val="NormalTok"/>
        </w:rPr>
        <w:t xml:space="preserve">: </w:t>
      </w:r>
      <w:r>
        <w:rPr>
          <w:rStyle w:val="StringTok"/>
        </w:rPr>
        <w:t xml:space="preserve">"Pd(111) Top"</w:t>
      </w:r>
      <w:r>
        <w:rPr>
          <w:rStyle w:val="NormalTok"/>
        </w:rPr>
        <w:t xml:space="preserve">, </w:t>
      </w:r>
      <w:r>
        <w:rPr>
          <w:rStyle w:val="StringTok"/>
        </w:rPr>
        <w:t xml:space="preserve">"alpha_M"</w:t>
      </w:r>
      <w:r>
        <w:rPr>
          <w:rStyle w:val="NormalTok"/>
        </w:rPr>
        <w:t xml:space="preserve">: </w:t>
      </w:r>
      <w:r>
        <w:rPr>
          <w:rStyle w:val="OperatorTok"/>
        </w:rPr>
        <w:t xml:space="preserve">-</w:t>
      </w:r>
      <w:r>
        <w:rPr>
          <w:rStyle w:val="FloatTok"/>
        </w:rPr>
        <w:t xml:space="preserve">4.85</w:t>
      </w:r>
      <w:r>
        <w:rPr>
          <w:rStyle w:val="NormalTok"/>
        </w:rPr>
        <w:t xml:space="preserve">, </w:t>
      </w:r>
      <w:r>
        <w:rPr>
          <w:rStyle w:val="StringTok"/>
        </w:rPr>
        <w:t xml:space="preserve">"r"</w:t>
      </w:r>
      <w:r>
        <w:rPr>
          <w:rStyle w:val="NormalTok"/>
        </w:rPr>
        <w:t xml:space="preserve">: </w:t>
      </w:r>
      <w:r>
        <w:rPr>
          <w:rStyle w:val="FloatTok"/>
        </w:rPr>
        <w:t xml:space="preserve">2.10</w:t>
      </w:r>
      <w:r>
        <w:rPr>
          <w:rStyle w:val="NormalTok"/>
        </w:rPr>
        <w:t xml:space="preserve">}</w:t>
      </w:r>
      <w:r>
        <w:br/>
      </w:r>
      <w:r>
        <w:rPr>
          <w:rStyle w:val="NormalTok"/>
        </w:rPr>
        <w:t xml:space="preserve">    alkyne_mock   </w:t>
      </w:r>
      <w:r>
        <w:rPr>
          <w:rStyle w:val="OperatorTok"/>
        </w:rPr>
        <w:t xml:space="preserve">=</w:t>
      </w:r>
      <w:r>
        <w:rPr>
          <w:rStyle w:val="NormalTok"/>
        </w:rPr>
        <w:t xml:space="preserve"> {</w:t>
      </w:r>
      <w:r>
        <w:rPr>
          <w:rStyle w:val="StringTok"/>
        </w:rPr>
        <w:t xml:space="preserve">"ID"</w:t>
      </w:r>
      <w:r>
        <w:rPr>
          <w:rStyle w:val="NormalTok"/>
        </w:rPr>
        <w:t xml:space="preserve">: </w:t>
      </w:r>
      <w:r>
        <w:rPr>
          <w:rStyle w:val="StringTok"/>
        </w:rPr>
        <w:t xml:space="preserve">"Nitro-Phenyl"</w:t>
      </w:r>
      <w:r>
        <w:rPr>
          <w:rStyle w:val="NormalTok"/>
        </w:rPr>
        <w:t xml:space="preserve">, </w:t>
      </w:r>
      <w:r>
        <w:rPr>
          <w:rStyle w:val="StringTok"/>
        </w:rPr>
        <w:t xml:space="preserve">"alpha_C1"</w:t>
      </w:r>
      <w:r>
        <w:rPr>
          <w:rStyle w:val="NormalTok"/>
        </w:rPr>
        <w:t xml:space="preserve">: </w:t>
      </w:r>
      <w:r>
        <w:rPr>
          <w:rStyle w:val="OperatorTok"/>
        </w:rPr>
        <w:t xml:space="preserve">-</w:t>
      </w:r>
      <w:r>
        <w:rPr>
          <w:rStyle w:val="FloatTok"/>
        </w:rPr>
        <w:t xml:space="preserve">5.60</w:t>
      </w:r>
      <w:r>
        <w:rPr>
          <w:rStyle w:val="NormalTok"/>
        </w:rPr>
        <w:t xml:space="preserve">, </w:t>
      </w:r>
      <w:r>
        <w:rPr>
          <w:rStyle w:val="StringTok"/>
        </w:rPr>
        <w:t xml:space="preserve">"alpha_C2"</w:t>
      </w:r>
      <w:r>
        <w:rPr>
          <w:rStyle w:val="NormalTok"/>
        </w:rPr>
        <w:t xml:space="preserve">: </w:t>
      </w:r>
      <w:r>
        <w:rPr>
          <w:rStyle w:val="OperatorTok"/>
        </w:rPr>
        <w:t xml:space="preserve">-</w:t>
      </w:r>
      <w:r>
        <w:rPr>
          <w:rStyle w:val="FloatTok"/>
        </w:rPr>
        <w:t xml:space="preserve">5.40</w:t>
      </w:r>
      <w:r>
        <w:rPr>
          <w:rStyle w:val="NormalTok"/>
        </w:rPr>
        <w:t xml:space="preserve">, </w:t>
      </w:r>
      <w:r>
        <w:rPr>
          <w:rStyle w:val="StringTok"/>
        </w:rPr>
        <w:t xml:space="preserve">"beta_CC"</w:t>
      </w:r>
      <w:r>
        <w:rPr>
          <w:rStyle w:val="NormalTok"/>
        </w:rPr>
        <w:t xml:space="preserve">: </w:t>
      </w:r>
      <w:r>
        <w:rPr>
          <w:rStyle w:val="OperatorTok"/>
        </w:rPr>
        <w:t xml:space="preserve">-</w:t>
      </w:r>
      <w:r>
        <w:rPr>
          <w:rStyle w:val="FloatTok"/>
        </w:rPr>
        <w:t xml:space="preserve">7.20</w:t>
      </w:r>
      <w:r>
        <w:rPr>
          <w:rStyle w:val="NormalTok"/>
        </w:rPr>
        <w:t xml:space="preserve">}</w:t>
      </w:r>
      <w:r>
        <w:br/>
      </w:r>
      <w:r>
        <w:rPr>
          <w:rStyle w:val="NormalTok"/>
        </w:rPr>
        <w:t xml:space="preserve">    E_pi, q_C1, E_bond </w:t>
      </w:r>
      <w:r>
        <w:rPr>
          <w:rStyle w:val="OperatorTok"/>
        </w:rPr>
        <w:t xml:space="preserve">=</w:t>
      </w:r>
      <w:r>
        <w:rPr>
          <w:rStyle w:val="NormalTok"/>
        </w:rPr>
        <w:t xml:space="preserve"> compute_descriptometrix(</w:t>
      </w:r>
      <w:r>
        <w:br/>
      </w:r>
      <w:r>
        <w:rPr>
          <w:rStyle w:val="NormalTok"/>
        </w:rPr>
        <w:t xml:space="preserve">        alpha_M</w:t>
      </w:r>
      <w:r>
        <w:rPr>
          <w:rStyle w:val="OperatorTok"/>
        </w:rPr>
        <w:t xml:space="preserve">=</w:t>
      </w:r>
      <w:r>
        <w:rPr>
          <w:rStyle w:val="NormalTok"/>
        </w:rPr>
        <w:t xml:space="preserve">catalyst_mock[</w:t>
      </w:r>
      <w:r>
        <w:rPr>
          <w:rStyle w:val="StringTok"/>
        </w:rPr>
        <w:t xml:space="preserve">"alpha_M"</w:t>
      </w:r>
      <w:r>
        <w:rPr>
          <w:rStyle w:val="NormalTok"/>
        </w:rPr>
        <w:t xml:space="preserve">], alpha_C1</w:t>
      </w:r>
      <w:r>
        <w:rPr>
          <w:rStyle w:val="OperatorTok"/>
        </w:rPr>
        <w:t xml:space="preserve">=</w:t>
      </w:r>
      <w:r>
        <w:rPr>
          <w:rStyle w:val="NormalTok"/>
        </w:rPr>
        <w:t xml:space="preserve">alkyne_mock[</w:t>
      </w:r>
      <w:r>
        <w:rPr>
          <w:rStyle w:val="StringTok"/>
        </w:rPr>
        <w:t xml:space="preserve">"alpha_C1"</w:t>
      </w:r>
      <w:r>
        <w:rPr>
          <w:rStyle w:val="NormalTok"/>
        </w:rPr>
        <w:t xml:space="preserve">],</w:t>
      </w:r>
      <w:r>
        <w:br/>
      </w:r>
      <w:r>
        <w:rPr>
          <w:rStyle w:val="NormalTok"/>
        </w:rPr>
        <w:t xml:space="preserve">        alpha_C2</w:t>
      </w:r>
      <w:r>
        <w:rPr>
          <w:rStyle w:val="OperatorTok"/>
        </w:rPr>
        <w:t xml:space="preserve">=</w:t>
      </w:r>
      <w:r>
        <w:rPr>
          <w:rStyle w:val="NormalTok"/>
        </w:rPr>
        <w:t xml:space="preserve">alkyne_mock[</w:t>
      </w:r>
      <w:r>
        <w:rPr>
          <w:rStyle w:val="StringTok"/>
        </w:rPr>
        <w:t xml:space="preserve">"alpha_C2"</w:t>
      </w:r>
      <w:r>
        <w:rPr>
          <w:rStyle w:val="NormalTok"/>
        </w:rPr>
        <w:t xml:space="preserve">], beta_CC</w:t>
      </w:r>
      <w:r>
        <w:rPr>
          <w:rStyle w:val="OperatorTok"/>
        </w:rPr>
        <w:t xml:space="preserve">=</w:t>
      </w:r>
      <w:r>
        <w:rPr>
          <w:rStyle w:val="NormalTok"/>
        </w:rPr>
        <w:t xml:space="preserve">alkyne_mock[</w:t>
      </w:r>
      <w:r>
        <w:rPr>
          <w:rStyle w:val="StringTok"/>
        </w:rPr>
        <w:t xml:space="preserve">"beta_CC"</w:t>
      </w:r>
      <w:r>
        <w:rPr>
          <w:rStyle w:val="NormalTok"/>
        </w:rPr>
        <w:t xml:space="preserve">],</w:t>
      </w:r>
      <w:r>
        <w:br/>
      </w:r>
      <w:r>
        <w:rPr>
          <w:rStyle w:val="NormalTok"/>
        </w:rPr>
        <w:t xml:space="preserve">        r_distance</w:t>
      </w:r>
      <w:r>
        <w:rPr>
          <w:rStyle w:val="OperatorTok"/>
        </w:rPr>
        <w:t xml:space="preserve">=</w:t>
      </w:r>
      <w:r>
        <w:rPr>
          <w:rStyle w:val="NormalTok"/>
        </w:rPr>
        <w:t xml:space="preserve">catalyst_mock[</w:t>
      </w:r>
      <w:r>
        <w:rPr>
          <w:rStyle w:val="StringTok"/>
        </w:rPr>
        <w:t xml:space="preserve">"r"</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f"Calculated E_pi: </w:t>
      </w:r>
      <w:r>
        <w:rPr>
          <w:rStyle w:val="SpecialCharTok"/>
        </w:rPr>
        <w:t xml:space="preserve">{</w:t>
      </w:r>
      <w:r>
        <w:rPr>
          <w:rStyle w:val="NormalTok"/>
        </w:rPr>
        <w:t xml:space="preserve">E_pi</w:t>
      </w:r>
      <w:r>
        <w:rPr>
          <w:rStyle w:val="SpecialCharTok"/>
        </w:rPr>
        <w:t xml:space="preserve">:.4f}</w:t>
      </w:r>
      <w:r>
        <w:rPr>
          <w:rStyle w:val="SpecialStringTok"/>
        </w:rPr>
        <w:t xml:space="preserve"> eV | q_C1: </w:t>
      </w:r>
      <w:r>
        <w:rPr>
          <w:rStyle w:val="SpecialCharTok"/>
        </w:rPr>
        <w:t xml:space="preserve">{</w:t>
      </w:r>
      <w:r>
        <w:rPr>
          <w:rStyle w:val="NormalTok"/>
        </w:rPr>
        <w:t xml:space="preserve">q_C1</w:t>
      </w:r>
      <w:r>
        <w:rPr>
          <w:rStyle w:val="SpecialCharTok"/>
        </w:rPr>
        <w:t xml:space="preserve">:.4f}</w:t>
      </w:r>
      <w:r>
        <w:rPr>
          <w:rStyle w:val="SpecialStringTok"/>
        </w:rPr>
        <w:t xml:space="preserve"> e | E_bond: </w:t>
      </w:r>
      <w:r>
        <w:rPr>
          <w:rStyle w:val="SpecialCharTok"/>
        </w:rPr>
        <w:t xml:space="preserve">{</w:t>
      </w:r>
      <w:r>
        <w:rPr>
          <w:rStyle w:val="NormalTok"/>
        </w:rPr>
        <w:t xml:space="preserve">E_bond</w:t>
      </w:r>
      <w:r>
        <w:rPr>
          <w:rStyle w:val="SpecialCharTok"/>
        </w:rPr>
        <w:t xml:space="preserve">:.4f}</w:t>
      </w:r>
      <w:r>
        <w:rPr>
          <w:rStyle w:val="SpecialStringTok"/>
        </w:rPr>
        <w:t xml:space="preserve"> eV"</w:t>
      </w:r>
      <w:r>
        <w:rPr>
          <w:rStyle w:val="NormalTok"/>
        </w:rPr>
        <w:t xml:space="preserve">)</w:t>
      </w:r>
    </w:p>
    <w:p>
      <w:pPr>
        <w:pStyle w:val="FirstParagraph"/>
      </w:pPr>
      <w:r>
        <w:t xml:space="preserve">10</w:t>
      </w:r>
      <w:r>
        <w:t xml:space="preserve"> </w:t>
      </w:r>
      <w:r>
        <w:t xml:space="preserve">Rasmussen, C. E. &amp; Williams, C. K. I.</w:t>
      </w:r>
      <w:r>
        <w:t xml:space="preserve"> </w:t>
      </w:r>
      <w:r>
        <w:rPr>
          <w:i/>
          <w:iCs/>
        </w:rPr>
        <w:t xml:space="preserve">Gaussian Processes for Machine Learning</w:t>
      </w:r>
      <w:r>
        <w:t xml:space="preserve">. (MIT Press, 2006).</w:t>
      </w:r>
      <w:r>
        <w:t xml:space="preserve"> </w:t>
      </w:r>
      <w:r>
        <w:t xml:space="preserve">Nørskov, J. K. et al.</w:t>
      </w:r>
      <w:r>
        <w:t xml:space="preserve"> </w:t>
      </w:r>
      <w:r>
        <w:rPr>
          <w:i/>
          <w:iCs/>
        </w:rPr>
        <w:t xml:space="preserve">Nature Chem.</w:t>
      </w:r>
      <w:r>
        <w:t xml:space="preserve"> </w:t>
      </w:r>
      <w:r>
        <w:rPr>
          <w:b/>
          <w:bCs/>
        </w:rPr>
        <w:t xml:space="preserve">1</w:t>
      </w:r>
      <w:r>
        <w:t xml:space="preserve">, 22–30 (2009).</w:t>
      </w:r>
      <w:r>
        <w:t xml:space="preserve"> </w:t>
      </w:r>
      <w:r>
        <w:t xml:space="preserve">Kyriakou, G. et al.</w:t>
      </w:r>
      <w:r>
        <w:t xml:space="preserve"> </w:t>
      </w:r>
      <w:r>
        <w:rPr>
          <w:i/>
          <w:iCs/>
        </w:rPr>
        <w:t xml:space="preserve">Science</w:t>
      </w:r>
      <w:r>
        <w:t xml:space="preserve"> </w:t>
      </w:r>
      <w:r>
        <w:rPr>
          <w:b/>
          <w:bCs/>
        </w:rPr>
        <w:t xml:space="preserve">335</w:t>
      </w:r>
      <w:r>
        <w:t xml:space="preserve">, 1209–1212 (2012).</w:t>
      </w:r>
      <w:r>
        <w:t xml:space="preserve"> </w:t>
      </w:r>
      <w:r>
        <w:t xml:space="preserve">Reuter, K. &amp; Scheffler, M.</w:t>
      </w:r>
      <w:r>
        <w:t xml:space="preserve"> </w:t>
      </w:r>
      <w:r>
        <w:rPr>
          <w:i/>
          <w:iCs/>
        </w:rPr>
        <w:t xml:space="preserve">Phys. Rev. B</w:t>
      </w:r>
      <w:r>
        <w:t xml:space="preserve"> </w:t>
      </w:r>
      <w:r>
        <w:rPr>
          <w:b/>
          <w:bCs/>
        </w:rPr>
        <w:t xml:space="preserve">73</w:t>
      </w:r>
      <w:r>
        <w:t xml:space="preserve">, 045433 (2006).</w:t>
      </w:r>
    </w:p>
    <w:bookmarkEnd w:id="13"/>
    <w:bookmarkStart w:id="15" w:name="data-and-code-availability-1"/>
    <w:p>
      <w:pPr>
        <w:pStyle w:val="Heading1"/>
      </w:pPr>
      <w:r>
        <w:t xml:space="preserve">Data and Code Availability</w:t>
      </w:r>
    </w:p>
    <w:p>
      <w:pPr>
        <w:pStyle w:val="FirstParagraph"/>
      </w:pPr>
      <w:r>
        <w:t xml:space="preserve">The high-throughput screening dataset containing the calculated quantum metrics (</w:t>
      </w:r>
      <m:oMath>
        <m:r>
          <m:rPr>
            <m:sty m:val="p"/>
          </m:rPr>
          <m:t>Δ</m:t>
        </m:r>
        <m:sSub>
          <m:e>
            <m:r>
              <m:t>E</m:t>
            </m:r>
          </m:e>
          <m:sub>
            <m:r>
              <m:t>π</m:t>
            </m:r>
          </m:sub>
        </m:sSub>
      </m:oMath>
      <w:r>
        <w:t xml:space="preserve"> </w:t>
      </w:r>
      <w:r>
        <w:t xml:space="preserve">and</w:t>
      </w:r>
      <w:r>
        <w:t xml:space="preserve"> </w:t>
      </w:r>
      <m:oMath>
        <m:r>
          <m:rPr>
            <m:sty m:val="p"/>
          </m:rPr>
          <m:t>Δ</m:t>
        </m:r>
        <m:sSub>
          <m:e>
            <m:r>
              <m:t>q</m:t>
            </m:r>
          </m:e>
          <m:sub>
            <m:r>
              <m:t>C</m:t>
            </m:r>
            <m:r>
              <m:t>1</m:t>
            </m:r>
          </m:sub>
        </m:sSub>
      </m:oMath>
      <w:r>
        <w:t xml:space="preserve">) for the 300,000 catalyst–reactant configurations, along with the foundational periodic DFT parameters, has been permanently archived on Zenodo under DOI:</w:t>
      </w:r>
      <w:r>
        <w:t xml:space="preserve"> </w:t>
      </w:r>
      <w:hyperlink r:id="rId14">
        <w:r>
          <w:rPr>
            <w:rStyle w:val="Hyperlink"/>
          </w:rPr>
          <w:t xml:space="preserve">10.5281/zenodo.21196337</w:t>
        </w:r>
      </w:hyperlink>
      <w:r>
        <w:t xml:space="preserve">. The complete, self-contained Python script used to verify these analytical metrics and drive the screening matrix engine is provided below:</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doi.org" TargetMode="External" /></Relationships>
</file>

<file path=word/_rels/footnotes.xml.rels><?xml version="1.0" encoding="UTF-8"?><Relationships xmlns="http://schemas.openxmlformats.org/package/2006/relationships"><Relationship Type="http://schemas.openxmlformats.org/officeDocument/2006/relationships/hyperlink" Id="rId14" Target="https://doi.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physics-informed matrix engine bypasses scaling relations in alkyne-poisoned catalytic interfaces — Part 3</dc:title>
  <dc:creator>Aniema Ekemini, Ededet Asuquo Southern British High School, Calabar, CRS, Nigeria</dc:creator>
  <cp:keywords/>
  <dcterms:created xsi:type="dcterms:W3CDTF">2026-07-04T18:06:06Z</dcterms:created>
  <dcterms:modified xsi:type="dcterms:W3CDTF">2026-07-04T18:06:06Z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4, 2026</vt:lpwstr>
  </property>
</Properties>
</file>