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BFA" w:rsidRPr="00054BFA" w:rsidRDefault="00054BFA" w:rsidP="00054BFA">
      <w:pPr>
        <w:spacing w:after="0"/>
        <w:jc w:val="center"/>
        <w:rPr>
          <w:b/>
          <w:sz w:val="32"/>
          <w:szCs w:val="32"/>
        </w:rPr>
      </w:pPr>
      <w:r w:rsidRPr="00054BFA">
        <w:rPr>
          <w:b/>
          <w:sz w:val="32"/>
          <w:szCs w:val="32"/>
        </w:rPr>
        <w:t>CURSO DE CREACIÓN DE MATERIALES MULTIMEDIA</w:t>
      </w:r>
    </w:p>
    <w:p w:rsidR="00001CEC" w:rsidRDefault="00054BFA" w:rsidP="00054BFA">
      <w:pPr>
        <w:jc w:val="center"/>
        <w:rPr>
          <w:b/>
        </w:rPr>
      </w:pPr>
      <w:r>
        <w:rPr>
          <w:b/>
        </w:rPr>
        <w:t>PRÁCTICA INTEGRADORA FINAL</w:t>
      </w:r>
    </w:p>
    <w:p w:rsidR="00054BFA" w:rsidRPr="00BE1C72" w:rsidRDefault="00054BFA" w:rsidP="002A263D">
      <w:pPr>
        <w:pStyle w:val="Ttulo1"/>
        <w:spacing w:before="120"/>
        <w:jc w:val="center"/>
        <w:rPr>
          <w:rFonts w:asciiTheme="minorHAnsi" w:hAnsiTheme="minorHAnsi" w:cstheme="minorHAnsi"/>
          <w:color w:val="403152" w:themeColor="accent4" w:themeShade="80"/>
          <w:sz w:val="56"/>
          <w:szCs w:val="56"/>
        </w:rPr>
      </w:pPr>
      <w:bookmarkStart w:id="0" w:name="_Toc304746660"/>
      <w:bookmarkStart w:id="1" w:name="_Toc306388063"/>
      <w:r w:rsidRPr="00BE1C72">
        <w:rPr>
          <w:rFonts w:asciiTheme="minorHAnsi" w:hAnsiTheme="minorHAnsi" w:cstheme="minorHAnsi"/>
          <w:color w:val="403152" w:themeColor="accent4" w:themeShade="80"/>
          <w:sz w:val="56"/>
          <w:szCs w:val="56"/>
        </w:rPr>
        <w:t>Proyecto: Circuitos de Corriente Alterna</w:t>
      </w:r>
      <w:bookmarkEnd w:id="0"/>
      <w:bookmarkEnd w:id="1"/>
    </w:p>
    <w:p w:rsidR="00054BFA" w:rsidRDefault="00054BFA" w:rsidP="00054BFA">
      <w:pPr>
        <w:jc w:val="center"/>
      </w:pPr>
      <w:r>
        <w:t xml:space="preserve">Autor: Gustavo </w:t>
      </w:r>
      <w:proofErr w:type="spellStart"/>
      <w:r>
        <w:t>Belliski</w:t>
      </w:r>
      <w:proofErr w:type="spellEnd"/>
      <w:r w:rsidR="00C22FC4">
        <w:t xml:space="preserve"> – Mar del Plata</w:t>
      </w:r>
    </w:p>
    <w:p w:rsidR="00FD3FC7" w:rsidRDefault="00FD3FC7" w:rsidP="00C22FC4">
      <w:pPr>
        <w:pStyle w:val="Ttulo1"/>
      </w:pPr>
      <w:bookmarkStart w:id="2" w:name="_Toc304746661"/>
    </w:p>
    <w:p w:rsidR="0030752F" w:rsidRDefault="0030752F" w:rsidP="0030752F"/>
    <w:p w:rsidR="0030752F" w:rsidRPr="0030752F" w:rsidRDefault="0030752F" w:rsidP="0030752F">
      <w:pPr>
        <w:sectPr w:rsidR="0030752F" w:rsidRPr="0030752F" w:rsidSect="00524AE0">
          <w:pgSz w:w="12240" w:h="15840"/>
          <w:pgMar w:top="851" w:right="900" w:bottom="1135" w:left="1701" w:header="708" w:footer="708" w:gutter="0"/>
          <w:cols w:space="708"/>
          <w:docGrid w:linePitch="360"/>
        </w:sectPr>
      </w:pPr>
    </w:p>
    <w:bookmarkEnd w:id="2" w:displacedByCustomXml="next"/>
    <w:bookmarkStart w:id="3" w:name="_Toc30474666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13632416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AB3294" w:rsidRDefault="00AB3294">
          <w:pPr>
            <w:pStyle w:val="TtulodeTDC"/>
          </w:pPr>
          <w:r>
            <w:t>Tabla de contenido</w:t>
          </w:r>
        </w:p>
        <w:p w:rsidR="00AB3294" w:rsidRPr="0030752F" w:rsidRDefault="00FB1556">
          <w:pPr>
            <w:pStyle w:val="TDC1"/>
            <w:tabs>
              <w:tab w:val="right" w:leader="dot" w:pos="962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AR"/>
            </w:rPr>
          </w:pPr>
          <w:r w:rsidRPr="0030752F">
            <w:rPr>
              <w:sz w:val="24"/>
              <w:szCs w:val="24"/>
              <w:lang w:val="es-ES"/>
            </w:rPr>
            <w:fldChar w:fldCharType="begin"/>
          </w:r>
          <w:r w:rsidR="00AB3294" w:rsidRPr="0030752F">
            <w:rPr>
              <w:sz w:val="24"/>
              <w:szCs w:val="24"/>
              <w:lang w:val="es-ES"/>
            </w:rPr>
            <w:instrText xml:space="preserve"> TOC \o "1-3" \h \z \u </w:instrText>
          </w:r>
          <w:r w:rsidRPr="0030752F">
            <w:rPr>
              <w:sz w:val="24"/>
              <w:szCs w:val="24"/>
              <w:lang w:val="es-ES"/>
            </w:rPr>
            <w:fldChar w:fldCharType="separate"/>
          </w:r>
          <w:hyperlink w:anchor="_Toc306388063" w:history="1">
            <w:r w:rsidR="00AB3294" w:rsidRPr="0030752F">
              <w:rPr>
                <w:rStyle w:val="Hipervnculo"/>
                <w:noProof/>
                <w:sz w:val="24"/>
                <w:szCs w:val="24"/>
              </w:rPr>
              <w:t>Proyecto: Circuitos de Corriente Alterna</w:t>
            </w:r>
            <w:r w:rsidR="00AB3294" w:rsidRPr="0030752F">
              <w:rPr>
                <w:noProof/>
                <w:webHidden/>
                <w:sz w:val="24"/>
                <w:szCs w:val="24"/>
              </w:rPr>
              <w:tab/>
            </w:r>
            <w:r w:rsidRPr="0030752F">
              <w:rPr>
                <w:noProof/>
                <w:webHidden/>
                <w:sz w:val="24"/>
                <w:szCs w:val="24"/>
              </w:rPr>
              <w:fldChar w:fldCharType="begin"/>
            </w:r>
            <w:r w:rsidR="00AB3294" w:rsidRPr="0030752F">
              <w:rPr>
                <w:noProof/>
                <w:webHidden/>
                <w:sz w:val="24"/>
                <w:szCs w:val="24"/>
              </w:rPr>
              <w:instrText xml:space="preserve"> PAGEREF _Toc306388063 \h </w:instrText>
            </w:r>
            <w:r w:rsidRPr="0030752F">
              <w:rPr>
                <w:noProof/>
                <w:webHidden/>
                <w:sz w:val="24"/>
                <w:szCs w:val="24"/>
              </w:rPr>
            </w:r>
            <w:r w:rsidRPr="0030752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3294" w:rsidRPr="0030752F">
              <w:rPr>
                <w:noProof/>
                <w:webHidden/>
                <w:sz w:val="24"/>
                <w:szCs w:val="24"/>
              </w:rPr>
              <w:t>1</w:t>
            </w:r>
            <w:r w:rsidRPr="0030752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3294" w:rsidRPr="0030752F" w:rsidRDefault="00FB1556">
          <w:pPr>
            <w:pStyle w:val="TDC1"/>
            <w:tabs>
              <w:tab w:val="right" w:leader="dot" w:pos="962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AR"/>
            </w:rPr>
          </w:pPr>
          <w:hyperlink w:anchor="_Toc306388064" w:history="1">
            <w:r w:rsidR="00AB3294" w:rsidRPr="0030752F">
              <w:rPr>
                <w:rStyle w:val="Hipervnculo"/>
                <w:noProof/>
                <w:sz w:val="24"/>
                <w:szCs w:val="24"/>
              </w:rPr>
              <w:t>1. Eje Pedagógico</w:t>
            </w:r>
            <w:r w:rsidR="00AB3294" w:rsidRPr="0030752F">
              <w:rPr>
                <w:noProof/>
                <w:webHidden/>
                <w:sz w:val="24"/>
                <w:szCs w:val="24"/>
              </w:rPr>
              <w:tab/>
            </w:r>
            <w:r w:rsidRPr="0030752F">
              <w:rPr>
                <w:noProof/>
                <w:webHidden/>
                <w:sz w:val="24"/>
                <w:szCs w:val="24"/>
              </w:rPr>
              <w:fldChar w:fldCharType="begin"/>
            </w:r>
            <w:r w:rsidR="00AB3294" w:rsidRPr="0030752F">
              <w:rPr>
                <w:noProof/>
                <w:webHidden/>
                <w:sz w:val="24"/>
                <w:szCs w:val="24"/>
              </w:rPr>
              <w:instrText xml:space="preserve"> PAGEREF _Toc306388064 \h </w:instrText>
            </w:r>
            <w:r w:rsidRPr="0030752F">
              <w:rPr>
                <w:noProof/>
                <w:webHidden/>
                <w:sz w:val="24"/>
                <w:szCs w:val="24"/>
              </w:rPr>
            </w:r>
            <w:r w:rsidRPr="0030752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3294" w:rsidRPr="0030752F">
              <w:rPr>
                <w:noProof/>
                <w:webHidden/>
                <w:sz w:val="24"/>
                <w:szCs w:val="24"/>
              </w:rPr>
              <w:t>1</w:t>
            </w:r>
            <w:r w:rsidRPr="0030752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3294" w:rsidRPr="0030752F" w:rsidRDefault="00FB1556">
          <w:pPr>
            <w:pStyle w:val="TDC2"/>
            <w:tabs>
              <w:tab w:val="right" w:leader="dot" w:pos="9629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s-AR"/>
            </w:rPr>
          </w:pPr>
          <w:hyperlink w:anchor="_Toc306388065" w:history="1">
            <w:r w:rsidR="00AB3294" w:rsidRPr="0030752F">
              <w:rPr>
                <w:rStyle w:val="Hipervnculo"/>
                <w:noProof/>
                <w:sz w:val="24"/>
                <w:szCs w:val="24"/>
              </w:rPr>
              <w:t>1.1. Introducción</w:t>
            </w:r>
            <w:r w:rsidR="00AB3294" w:rsidRPr="0030752F">
              <w:rPr>
                <w:noProof/>
                <w:webHidden/>
                <w:sz w:val="24"/>
                <w:szCs w:val="24"/>
              </w:rPr>
              <w:tab/>
            </w:r>
            <w:r w:rsidRPr="0030752F">
              <w:rPr>
                <w:noProof/>
                <w:webHidden/>
                <w:sz w:val="24"/>
                <w:szCs w:val="24"/>
              </w:rPr>
              <w:fldChar w:fldCharType="begin"/>
            </w:r>
            <w:r w:rsidR="00AB3294" w:rsidRPr="0030752F">
              <w:rPr>
                <w:noProof/>
                <w:webHidden/>
                <w:sz w:val="24"/>
                <w:szCs w:val="24"/>
              </w:rPr>
              <w:instrText xml:space="preserve"> PAGEREF _Toc306388065 \h </w:instrText>
            </w:r>
            <w:r w:rsidRPr="0030752F">
              <w:rPr>
                <w:noProof/>
                <w:webHidden/>
                <w:sz w:val="24"/>
                <w:szCs w:val="24"/>
              </w:rPr>
            </w:r>
            <w:r w:rsidRPr="0030752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3294" w:rsidRPr="0030752F">
              <w:rPr>
                <w:noProof/>
                <w:webHidden/>
                <w:sz w:val="24"/>
                <w:szCs w:val="24"/>
              </w:rPr>
              <w:t>1</w:t>
            </w:r>
            <w:r w:rsidRPr="0030752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3294" w:rsidRPr="0030752F" w:rsidRDefault="00FB1556">
          <w:pPr>
            <w:pStyle w:val="TDC2"/>
            <w:tabs>
              <w:tab w:val="right" w:leader="dot" w:pos="9629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s-AR"/>
            </w:rPr>
          </w:pPr>
          <w:hyperlink w:anchor="_Toc306388066" w:history="1">
            <w:r w:rsidR="00AB3294" w:rsidRPr="0030752F">
              <w:rPr>
                <w:rStyle w:val="Hipervnculo"/>
                <w:noProof/>
                <w:sz w:val="24"/>
                <w:szCs w:val="24"/>
              </w:rPr>
              <w:t>1.2. Objetivo pedagógico</w:t>
            </w:r>
            <w:r w:rsidR="00AB3294" w:rsidRPr="0030752F">
              <w:rPr>
                <w:noProof/>
                <w:webHidden/>
                <w:sz w:val="24"/>
                <w:szCs w:val="24"/>
              </w:rPr>
              <w:tab/>
            </w:r>
            <w:r w:rsidRPr="0030752F">
              <w:rPr>
                <w:noProof/>
                <w:webHidden/>
                <w:sz w:val="24"/>
                <w:szCs w:val="24"/>
              </w:rPr>
              <w:fldChar w:fldCharType="begin"/>
            </w:r>
            <w:r w:rsidR="00AB3294" w:rsidRPr="0030752F">
              <w:rPr>
                <w:noProof/>
                <w:webHidden/>
                <w:sz w:val="24"/>
                <w:szCs w:val="24"/>
              </w:rPr>
              <w:instrText xml:space="preserve"> PAGEREF _Toc306388066 \h </w:instrText>
            </w:r>
            <w:r w:rsidRPr="0030752F">
              <w:rPr>
                <w:noProof/>
                <w:webHidden/>
                <w:sz w:val="24"/>
                <w:szCs w:val="24"/>
              </w:rPr>
            </w:r>
            <w:r w:rsidRPr="0030752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3294" w:rsidRPr="0030752F">
              <w:rPr>
                <w:noProof/>
                <w:webHidden/>
                <w:sz w:val="24"/>
                <w:szCs w:val="24"/>
              </w:rPr>
              <w:t>1</w:t>
            </w:r>
            <w:r w:rsidRPr="0030752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3294" w:rsidRPr="0030752F" w:rsidRDefault="00FB1556">
          <w:pPr>
            <w:pStyle w:val="TDC2"/>
            <w:tabs>
              <w:tab w:val="right" w:leader="dot" w:pos="9629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s-AR"/>
            </w:rPr>
          </w:pPr>
          <w:hyperlink w:anchor="_Toc306388067" w:history="1">
            <w:r w:rsidR="00AB3294" w:rsidRPr="0030752F">
              <w:rPr>
                <w:rStyle w:val="Hipervnculo"/>
                <w:noProof/>
                <w:sz w:val="24"/>
                <w:szCs w:val="24"/>
              </w:rPr>
              <w:t>1.3. Competencias a adquirir</w:t>
            </w:r>
            <w:r w:rsidR="00AB3294" w:rsidRPr="0030752F">
              <w:rPr>
                <w:noProof/>
                <w:webHidden/>
                <w:sz w:val="24"/>
                <w:szCs w:val="24"/>
              </w:rPr>
              <w:tab/>
            </w:r>
            <w:r w:rsidRPr="0030752F">
              <w:rPr>
                <w:noProof/>
                <w:webHidden/>
                <w:sz w:val="24"/>
                <w:szCs w:val="24"/>
              </w:rPr>
              <w:fldChar w:fldCharType="begin"/>
            </w:r>
            <w:r w:rsidR="00AB3294" w:rsidRPr="0030752F">
              <w:rPr>
                <w:noProof/>
                <w:webHidden/>
                <w:sz w:val="24"/>
                <w:szCs w:val="24"/>
              </w:rPr>
              <w:instrText xml:space="preserve"> PAGEREF _Toc306388067 \h </w:instrText>
            </w:r>
            <w:r w:rsidRPr="0030752F">
              <w:rPr>
                <w:noProof/>
                <w:webHidden/>
                <w:sz w:val="24"/>
                <w:szCs w:val="24"/>
              </w:rPr>
            </w:r>
            <w:r w:rsidRPr="0030752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3294" w:rsidRPr="0030752F">
              <w:rPr>
                <w:noProof/>
                <w:webHidden/>
                <w:sz w:val="24"/>
                <w:szCs w:val="24"/>
              </w:rPr>
              <w:t>2</w:t>
            </w:r>
            <w:r w:rsidRPr="0030752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3294" w:rsidRPr="0030752F" w:rsidRDefault="00FB1556">
          <w:pPr>
            <w:pStyle w:val="TDC2"/>
            <w:tabs>
              <w:tab w:val="right" w:leader="dot" w:pos="9629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s-AR"/>
            </w:rPr>
          </w:pPr>
          <w:hyperlink w:anchor="_Toc306388068" w:history="1">
            <w:r w:rsidR="00AB3294" w:rsidRPr="0030752F">
              <w:rPr>
                <w:rStyle w:val="Hipervnculo"/>
                <w:noProof/>
                <w:sz w:val="24"/>
                <w:szCs w:val="24"/>
              </w:rPr>
              <w:t>1.4. Descripción de la práctica y actividades a desarrollar</w:t>
            </w:r>
            <w:r w:rsidR="00AB3294" w:rsidRPr="0030752F">
              <w:rPr>
                <w:noProof/>
                <w:webHidden/>
                <w:sz w:val="24"/>
                <w:szCs w:val="24"/>
              </w:rPr>
              <w:tab/>
            </w:r>
            <w:r w:rsidRPr="0030752F">
              <w:rPr>
                <w:noProof/>
                <w:webHidden/>
                <w:sz w:val="24"/>
                <w:szCs w:val="24"/>
              </w:rPr>
              <w:fldChar w:fldCharType="begin"/>
            </w:r>
            <w:r w:rsidR="00AB3294" w:rsidRPr="0030752F">
              <w:rPr>
                <w:noProof/>
                <w:webHidden/>
                <w:sz w:val="24"/>
                <w:szCs w:val="24"/>
              </w:rPr>
              <w:instrText xml:space="preserve"> PAGEREF _Toc306388068 \h </w:instrText>
            </w:r>
            <w:r w:rsidRPr="0030752F">
              <w:rPr>
                <w:noProof/>
                <w:webHidden/>
                <w:sz w:val="24"/>
                <w:szCs w:val="24"/>
              </w:rPr>
            </w:r>
            <w:r w:rsidRPr="0030752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3294" w:rsidRPr="0030752F">
              <w:rPr>
                <w:noProof/>
                <w:webHidden/>
                <w:sz w:val="24"/>
                <w:szCs w:val="24"/>
              </w:rPr>
              <w:t>2</w:t>
            </w:r>
            <w:r w:rsidRPr="0030752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3294" w:rsidRPr="0030752F" w:rsidRDefault="00FB1556">
          <w:pPr>
            <w:pStyle w:val="TDC2"/>
            <w:tabs>
              <w:tab w:val="right" w:leader="dot" w:pos="9629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s-AR"/>
            </w:rPr>
          </w:pPr>
          <w:hyperlink w:anchor="_Toc306388069" w:history="1">
            <w:r w:rsidR="00AB3294" w:rsidRPr="0030752F">
              <w:rPr>
                <w:rStyle w:val="Hipervnculo"/>
                <w:noProof/>
                <w:sz w:val="24"/>
                <w:szCs w:val="24"/>
              </w:rPr>
              <w:t>1.5. Justificación del uso de simuladores</w:t>
            </w:r>
            <w:r w:rsidR="00AB3294" w:rsidRPr="0030752F">
              <w:rPr>
                <w:noProof/>
                <w:webHidden/>
                <w:sz w:val="24"/>
                <w:szCs w:val="24"/>
              </w:rPr>
              <w:tab/>
            </w:r>
            <w:r w:rsidRPr="0030752F">
              <w:rPr>
                <w:noProof/>
                <w:webHidden/>
                <w:sz w:val="24"/>
                <w:szCs w:val="24"/>
              </w:rPr>
              <w:fldChar w:fldCharType="begin"/>
            </w:r>
            <w:r w:rsidR="00AB3294" w:rsidRPr="0030752F">
              <w:rPr>
                <w:noProof/>
                <w:webHidden/>
                <w:sz w:val="24"/>
                <w:szCs w:val="24"/>
              </w:rPr>
              <w:instrText xml:space="preserve"> PAGEREF _Toc306388069 \h </w:instrText>
            </w:r>
            <w:r w:rsidRPr="0030752F">
              <w:rPr>
                <w:noProof/>
                <w:webHidden/>
                <w:sz w:val="24"/>
                <w:szCs w:val="24"/>
              </w:rPr>
            </w:r>
            <w:r w:rsidRPr="0030752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3294" w:rsidRPr="0030752F">
              <w:rPr>
                <w:noProof/>
                <w:webHidden/>
                <w:sz w:val="24"/>
                <w:szCs w:val="24"/>
              </w:rPr>
              <w:t>2</w:t>
            </w:r>
            <w:r w:rsidRPr="0030752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3294" w:rsidRPr="0030752F" w:rsidRDefault="00FB1556">
          <w:pPr>
            <w:pStyle w:val="TDC1"/>
            <w:tabs>
              <w:tab w:val="right" w:leader="dot" w:pos="962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AR"/>
            </w:rPr>
          </w:pPr>
          <w:hyperlink w:anchor="_Toc306388070" w:history="1">
            <w:r w:rsidR="00AB3294" w:rsidRPr="0030752F">
              <w:rPr>
                <w:rStyle w:val="Hipervnculo"/>
                <w:noProof/>
                <w:sz w:val="24"/>
                <w:szCs w:val="24"/>
              </w:rPr>
              <w:t>2. Eje técnico</w:t>
            </w:r>
            <w:r w:rsidR="00AB3294" w:rsidRPr="0030752F">
              <w:rPr>
                <w:noProof/>
                <w:webHidden/>
                <w:sz w:val="24"/>
                <w:szCs w:val="24"/>
              </w:rPr>
              <w:tab/>
            </w:r>
            <w:r w:rsidRPr="0030752F">
              <w:rPr>
                <w:noProof/>
                <w:webHidden/>
                <w:sz w:val="24"/>
                <w:szCs w:val="24"/>
              </w:rPr>
              <w:fldChar w:fldCharType="begin"/>
            </w:r>
            <w:r w:rsidR="00AB3294" w:rsidRPr="0030752F">
              <w:rPr>
                <w:noProof/>
                <w:webHidden/>
                <w:sz w:val="24"/>
                <w:szCs w:val="24"/>
              </w:rPr>
              <w:instrText xml:space="preserve"> PAGEREF _Toc306388070 \h </w:instrText>
            </w:r>
            <w:r w:rsidRPr="0030752F">
              <w:rPr>
                <w:noProof/>
                <w:webHidden/>
                <w:sz w:val="24"/>
                <w:szCs w:val="24"/>
              </w:rPr>
            </w:r>
            <w:r w:rsidRPr="0030752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3294" w:rsidRPr="0030752F">
              <w:rPr>
                <w:noProof/>
                <w:webHidden/>
                <w:sz w:val="24"/>
                <w:szCs w:val="24"/>
              </w:rPr>
              <w:t>2</w:t>
            </w:r>
            <w:r w:rsidRPr="0030752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3294" w:rsidRPr="0030752F" w:rsidRDefault="00FB1556">
          <w:pPr>
            <w:pStyle w:val="TDC2"/>
            <w:tabs>
              <w:tab w:val="right" w:leader="dot" w:pos="9629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s-AR"/>
            </w:rPr>
          </w:pPr>
          <w:hyperlink w:anchor="_Toc306388071" w:history="1">
            <w:r w:rsidR="00AB3294" w:rsidRPr="0030752F">
              <w:rPr>
                <w:rStyle w:val="Hipervnculo"/>
                <w:noProof/>
                <w:sz w:val="24"/>
                <w:szCs w:val="24"/>
              </w:rPr>
              <w:t>2.1.  Uso de simuladores propios y modificación de existentes</w:t>
            </w:r>
            <w:r w:rsidR="00AB3294" w:rsidRPr="0030752F">
              <w:rPr>
                <w:noProof/>
                <w:webHidden/>
                <w:sz w:val="24"/>
                <w:szCs w:val="24"/>
              </w:rPr>
              <w:tab/>
            </w:r>
            <w:r w:rsidRPr="0030752F">
              <w:rPr>
                <w:noProof/>
                <w:webHidden/>
                <w:sz w:val="24"/>
                <w:szCs w:val="24"/>
              </w:rPr>
              <w:fldChar w:fldCharType="begin"/>
            </w:r>
            <w:r w:rsidR="00AB3294" w:rsidRPr="0030752F">
              <w:rPr>
                <w:noProof/>
                <w:webHidden/>
                <w:sz w:val="24"/>
                <w:szCs w:val="24"/>
              </w:rPr>
              <w:instrText xml:space="preserve"> PAGEREF _Toc306388071 \h </w:instrText>
            </w:r>
            <w:r w:rsidRPr="0030752F">
              <w:rPr>
                <w:noProof/>
                <w:webHidden/>
                <w:sz w:val="24"/>
                <w:szCs w:val="24"/>
              </w:rPr>
            </w:r>
            <w:r w:rsidRPr="0030752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3294" w:rsidRPr="0030752F">
              <w:rPr>
                <w:noProof/>
                <w:webHidden/>
                <w:sz w:val="24"/>
                <w:szCs w:val="24"/>
              </w:rPr>
              <w:t>2</w:t>
            </w:r>
            <w:r w:rsidRPr="0030752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3294" w:rsidRPr="0030752F" w:rsidRDefault="00FB1556">
          <w:pPr>
            <w:rPr>
              <w:sz w:val="24"/>
              <w:szCs w:val="24"/>
              <w:lang w:val="es-ES"/>
            </w:rPr>
          </w:pPr>
          <w:r w:rsidRPr="0030752F">
            <w:rPr>
              <w:sz w:val="24"/>
              <w:szCs w:val="24"/>
              <w:lang w:val="es-ES"/>
            </w:rPr>
            <w:fldChar w:fldCharType="end"/>
          </w:r>
        </w:p>
      </w:sdtContent>
    </w:sdt>
    <w:p w:rsidR="0030752F" w:rsidRDefault="0030752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4" w:name="_Toc306388064"/>
      <w:r>
        <w:br w:type="page"/>
      </w:r>
    </w:p>
    <w:p w:rsidR="00054BFA" w:rsidRPr="00157D34" w:rsidRDefault="00054BFA" w:rsidP="00981D26">
      <w:pPr>
        <w:pStyle w:val="Ttulo1"/>
        <w:spacing w:before="120"/>
      </w:pPr>
      <w:r w:rsidRPr="00157D34">
        <w:lastRenderedPageBreak/>
        <w:t>1. Eje Pedagógico</w:t>
      </w:r>
      <w:bookmarkEnd w:id="3"/>
      <w:bookmarkEnd w:id="4"/>
    </w:p>
    <w:p w:rsidR="002759EE" w:rsidRDefault="00DF37B1" w:rsidP="004A33EA">
      <w:pPr>
        <w:pStyle w:val="Ttulo2"/>
      </w:pPr>
      <w:bookmarkStart w:id="5" w:name="_Toc304746663"/>
      <w:bookmarkStart w:id="6" w:name="_Toc306388065"/>
      <w:r>
        <w:t>1.</w:t>
      </w:r>
      <w:r w:rsidR="002759EE">
        <w:t>1. Introducción</w:t>
      </w:r>
      <w:bookmarkEnd w:id="5"/>
      <w:bookmarkEnd w:id="6"/>
    </w:p>
    <w:p w:rsidR="00054BFA" w:rsidRDefault="00BE1C72" w:rsidP="00BE1C72">
      <w:pPr>
        <w:spacing w:before="120" w:after="120" w:line="24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propone desarrollar un proyecto integrado que permita a los alumnos comprender el funcionamiento de los circuitos eléctricos de corriente alterna, </w:t>
      </w:r>
      <w:r w:rsidR="00CC1C85">
        <w:rPr>
          <w:sz w:val="24"/>
          <w:szCs w:val="24"/>
        </w:rPr>
        <w:t xml:space="preserve">cómo se genera un campo magnético al circular una corriente a través de un cable, la consecuencia que ello tiene en la aparición de las máquinas eléctricas, en especial generadores y motores, </w:t>
      </w:r>
      <w:r>
        <w:rPr>
          <w:sz w:val="24"/>
          <w:szCs w:val="24"/>
        </w:rPr>
        <w:t xml:space="preserve">por qué </w:t>
      </w:r>
      <w:r w:rsidR="00CC1C85">
        <w:rPr>
          <w:sz w:val="24"/>
          <w:szCs w:val="24"/>
        </w:rPr>
        <w:t>la mayor parte de los</w:t>
      </w:r>
      <w:r>
        <w:rPr>
          <w:sz w:val="24"/>
          <w:szCs w:val="24"/>
        </w:rPr>
        <w:t xml:space="preserve"> circuitos</w:t>
      </w:r>
      <w:r w:rsidR="00CC1C85">
        <w:rPr>
          <w:sz w:val="24"/>
          <w:szCs w:val="24"/>
        </w:rPr>
        <w:t xml:space="preserve"> usuales</w:t>
      </w:r>
      <w:r>
        <w:rPr>
          <w:sz w:val="24"/>
          <w:szCs w:val="24"/>
        </w:rPr>
        <w:t xml:space="preserve"> son alimentados con tensión sinusoidal, </w:t>
      </w:r>
      <w:r w:rsidR="00CC1C85">
        <w:rPr>
          <w:sz w:val="24"/>
          <w:szCs w:val="24"/>
        </w:rPr>
        <w:t xml:space="preserve">y </w:t>
      </w:r>
      <w:r>
        <w:rPr>
          <w:sz w:val="24"/>
          <w:szCs w:val="24"/>
        </w:rPr>
        <w:t xml:space="preserve">cuál es la respuesta que se obtiene al alimentar una resistencia, un capacitor y un inductor a </w:t>
      </w:r>
      <w:r w:rsidR="009D2181">
        <w:rPr>
          <w:sz w:val="24"/>
          <w:szCs w:val="24"/>
        </w:rPr>
        <w:t>dicha</w:t>
      </w:r>
      <w:r>
        <w:rPr>
          <w:sz w:val="24"/>
          <w:szCs w:val="24"/>
        </w:rPr>
        <w:t xml:space="preserve"> tensión,</w:t>
      </w:r>
      <w:r w:rsidR="00CC1C85">
        <w:rPr>
          <w:sz w:val="24"/>
          <w:szCs w:val="24"/>
        </w:rPr>
        <w:t xml:space="preserve"> </w:t>
      </w:r>
      <w:r w:rsidR="009D2181">
        <w:rPr>
          <w:sz w:val="24"/>
          <w:szCs w:val="24"/>
        </w:rPr>
        <w:t xml:space="preserve">usando </w:t>
      </w:r>
      <w:r w:rsidR="00CC1C85">
        <w:rPr>
          <w:sz w:val="24"/>
          <w:szCs w:val="24"/>
        </w:rPr>
        <w:t xml:space="preserve">distintas frecuencias </w:t>
      </w:r>
      <w:r w:rsidR="009D2181">
        <w:rPr>
          <w:sz w:val="24"/>
          <w:szCs w:val="24"/>
        </w:rPr>
        <w:t>(</w:t>
      </w:r>
      <w:r w:rsidR="00CC1C85">
        <w:rPr>
          <w:sz w:val="24"/>
          <w:szCs w:val="24"/>
        </w:rPr>
        <w:t>variables a voluntad</w:t>
      </w:r>
      <w:r w:rsidR="009D2181">
        <w:rPr>
          <w:sz w:val="24"/>
          <w:szCs w:val="24"/>
        </w:rPr>
        <w:t>)</w:t>
      </w:r>
      <w:r w:rsidR="00CC1C85">
        <w:rPr>
          <w:sz w:val="24"/>
          <w:szCs w:val="24"/>
        </w:rPr>
        <w:t xml:space="preserve"> y utilizando un instrumento habitual en los laboratorios, el osciloscopio, permitiendo de esta manera que los alumnos se acerquen además a los rudimentos de su manejo</w:t>
      </w:r>
      <w:r w:rsidR="00FE0A62">
        <w:rPr>
          <w:sz w:val="24"/>
          <w:szCs w:val="24"/>
        </w:rPr>
        <w:t>.</w:t>
      </w:r>
    </w:p>
    <w:p w:rsidR="00FE0A62" w:rsidRDefault="00E57BC6" w:rsidP="00BE1C72">
      <w:pPr>
        <w:spacing w:before="120" w:after="120" w:line="24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Se busca utilizar más de un simulador, y a partir de su uso como disparador inicial de las cuestiones a tratar, permitir una</w:t>
      </w:r>
      <w:r w:rsidR="00457CEC">
        <w:rPr>
          <w:sz w:val="24"/>
          <w:szCs w:val="24"/>
        </w:rPr>
        <w:t xml:space="preserve"> libre</w:t>
      </w:r>
      <w:r>
        <w:rPr>
          <w:sz w:val="24"/>
          <w:szCs w:val="24"/>
        </w:rPr>
        <w:t xml:space="preserve"> exploración por parte de los alumnos de las distintas posibles configuraciones y sus consecuencias sobre la respuesta de un circuito dado, incluyendo una presentación a modo de introducción teórica para apoyar el tratamiento inicial del tema.</w:t>
      </w:r>
      <w:r w:rsidR="002759EE">
        <w:rPr>
          <w:sz w:val="24"/>
          <w:szCs w:val="24"/>
        </w:rPr>
        <w:t xml:space="preserve"> Por supuesto, la totalidad de los simuladores utilizados podrán ser ejecutados en las </w:t>
      </w:r>
      <w:proofErr w:type="spellStart"/>
      <w:r w:rsidR="002759EE">
        <w:rPr>
          <w:sz w:val="24"/>
          <w:szCs w:val="24"/>
        </w:rPr>
        <w:t>netbooks</w:t>
      </w:r>
      <w:proofErr w:type="spellEnd"/>
      <w:r w:rsidR="002759EE">
        <w:rPr>
          <w:sz w:val="24"/>
          <w:szCs w:val="24"/>
        </w:rPr>
        <w:t>, previendo un desarrollo de la clase dentro del aula y una guía de preguntas para investigar utilizando los simuladores en clase y fuera de la misma, como tarea para el hogar.</w:t>
      </w:r>
    </w:p>
    <w:p w:rsidR="00BE1C72" w:rsidRDefault="00DF37B1" w:rsidP="004A33EA">
      <w:pPr>
        <w:pStyle w:val="Ttulo2"/>
      </w:pPr>
      <w:bookmarkStart w:id="7" w:name="_Toc304746664"/>
      <w:bookmarkStart w:id="8" w:name="_Toc306388066"/>
      <w:r>
        <w:t>1.</w:t>
      </w:r>
      <w:r w:rsidR="002759EE">
        <w:t>2. Objetivo pedagógico</w:t>
      </w:r>
      <w:bookmarkEnd w:id="7"/>
      <w:bookmarkEnd w:id="8"/>
    </w:p>
    <w:p w:rsidR="002759EE" w:rsidRDefault="002759EE" w:rsidP="00457CEC">
      <w:pPr>
        <w:spacing w:before="120" w:after="120" w:line="240" w:lineRule="auto"/>
        <w:ind w:firstLine="709"/>
        <w:jc w:val="both"/>
        <w:rPr>
          <w:sz w:val="24"/>
          <w:szCs w:val="24"/>
        </w:rPr>
      </w:pPr>
      <w:r w:rsidRPr="002759EE">
        <w:rPr>
          <w:sz w:val="24"/>
          <w:szCs w:val="24"/>
        </w:rPr>
        <w:t>De</w:t>
      </w:r>
      <w:r>
        <w:rPr>
          <w:sz w:val="24"/>
          <w:szCs w:val="24"/>
        </w:rPr>
        <w:t xml:space="preserve"> acuerdo a lo mencionado en la introducción, se busca facilitar el acceso de los alumnos al conocimiento de los circuitos de corriente alterna, permitiendo </w:t>
      </w:r>
      <w:r w:rsidR="00457CEC">
        <w:rPr>
          <w:sz w:val="24"/>
          <w:szCs w:val="24"/>
        </w:rPr>
        <w:t>la lectura de material teórico organizado en forma de hipertexto, la exploración</w:t>
      </w:r>
      <w:r>
        <w:rPr>
          <w:sz w:val="24"/>
          <w:szCs w:val="24"/>
        </w:rPr>
        <w:t xml:space="preserve"> </w:t>
      </w:r>
      <w:r w:rsidR="00457CEC">
        <w:rPr>
          <w:sz w:val="24"/>
          <w:szCs w:val="24"/>
        </w:rPr>
        <w:t>de posibilidades de laboratorio, y la resolución de problemas planteados en forma de guía de investigación.</w:t>
      </w:r>
      <w:r w:rsidR="00464D29">
        <w:rPr>
          <w:sz w:val="24"/>
          <w:szCs w:val="24"/>
        </w:rPr>
        <w:t xml:space="preserve"> El material desarrollado puede utilizarse tanto en escuelas de educación media, enfocados a la física de 5to. </w:t>
      </w:r>
      <w:proofErr w:type="gramStart"/>
      <w:r w:rsidR="00464D29">
        <w:rPr>
          <w:sz w:val="24"/>
          <w:szCs w:val="24"/>
        </w:rPr>
        <w:t>año</w:t>
      </w:r>
      <w:proofErr w:type="gramEnd"/>
      <w:r w:rsidR="00464D29">
        <w:rPr>
          <w:sz w:val="24"/>
          <w:szCs w:val="24"/>
        </w:rPr>
        <w:t>, que incluye el tema, como en escuelas de educación técnica cuyas carreras tengan relación con la electricidad</w:t>
      </w:r>
      <w:r w:rsidR="00C22FC4">
        <w:rPr>
          <w:rStyle w:val="Refdenotaalpie"/>
          <w:sz w:val="24"/>
          <w:szCs w:val="24"/>
        </w:rPr>
        <w:footnoteReference w:id="1"/>
      </w:r>
      <w:r w:rsidR="00464D29">
        <w:rPr>
          <w:rStyle w:val="Refdenotaalpie"/>
          <w:sz w:val="24"/>
          <w:szCs w:val="24"/>
        </w:rPr>
        <w:footnoteReference w:id="2"/>
      </w:r>
      <w:r w:rsidR="00464D29">
        <w:rPr>
          <w:sz w:val="24"/>
          <w:szCs w:val="24"/>
        </w:rPr>
        <w:t>.</w:t>
      </w:r>
    </w:p>
    <w:p w:rsidR="00457CEC" w:rsidRDefault="00DF37B1" w:rsidP="004A33EA">
      <w:pPr>
        <w:pStyle w:val="Ttulo2"/>
      </w:pPr>
      <w:bookmarkStart w:id="9" w:name="_Toc304746665"/>
      <w:bookmarkStart w:id="10" w:name="_Toc306388067"/>
      <w:r>
        <w:t>1.</w:t>
      </w:r>
      <w:r w:rsidR="00457CEC">
        <w:t>3. Competencias a adquirir</w:t>
      </w:r>
      <w:bookmarkEnd w:id="9"/>
      <w:bookmarkEnd w:id="10"/>
    </w:p>
    <w:p w:rsidR="00457CEC" w:rsidRDefault="009A3C29" w:rsidP="006405D8">
      <w:pPr>
        <w:spacing w:before="120" w:after="120" w:line="240" w:lineRule="auto"/>
        <w:jc w:val="both"/>
      </w:pPr>
      <w:r>
        <w:t>- Capacidad de predecir el comportamiento de un circuito conectado a tensión alterna</w:t>
      </w:r>
      <w:r w:rsidR="006405D8">
        <w:t xml:space="preserve"> y calcular su respuesta, en valor y forma de onda</w:t>
      </w:r>
    </w:p>
    <w:p w:rsidR="006405D8" w:rsidRDefault="006405D8" w:rsidP="006405D8">
      <w:pPr>
        <w:spacing w:before="120" w:after="120" w:line="240" w:lineRule="auto"/>
        <w:jc w:val="both"/>
      </w:pPr>
      <w:r>
        <w:t xml:space="preserve">- Comprensión de los fenómenos físicos implicados: carga y descarga de un capacitor y una inductancia, disipación de una resistencia, </w:t>
      </w:r>
      <w:proofErr w:type="spellStart"/>
      <w:r>
        <w:t>etc</w:t>
      </w:r>
      <w:proofErr w:type="spellEnd"/>
    </w:p>
    <w:p w:rsidR="006405D8" w:rsidRDefault="006405D8" w:rsidP="006405D8">
      <w:pPr>
        <w:spacing w:before="120" w:after="120" w:line="240" w:lineRule="auto"/>
        <w:jc w:val="both"/>
      </w:pPr>
      <w:r>
        <w:t>- Capacidad de investigar y comprobar hipótesis, ajustando valores y observando los resultados.</w:t>
      </w:r>
    </w:p>
    <w:p w:rsidR="006405D8" w:rsidRDefault="006405D8" w:rsidP="006405D8">
      <w:pPr>
        <w:spacing w:before="120" w:after="120" w:line="240" w:lineRule="auto"/>
        <w:jc w:val="both"/>
      </w:pPr>
      <w:r>
        <w:t xml:space="preserve">- Capacidad de </w:t>
      </w:r>
      <w:r w:rsidR="00C15992">
        <w:t xml:space="preserve">trabajar en equipo </w:t>
      </w:r>
    </w:p>
    <w:p w:rsidR="00C15992" w:rsidRDefault="00C15992" w:rsidP="006405D8">
      <w:pPr>
        <w:spacing w:before="120" w:after="120" w:line="240" w:lineRule="auto"/>
        <w:jc w:val="both"/>
      </w:pPr>
      <w:r>
        <w:t>- Capacidad de resolver situaciones novedosas, por construcción de nuevos conocimientos deducidos de una amplia captación de la base teórica</w:t>
      </w:r>
    </w:p>
    <w:p w:rsidR="008D2A2E" w:rsidRDefault="00DF37B1" w:rsidP="004A33EA">
      <w:pPr>
        <w:pStyle w:val="Ttulo2"/>
      </w:pPr>
      <w:bookmarkStart w:id="11" w:name="_Toc304746666"/>
      <w:bookmarkStart w:id="12" w:name="_Toc306388068"/>
      <w:r>
        <w:lastRenderedPageBreak/>
        <w:t>1.</w:t>
      </w:r>
      <w:r w:rsidR="008D2A2E">
        <w:t xml:space="preserve">4. Descripción de la práctica </w:t>
      </w:r>
      <w:r w:rsidR="00452A58">
        <w:t>y actividades a desarrollar</w:t>
      </w:r>
      <w:bookmarkEnd w:id="11"/>
      <w:bookmarkEnd w:id="12"/>
    </w:p>
    <w:p w:rsidR="008D2A2E" w:rsidRDefault="008D2A2E" w:rsidP="008D2A2E">
      <w:pPr>
        <w:spacing w:before="120" w:after="120" w:line="240" w:lineRule="auto"/>
        <w:jc w:val="both"/>
      </w:pPr>
      <w:r>
        <w:tab/>
        <w:t>La práctica comenzará con la lectura en hipertexto con imágenes del contenido teórico necesario. A su vez, las primeras preguntas de la guía de investigación permitirán un ejercicio de fijación del conocimiento.</w:t>
      </w:r>
      <w:r w:rsidR="004F46E3">
        <w:t xml:space="preserve"> </w:t>
      </w:r>
      <w:r w:rsidR="009D2181">
        <w:t>Para</w:t>
      </w:r>
      <w:r w:rsidR="004F46E3">
        <w:t xml:space="preserve"> cada tema (</w:t>
      </w:r>
      <w:r w:rsidR="00420657">
        <w:t xml:space="preserve">Experiencia de Oersted-Ampere, Ley de </w:t>
      </w:r>
      <w:proofErr w:type="spellStart"/>
      <w:r w:rsidR="00420657">
        <w:t>Faraday</w:t>
      </w:r>
      <w:proofErr w:type="spellEnd"/>
      <w:r w:rsidR="00420657">
        <w:t xml:space="preserve">-Lenz, </w:t>
      </w:r>
      <w:r w:rsidR="004F46E3">
        <w:t xml:space="preserve">tensión </w:t>
      </w:r>
      <w:proofErr w:type="spellStart"/>
      <w:r w:rsidR="004F46E3">
        <w:t>senoidal</w:t>
      </w:r>
      <w:proofErr w:type="spellEnd"/>
      <w:r w:rsidR="004F46E3">
        <w:t>, comportamiento de una resistencia</w:t>
      </w:r>
      <w:r w:rsidR="00420657">
        <w:t>, un capacitor y</w:t>
      </w:r>
      <w:r w:rsidR="004F46E3">
        <w:t xml:space="preserve"> una inductancia alimentad</w:t>
      </w:r>
      <w:r w:rsidR="00420657">
        <w:t>os</w:t>
      </w:r>
      <w:r w:rsidR="004F46E3">
        <w:t xml:space="preserve"> con tensión alterna) habrá un simulador que permitirá explorar distintas posibilidades</w:t>
      </w:r>
      <w:r w:rsidR="000D6C9E">
        <w:t>:</w:t>
      </w:r>
      <w:r w:rsidR="004F46E3">
        <w:t xml:space="preserve"> de valores</w:t>
      </w:r>
      <w:r w:rsidR="000D6C9E">
        <w:t>,</w:t>
      </w:r>
      <w:r w:rsidR="004F46E3">
        <w:t xml:space="preserve"> </w:t>
      </w:r>
      <w:r w:rsidR="000D6C9E">
        <w:t>de</w:t>
      </w:r>
      <w:r w:rsidR="004F46E3">
        <w:t xml:space="preserve"> curvas de respuesta,</w:t>
      </w:r>
      <w:r w:rsidR="000D6C9E">
        <w:t xml:space="preserve"> de visualización de la experiencia </w:t>
      </w:r>
      <w:r w:rsidR="004F46E3">
        <w:t xml:space="preserve"> real</w:t>
      </w:r>
      <w:r w:rsidR="000D6C9E">
        <w:t>, etc</w:t>
      </w:r>
      <w:r w:rsidR="004F46E3">
        <w:t>.</w:t>
      </w:r>
      <w:r w:rsidR="00D03A9B">
        <w:t xml:space="preserve"> En la guía se incluirán </w:t>
      </w:r>
      <w:r w:rsidR="000D6C9E">
        <w:t>actividades</w:t>
      </w:r>
      <w:r w:rsidR="00D03A9B">
        <w:t xml:space="preserve"> para resolver usando el simulador de cada tema, y </w:t>
      </w:r>
      <w:r w:rsidR="000D6C9E">
        <w:t>actividades</w:t>
      </w:r>
      <w:r w:rsidR="00D03A9B">
        <w:t xml:space="preserve"> de integración de conocimientos.</w:t>
      </w:r>
    </w:p>
    <w:p w:rsidR="00452A58" w:rsidRPr="00452A58" w:rsidRDefault="00DF37B1" w:rsidP="004A33EA">
      <w:pPr>
        <w:pStyle w:val="Ttulo2"/>
      </w:pPr>
      <w:bookmarkStart w:id="13" w:name="_Toc304746667"/>
      <w:bookmarkStart w:id="14" w:name="_Toc306388069"/>
      <w:r>
        <w:t>1.5</w:t>
      </w:r>
      <w:r w:rsidR="00452A58" w:rsidRPr="00452A58">
        <w:t xml:space="preserve">. </w:t>
      </w:r>
      <w:r w:rsidR="00452A58">
        <w:t>Justificación del uso de simuladores</w:t>
      </w:r>
      <w:bookmarkEnd w:id="13"/>
      <w:bookmarkEnd w:id="14"/>
    </w:p>
    <w:p w:rsidR="00D03A9B" w:rsidRDefault="00D03A9B" w:rsidP="00452A58">
      <w:pPr>
        <w:spacing w:before="120" w:after="120" w:line="240" w:lineRule="auto"/>
        <w:ind w:firstLine="708"/>
        <w:jc w:val="both"/>
      </w:pPr>
      <w:r>
        <w:t xml:space="preserve">Se espera que la introducción de simuladores de cálculo que permitan visualizar resultados numéricos y curvas de respuesta hagan más significativo el aprendizaje, dándole una mirada renovada a través de las nuevas tecnologías de comunicación que resultan comunes a los alumnos de la etapa adolescente, resaltando el valor de la visualización y la experiencia directa </w:t>
      </w:r>
      <w:r w:rsidR="00452A58">
        <w:t xml:space="preserve">(a través de simuladores, por supuesto) </w:t>
      </w:r>
      <w:r>
        <w:t>por encima de la lectura</w:t>
      </w:r>
      <w:r w:rsidR="00452A58">
        <w:t xml:space="preserve"> de texto y ecuaciones matemáticas, aunque no por ello abandonándolas por completo, sino complementándolas y enriqueciéndolas. A su vez, </w:t>
      </w:r>
      <w:r w:rsidR="00800097">
        <w:t xml:space="preserve">el uso de simuladores como </w:t>
      </w:r>
      <w:r w:rsidR="00800097">
        <w:rPr>
          <w:i/>
        </w:rPr>
        <w:t>iniciadores</w:t>
      </w:r>
      <w:r w:rsidR="00800097">
        <w:t xml:space="preserve"> de la experiencia práctica evita el riesgo de tomar contacto por primera vez con circuitos </w:t>
      </w:r>
      <w:r w:rsidR="00464D29">
        <w:t xml:space="preserve">reales </w:t>
      </w:r>
      <w:r w:rsidR="00800097">
        <w:t>de corriente alterna, siempre más riesgosos; aunque innegablemente irreemplazables en una instancia posterior a la de los simuladores.</w:t>
      </w:r>
    </w:p>
    <w:p w:rsidR="00157D34" w:rsidRPr="00157D34" w:rsidRDefault="00157D34" w:rsidP="004A33EA">
      <w:pPr>
        <w:pStyle w:val="Ttulo1"/>
      </w:pPr>
      <w:bookmarkStart w:id="15" w:name="_Toc304746668"/>
      <w:bookmarkStart w:id="16" w:name="_Toc306388070"/>
      <w:r w:rsidRPr="00157D34">
        <w:t>2. Eje técnico</w:t>
      </w:r>
      <w:bookmarkEnd w:id="15"/>
      <w:bookmarkEnd w:id="16"/>
    </w:p>
    <w:p w:rsidR="004A33EA" w:rsidRDefault="004A33EA" w:rsidP="004A33EA">
      <w:pPr>
        <w:pStyle w:val="Ttulo2"/>
      </w:pPr>
      <w:bookmarkStart w:id="17" w:name="_Toc304746669"/>
      <w:bookmarkStart w:id="18" w:name="_Toc306388071"/>
      <w:r>
        <w:t>2.1.</w:t>
      </w:r>
      <w:r w:rsidRPr="004A33EA">
        <w:t xml:space="preserve"> </w:t>
      </w:r>
      <w:r>
        <w:t xml:space="preserve"> U</w:t>
      </w:r>
      <w:r w:rsidRPr="004A33EA">
        <w:t>so de simuladores</w:t>
      </w:r>
      <w:bookmarkEnd w:id="17"/>
      <w:r w:rsidR="00981D26">
        <w:t xml:space="preserve"> propios y modificación de existentes</w:t>
      </w:r>
      <w:bookmarkEnd w:id="18"/>
    </w:p>
    <w:p w:rsidR="004A33EA" w:rsidRDefault="004A33EA" w:rsidP="004A33EA">
      <w:pPr>
        <w:spacing w:before="120" w:after="120" w:line="240" w:lineRule="auto"/>
        <w:jc w:val="both"/>
      </w:pPr>
      <w:r>
        <w:tab/>
        <w:t>En el desarrollo del presente proyecto se busca trabajar en forma mixta con modificaciones de simuladores (que aparecen en el CD y en el material del curso, en general) y con simuladores completamente generados por el autor.</w:t>
      </w:r>
      <w:r w:rsidR="009D2181">
        <w:t xml:space="preserve"> </w:t>
      </w:r>
      <w:r w:rsidR="004277BC">
        <w:t>A fin de citar apropiadamente cada trabajo, se detallan a continuación los trabajos realizados:</w:t>
      </w:r>
    </w:p>
    <w:p w:rsidR="004277BC" w:rsidRDefault="004277BC" w:rsidP="004277BC">
      <w:pPr>
        <w:pStyle w:val="Prrafodelista"/>
        <w:numPr>
          <w:ilvl w:val="0"/>
          <w:numId w:val="3"/>
        </w:numPr>
        <w:spacing w:before="120" w:after="120" w:line="240" w:lineRule="auto"/>
        <w:jc w:val="both"/>
      </w:pPr>
      <w:r>
        <w:t xml:space="preserve">Modificación del simulador </w:t>
      </w:r>
      <w:r>
        <w:rPr>
          <w:i/>
        </w:rPr>
        <w:t>ecuacionesparametricas.htm</w:t>
      </w:r>
      <w:r>
        <w:t xml:space="preserve"> incluido en Practica IV de Materiales_M3</w:t>
      </w:r>
      <w:r w:rsidR="00930BA7">
        <w:t>: se utilizó de este simulador el espacio E2 (3D) y la superficie paramétrica cilíndrica</w:t>
      </w:r>
      <w:r w:rsidR="00E44901">
        <w:t xml:space="preserve">, borrando el resto. Se modificó la superficie, cambiándole el aspecto, color y tamaño, y se agregaron superficies 3D: conos, cilindros, ejes, controles, curvas, textos, segmentos, </w:t>
      </w:r>
      <w:r w:rsidR="009E3C02">
        <w:t xml:space="preserve">ecuaciones, </w:t>
      </w:r>
      <w:r w:rsidR="00E44901">
        <w:t>etc.</w:t>
      </w:r>
      <w:r w:rsidR="009E3C02">
        <w:t xml:space="preserve"> El simulador final</w:t>
      </w:r>
      <w:r w:rsidR="002524FD">
        <w:t>, llamado campomag.htm,</w:t>
      </w:r>
      <w:r w:rsidR="009E3C02">
        <w:t xml:space="preserve"> difiere completamente del inicial en funcionalidad y aspecto.</w:t>
      </w:r>
      <w:r w:rsidR="0030752F">
        <w:tab/>
      </w:r>
      <w:r w:rsidR="00CD7DCE">
        <w:t xml:space="preserve"> </w:t>
      </w:r>
      <w:r w:rsidR="0014157B">
        <w:br/>
        <w:t>En cuanto al uso del simulador, simplemente debe hacerse girar el punto de vista del observador hasta que permita ver a un tiempo la corriente y la brújula, aunque puede a posteriori explorarse lo que pasa desde cada punto de vista admitido, al encender y al apagar la corriente.</w:t>
      </w:r>
    </w:p>
    <w:p w:rsidR="009E3C02" w:rsidRDefault="009E3C02" w:rsidP="004277BC">
      <w:pPr>
        <w:pStyle w:val="Prrafodelista"/>
        <w:numPr>
          <w:ilvl w:val="0"/>
          <w:numId w:val="3"/>
        </w:numPr>
        <w:spacing w:before="120" w:after="120" w:line="240" w:lineRule="auto"/>
        <w:jc w:val="both"/>
      </w:pPr>
      <w:r>
        <w:t xml:space="preserve">Generación propia del simulador </w:t>
      </w:r>
      <w:r w:rsidR="009C5BD3" w:rsidRPr="009C5BD3">
        <w:rPr>
          <w:i/>
        </w:rPr>
        <w:t>Faraday</w:t>
      </w:r>
      <w:r w:rsidR="009C5BD3">
        <w:rPr>
          <w:i/>
        </w:rPr>
        <w:t>.htm</w:t>
      </w:r>
      <w:r w:rsidR="009C5BD3">
        <w:t>, incluyendo espacios 2D, muestra de imágenes, textos, animación, controles numéricos y música (que fue incluida en principio en este solo simulador, aunque después decidí incluirla en los otros también)</w:t>
      </w:r>
      <w:r w:rsidR="00CD7DCE">
        <w:t>. Las imágenes fueron generadas y/o modificadas exclusivamente para este generador.</w:t>
      </w:r>
      <w:r w:rsidR="0014157B">
        <w:t xml:space="preserve"> </w:t>
      </w:r>
      <w:r w:rsidR="0014157B">
        <w:tab/>
      </w:r>
      <w:r w:rsidR="0014157B">
        <w:br/>
        <w:t>Se recomienda seguir al pie de la letra las indicaciones dadas en el simulador respecto a cuándo pasar de diapositivas o iniciar una animación, a fin de evitar inconvenientes en el flujo de información, por lo demás el uso es intuitivo.</w:t>
      </w:r>
    </w:p>
    <w:p w:rsidR="00E44901" w:rsidRDefault="00E44901" w:rsidP="004277BC">
      <w:pPr>
        <w:pStyle w:val="Prrafodelista"/>
        <w:numPr>
          <w:ilvl w:val="0"/>
          <w:numId w:val="3"/>
        </w:numPr>
        <w:spacing w:before="120" w:after="120" w:line="240" w:lineRule="auto"/>
        <w:jc w:val="both"/>
      </w:pPr>
      <w:r>
        <w:t>Modificación del simulador</w:t>
      </w:r>
      <w:r w:rsidR="009E3C02">
        <w:t xml:space="preserve"> </w:t>
      </w:r>
      <w:hyperlink r:id="rId8" w:history="1">
        <w:r w:rsidR="009E3C02">
          <w:rPr>
            <w:rStyle w:val="Hipervnculo"/>
          </w:rPr>
          <w:t>http://www.dav.sceu.frba.utn.edu.ar/homovidens/GOMILA/PROYECTO%20FINAL%20Gomila%20JR</w:t>
        </w:r>
        <w:r w:rsidR="009E3C02">
          <w:rPr>
            <w:rStyle w:val="Hipervnculo"/>
          </w:rPr>
          <w:lastRenderedPageBreak/>
          <w:t>/INDEX.htm</w:t>
        </w:r>
      </w:hyperlink>
      <w:r w:rsidR="009E3C02">
        <w:t xml:space="preserve"> , transformándolo en el simulador</w:t>
      </w:r>
      <w:r w:rsidR="009C5BD3">
        <w:t xml:space="preserve"> </w:t>
      </w:r>
      <w:r w:rsidR="00CD7DCE" w:rsidRPr="00CD7DCE">
        <w:rPr>
          <w:i/>
        </w:rPr>
        <w:t>generador.htm</w:t>
      </w:r>
      <w:r w:rsidR="00CD7DCE">
        <w:rPr>
          <w:i/>
        </w:rPr>
        <w:t xml:space="preserve"> </w:t>
      </w:r>
      <w:r w:rsidR="00CD7DCE">
        <w:t>para el cual se modificaron tamaños y colores en cada espacio, se modificó el tamaño total del genera</w:t>
      </w:r>
      <w:r w:rsidR="00CF39D3">
        <w:t>dor, se agregó un espacio, se agregaron elementos 2D y 3D, imágenes</w:t>
      </w:r>
      <w:r w:rsidR="00B00931">
        <w:t xml:space="preserve"> externas</w:t>
      </w:r>
      <w:r w:rsidR="00CF39D3">
        <w:t>, variables, controles</w:t>
      </w:r>
      <w:r w:rsidR="00307D51">
        <w:t xml:space="preserve"> numéricos y gráficos, </w:t>
      </w:r>
      <w:proofErr w:type="spellStart"/>
      <w:r w:rsidR="00307D51">
        <w:t>menúes</w:t>
      </w:r>
      <w:proofErr w:type="spellEnd"/>
      <w:r w:rsidR="00CF39D3">
        <w:t xml:space="preserve">, algoritmos, textos, textos variables, curvas, </w:t>
      </w:r>
      <w:r w:rsidR="00B77911">
        <w:t xml:space="preserve">flechas, segmentos, </w:t>
      </w:r>
      <w:r w:rsidR="00CF39D3">
        <w:t xml:space="preserve">puntos, </w:t>
      </w:r>
      <w:r w:rsidR="00B77911">
        <w:t xml:space="preserve">ecuaciones, </w:t>
      </w:r>
      <w:r w:rsidR="00CF39D3">
        <w:t>animación, funciones, etc. El simulador final difiere notablemente del original, se le amplió y se le agregaron funcionalidades que no existían, además de adaptar las posiciones y funciones del generador anterior</w:t>
      </w:r>
      <w:r w:rsidR="00EF4DAC">
        <w:t xml:space="preserve">, cambiando su aspecto y posición. El osciloscopio y el diagrama de </w:t>
      </w:r>
      <w:proofErr w:type="spellStart"/>
      <w:r w:rsidR="00EF4DAC">
        <w:t>fasores</w:t>
      </w:r>
      <w:proofErr w:type="spellEnd"/>
      <w:r w:rsidR="00EF4DAC">
        <w:t xml:space="preserve"> es por completo original y no existían en el proyecto original, así como tampoco la posibilidad de cambiar la frecuencia, incluir elementos distintos en el circuito del generador, y otros.</w:t>
      </w:r>
      <w:r w:rsidR="0030752F">
        <w:tab/>
      </w:r>
      <w:r w:rsidR="00766A5D">
        <w:br/>
        <w:t xml:space="preserve">Respecto al uso, debe tenerse cuidado en iniciar primero la animación y después darle un valor distinto de cero a la frecuencia, pues obviamente con frecuencia cero el generador no funciona, ni ninguna de sus características. Al pasar a observar el diagrama de </w:t>
      </w:r>
      <w:proofErr w:type="spellStart"/>
      <w:r w:rsidR="00766A5D">
        <w:t>fasores</w:t>
      </w:r>
      <w:proofErr w:type="spellEnd"/>
      <w:r w:rsidR="00766A5D">
        <w:t xml:space="preserve">, es recomendable </w:t>
      </w:r>
      <w:r w:rsidR="00766A5D">
        <w:rPr>
          <w:i/>
        </w:rPr>
        <w:t>limpiar</w:t>
      </w:r>
      <w:r w:rsidR="00766A5D">
        <w:t xml:space="preserve"> el simulador para ver claramente las curvas que se generan, aunque podrían dejarse para observar como varían las curvas con la frecuencia.</w:t>
      </w:r>
    </w:p>
    <w:p w:rsidR="0014157B" w:rsidRPr="0014157B" w:rsidRDefault="00733F5F" w:rsidP="0014157B">
      <w:pPr>
        <w:spacing w:before="120" w:after="120" w:line="240" w:lineRule="auto"/>
        <w:jc w:val="both"/>
      </w:pPr>
      <w:r>
        <w:t xml:space="preserve">A fin de utilizar </w:t>
      </w:r>
      <w:r w:rsidR="000D6C9E">
        <w:t xml:space="preserve">apropiadamente </w:t>
      </w:r>
      <w:r>
        <w:t>los simuladores generados, se recomienda</w:t>
      </w:r>
      <w:r w:rsidR="00913A01">
        <w:t xml:space="preserve"> comenzar</w:t>
      </w:r>
      <w:r>
        <w:t xml:space="preserve"> </w:t>
      </w:r>
      <w:r w:rsidR="00913A01">
        <w:t>abriendo</w:t>
      </w:r>
      <w:r>
        <w:t xml:space="preserve"> la página INDEX.htm, la cual da el texto preparado para el tema,</w:t>
      </w:r>
      <w:r w:rsidR="000D6C9E">
        <w:t xml:space="preserve"> posee</w:t>
      </w:r>
      <w:r>
        <w:t xml:space="preserve"> </w:t>
      </w:r>
      <w:r w:rsidR="000D6C9E">
        <w:t xml:space="preserve">los hipervínculos necesarios para ampliar o aclarar algún párrafo, </w:t>
      </w:r>
      <w:r>
        <w:t>y brinda las indicaciones para usar los sim</w:t>
      </w:r>
      <w:r w:rsidR="00437DDD">
        <w:t>uladores incluidos en cada caso, además de incluir algunas de las actividades propuestas para realizar con los alumnos.</w:t>
      </w:r>
      <w:r w:rsidR="000D6C9E">
        <w:t xml:space="preserve"> Se recomienda tener conectado Internet y </w:t>
      </w:r>
      <w:r w:rsidR="0014157B">
        <w:t xml:space="preserve">contar con un sistema de audio. </w:t>
      </w:r>
    </w:p>
    <w:sectPr w:rsidR="0014157B" w:rsidRPr="0014157B" w:rsidSect="00FD3FC7">
      <w:type w:val="continuous"/>
      <w:pgSz w:w="12240" w:h="15840"/>
      <w:pgMar w:top="1417" w:right="9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48F3" w:rsidRDefault="00D048F3" w:rsidP="00464D29">
      <w:pPr>
        <w:spacing w:after="0" w:line="240" w:lineRule="auto"/>
      </w:pPr>
      <w:r>
        <w:separator/>
      </w:r>
    </w:p>
  </w:endnote>
  <w:endnote w:type="continuationSeparator" w:id="0">
    <w:p w:rsidR="00D048F3" w:rsidRDefault="00D048F3" w:rsidP="00464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48F3" w:rsidRDefault="00D048F3" w:rsidP="00464D29">
      <w:pPr>
        <w:spacing w:after="0" w:line="240" w:lineRule="auto"/>
      </w:pPr>
      <w:r>
        <w:separator/>
      </w:r>
    </w:p>
  </w:footnote>
  <w:footnote w:type="continuationSeparator" w:id="0">
    <w:p w:rsidR="00D048F3" w:rsidRDefault="00D048F3" w:rsidP="00464D29">
      <w:pPr>
        <w:spacing w:after="0" w:line="240" w:lineRule="auto"/>
      </w:pPr>
      <w:r>
        <w:continuationSeparator/>
      </w:r>
    </w:p>
  </w:footnote>
  <w:footnote w:id="1">
    <w:p w:rsidR="00C22FC4" w:rsidRDefault="00C22FC4">
      <w:pPr>
        <w:pStyle w:val="Textonotapie"/>
      </w:pPr>
      <w:r>
        <w:rPr>
          <w:rStyle w:val="Refdenotaalpie"/>
        </w:rPr>
        <w:footnoteRef/>
      </w:r>
      <w:r>
        <w:t xml:space="preserve"> Ingeniero electricista, Post-Título en Educación EGB, Polimodal, Post-Título en Educación Superior, Profesor y Técnico Superior en </w:t>
      </w:r>
      <w:r w:rsidR="000D6C9E">
        <w:t xml:space="preserve">Tecnologías de Construcciones. </w:t>
      </w:r>
    </w:p>
  </w:footnote>
  <w:footnote w:id="2">
    <w:p w:rsidR="00464D29" w:rsidRDefault="00464D29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53C15">
        <w:t>en conocimiento del autor, todas</w:t>
      </w:r>
      <w:r w:rsidR="00FD3FC7">
        <w:t xml:space="preserve"> las carreras técnicas guardan alguna conexión con el tema</w:t>
      </w:r>
      <w:r w:rsidRPr="00E53C15">
        <w:t>, aunque existen especialidades</w:t>
      </w:r>
      <w:r w:rsidR="00E53C15">
        <w:t xml:space="preserve"> de las que no conoce la totalidad del programa, de allí la excepción citada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E4EAA"/>
    <w:multiLevelType w:val="hybridMultilevel"/>
    <w:tmpl w:val="4F70EB4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86464"/>
    <w:multiLevelType w:val="hybridMultilevel"/>
    <w:tmpl w:val="068CABC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21EBC"/>
    <w:multiLevelType w:val="hybridMultilevel"/>
    <w:tmpl w:val="9F2283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7B1282"/>
    <w:multiLevelType w:val="hybridMultilevel"/>
    <w:tmpl w:val="680038C2"/>
    <w:lvl w:ilvl="0" w:tplc="98687C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4BFA"/>
    <w:rsid w:val="00001CEC"/>
    <w:rsid w:val="000231D6"/>
    <w:rsid w:val="00054BFA"/>
    <w:rsid w:val="00060D9D"/>
    <w:rsid w:val="00095D80"/>
    <w:rsid w:val="000D6C9E"/>
    <w:rsid w:val="000F3A85"/>
    <w:rsid w:val="0014157B"/>
    <w:rsid w:val="00157D34"/>
    <w:rsid w:val="00174661"/>
    <w:rsid w:val="001E71D4"/>
    <w:rsid w:val="001F4D37"/>
    <w:rsid w:val="002524FD"/>
    <w:rsid w:val="002759EE"/>
    <w:rsid w:val="002A263D"/>
    <w:rsid w:val="00301270"/>
    <w:rsid w:val="0030752F"/>
    <w:rsid w:val="00307D51"/>
    <w:rsid w:val="003A3ED0"/>
    <w:rsid w:val="00420657"/>
    <w:rsid w:val="004276D5"/>
    <w:rsid w:val="004277BC"/>
    <w:rsid w:val="00437DDD"/>
    <w:rsid w:val="00452A58"/>
    <w:rsid w:val="00457CEC"/>
    <w:rsid w:val="00464D29"/>
    <w:rsid w:val="00465522"/>
    <w:rsid w:val="004661D8"/>
    <w:rsid w:val="004A33EA"/>
    <w:rsid w:val="004D67DA"/>
    <w:rsid w:val="004F46E3"/>
    <w:rsid w:val="004F59A1"/>
    <w:rsid w:val="005139A8"/>
    <w:rsid w:val="00524AE0"/>
    <w:rsid w:val="00525F20"/>
    <w:rsid w:val="00567FC3"/>
    <w:rsid w:val="0060131E"/>
    <w:rsid w:val="006405D8"/>
    <w:rsid w:val="00680916"/>
    <w:rsid w:val="006E70E8"/>
    <w:rsid w:val="007015F7"/>
    <w:rsid w:val="00733824"/>
    <w:rsid w:val="00733F5F"/>
    <w:rsid w:val="00766A5D"/>
    <w:rsid w:val="007B389F"/>
    <w:rsid w:val="007F3F1C"/>
    <w:rsid w:val="00800097"/>
    <w:rsid w:val="0084319C"/>
    <w:rsid w:val="00893755"/>
    <w:rsid w:val="008A0F4B"/>
    <w:rsid w:val="008A6948"/>
    <w:rsid w:val="008D2A2E"/>
    <w:rsid w:val="00913A01"/>
    <w:rsid w:val="00930BA7"/>
    <w:rsid w:val="00981D26"/>
    <w:rsid w:val="009956C3"/>
    <w:rsid w:val="009A3C29"/>
    <w:rsid w:val="009B6C04"/>
    <w:rsid w:val="009C5BD3"/>
    <w:rsid w:val="009D2181"/>
    <w:rsid w:val="009E3C02"/>
    <w:rsid w:val="009F6A67"/>
    <w:rsid w:val="00A43D61"/>
    <w:rsid w:val="00A73B2F"/>
    <w:rsid w:val="00A93649"/>
    <w:rsid w:val="00AA3AFD"/>
    <w:rsid w:val="00AB3294"/>
    <w:rsid w:val="00B00931"/>
    <w:rsid w:val="00B52071"/>
    <w:rsid w:val="00B77911"/>
    <w:rsid w:val="00B87F07"/>
    <w:rsid w:val="00BE1C72"/>
    <w:rsid w:val="00C157B2"/>
    <w:rsid w:val="00C15992"/>
    <w:rsid w:val="00C22FC4"/>
    <w:rsid w:val="00C37D15"/>
    <w:rsid w:val="00C72728"/>
    <w:rsid w:val="00CC1C85"/>
    <w:rsid w:val="00CD7DCE"/>
    <w:rsid w:val="00CF39D3"/>
    <w:rsid w:val="00CF7493"/>
    <w:rsid w:val="00D03A9B"/>
    <w:rsid w:val="00D048F3"/>
    <w:rsid w:val="00D24248"/>
    <w:rsid w:val="00D82BD3"/>
    <w:rsid w:val="00DE3F07"/>
    <w:rsid w:val="00DF37B1"/>
    <w:rsid w:val="00E24D91"/>
    <w:rsid w:val="00E364DC"/>
    <w:rsid w:val="00E44901"/>
    <w:rsid w:val="00E53394"/>
    <w:rsid w:val="00E53C15"/>
    <w:rsid w:val="00E57BC6"/>
    <w:rsid w:val="00E8263F"/>
    <w:rsid w:val="00EC7F02"/>
    <w:rsid w:val="00EE1BB7"/>
    <w:rsid w:val="00EF4DAC"/>
    <w:rsid w:val="00F20194"/>
    <w:rsid w:val="00FB1556"/>
    <w:rsid w:val="00FC4B4B"/>
    <w:rsid w:val="00FD3FC7"/>
    <w:rsid w:val="00FE0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red" strokecolor="red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CEC"/>
  </w:style>
  <w:style w:type="paragraph" w:styleId="Ttulo1">
    <w:name w:val="heading 1"/>
    <w:basedOn w:val="Normal"/>
    <w:next w:val="Normal"/>
    <w:link w:val="Ttulo1Car"/>
    <w:uiPriority w:val="9"/>
    <w:qFormat/>
    <w:rsid w:val="00054B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1C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4BF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54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E1C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759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64D29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64D29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64D29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64D2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64D2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64D29"/>
    <w:rPr>
      <w:vertAlign w:val="superscript"/>
    </w:rPr>
  </w:style>
  <w:style w:type="paragraph" w:styleId="TDC1">
    <w:name w:val="toc 1"/>
    <w:basedOn w:val="Normal"/>
    <w:next w:val="Normal"/>
    <w:autoRedefine/>
    <w:uiPriority w:val="39"/>
    <w:unhideWhenUsed/>
    <w:rsid w:val="001F4D37"/>
    <w:pPr>
      <w:spacing w:before="240" w:after="120"/>
    </w:pPr>
    <w:rPr>
      <w:rFonts w:cstheme="minorHAnsi"/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1F4D37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1F4D37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1F4D37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F4D37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F4D37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F4D37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F4D37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F4D37"/>
    <w:pPr>
      <w:spacing w:after="0"/>
      <w:ind w:left="176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F4D37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24AE0"/>
    <w:pPr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4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AE0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9E3C0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v.sceu.frba.utn.edu.ar/homovidens/GOMILA/PROYECTO%20FINAL%20Gomila%20JR/INDEX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A9425-65F4-4342-98BA-53425EDB9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1388</Words>
  <Characters>7638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Belliski</dc:creator>
  <cp:lastModifiedBy>Gustavo Belliski</cp:lastModifiedBy>
  <cp:revision>21</cp:revision>
  <dcterms:created xsi:type="dcterms:W3CDTF">2011-10-10T16:58:00Z</dcterms:created>
  <dcterms:modified xsi:type="dcterms:W3CDTF">2011-10-14T23:49:00Z</dcterms:modified>
</cp:coreProperties>
</file>