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25.png" ContentType="image/png"/>
  <Override PartName="/word/media/rId67.png" ContentType="image/png"/>
  <Override PartName="/word/media/rId37.png" ContentType="image/png"/>
  <Override PartName="/word/media/rId39.png" ContentType="image/png"/>
  <Override PartName="/word/media/rId49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41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Грузинова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 и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</w:pPr>
      <w:r>
        <w:t xml:space="preserve">Выполнить упражнения.</w:t>
      </w:r>
    </w:p>
    <w:p>
      <w:pPr>
        <w:numPr>
          <w:ilvl w:val="0"/>
          <w:numId w:val="1001"/>
        </w:numPr>
      </w:pPr>
      <w:r>
        <w:t xml:space="preserve">Открыть emacs.</w:t>
      </w:r>
    </w:p>
    <w:p>
      <w:pPr>
        <w:numPr>
          <w:ilvl w:val="0"/>
          <w:numId w:val="1001"/>
        </w:numPr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</w:pPr>
      <w:r>
        <w:t xml:space="preserve">Наберите заданный в лабораторной работе текст.</w:t>
      </w:r>
    </w:p>
    <w:p>
      <w:pPr>
        <w:numPr>
          <w:ilvl w:val="0"/>
          <w:numId w:val="1001"/>
        </w:numPr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</w:p>
    <w:p>
      <w:pPr>
        <w:pStyle w:val="FirstParagraph"/>
      </w:pPr>
      <w:r>
        <w:t xml:space="preserve">5.1. Вырезать одной командой целую строку (С-k).</w:t>
      </w:r>
    </w:p>
    <w:p>
      <w:pPr>
        <w:pStyle w:val="BodyText"/>
      </w:pPr>
      <w:r>
        <w:t xml:space="preserve">5.2. Вставить эту строку в конец файла (C-y).</w:t>
      </w:r>
    </w:p>
    <w:p>
      <w:pPr>
        <w:pStyle w:val="BodyText"/>
      </w:pPr>
      <w:r>
        <w:t xml:space="preserve">5.3. Выделить область текста (C-space).</w:t>
      </w:r>
    </w:p>
    <w:p>
      <w:pPr>
        <w:pStyle w:val="BodyText"/>
      </w:pPr>
      <w:r>
        <w:t xml:space="preserve">5.4. Скопировать область в буфер обмена (M-w).</w:t>
      </w:r>
    </w:p>
    <w:p>
      <w:pPr>
        <w:pStyle w:val="BodyText"/>
      </w:pPr>
      <w:r>
        <w:t xml:space="preserve">5.5. Вставить область в конец файла.</w:t>
      </w:r>
    </w:p>
    <w:p>
      <w:pPr>
        <w:pStyle w:val="BodyText"/>
      </w:pPr>
      <w:r>
        <w:t xml:space="preserve">5.6. Вновь выделить эту область и на этот раз вырезать её (C-w).</w:t>
      </w:r>
    </w:p>
    <w:p>
      <w:pPr>
        <w:pStyle w:val="BodyText"/>
      </w:pPr>
      <w:r>
        <w:t xml:space="preserve">5.7. Отмените последнее действие (C-/).</w:t>
      </w:r>
    </w:p>
    <w:p>
      <w:pPr>
        <w:numPr>
          <w:ilvl w:val="0"/>
          <w:numId w:val="1002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pStyle w:val="FirstParagraph"/>
      </w:pPr>
      <w:r>
        <w:t xml:space="preserve">6.1. Переместите курсор в начало строки (C-a).</w:t>
      </w:r>
    </w:p>
    <w:p>
      <w:pPr>
        <w:pStyle w:val="BodyText"/>
      </w:pPr>
      <w:r>
        <w:t xml:space="preserve">6.2. Переместите курсор в конец строки (C-e).</w:t>
      </w:r>
    </w:p>
    <w:p>
      <w:pPr>
        <w:pStyle w:val="BodyText"/>
      </w:pPr>
      <w:r>
        <w:t xml:space="preserve">6.3. Переместите курсор в начало буфера (M-&lt;).</w:t>
      </w:r>
    </w:p>
    <w:p>
      <w:pPr>
        <w:pStyle w:val="BodyText"/>
      </w:pPr>
      <w:r>
        <w:t xml:space="preserve">6.4. Переместите курсор в конец буфера (M-&gt;).</w:t>
      </w:r>
    </w:p>
    <w:p>
      <w:pPr>
        <w:numPr>
          <w:ilvl w:val="0"/>
          <w:numId w:val="1003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Вывести список активных буферов на экран (C-x C-b).</w:t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</w:p>
    <w:p>
      <w:pPr>
        <w:pStyle w:val="BodyText"/>
      </w:pPr>
      <w:r>
        <w:t xml:space="preserve">7.3. Закройте это окно (C-x 0).</w:t>
      </w:r>
    </w:p>
    <w:p>
      <w:pPr>
        <w:pStyle w:val="BodyText"/>
      </w:pPr>
      <w:r>
        <w:t xml:space="preserve">7.4. 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4"/>
        </w:numPr>
        <w:pStyle w:val="Compact"/>
      </w:pPr>
      <w:r>
        <w:t xml:space="preserve">Управление окнами.</w:t>
      </w:r>
    </w:p>
    <w:p>
      <w:pPr>
        <w:pStyle w:val="FirstParagraph"/>
      </w:pP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2).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5"/>
        </w:numPr>
        <w:pStyle w:val="Compact"/>
      </w:pPr>
      <w:r>
        <w:t xml:space="preserve">Режим поиска.</w:t>
      </w:r>
    </w:p>
    <w:p>
      <w:pPr>
        <w:pStyle w:val="FirstParagraph"/>
      </w:pP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</w:p>
    <w:p>
      <w:pPr>
        <w:pStyle w:val="BodyText"/>
      </w:pPr>
      <w:r>
        <w:t xml:space="preserve">9.2. Переключайтесь между результатами поиска, нажимая C-s.</w:t>
      </w:r>
    </w:p>
    <w:p>
      <w:pPr>
        <w:pStyle w:val="BodyText"/>
      </w:pPr>
      <w:r>
        <w:t xml:space="preserve">9.3. Выйдите из режима поиска, нажав C-g.</w:t>
      </w:r>
    </w:p>
    <w:p>
      <w:pPr>
        <w:pStyle w:val="BodyText"/>
      </w:pP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pStyle w:val="BodyText"/>
      </w:pP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p>
      <w:pPr>
        <w:numPr>
          <w:ilvl w:val="0"/>
          <w:numId w:val="1006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- один из двух наиболее широко используемых текстовых редакторов на платформах Unix и Linux.</w:t>
      </w:r>
    </w:p>
    <w:p>
      <w:pPr>
        <w:pStyle w:val="BodyText"/>
      </w:pPr>
      <w:r>
        <w:t xml:space="preserve">Emacs - это больше, чем просто текстовый редактор; он также может выдавать команды оболочки, выходить в Интернет, писать и тестировать программы, а также читать и отправлять электронные письма в среде Emacs.</w:t>
      </w:r>
    </w:p>
    <w:p>
      <w:pPr>
        <w:pStyle w:val="BodyText"/>
      </w:pPr>
      <w:r>
        <w:t xml:space="preserve">Еще одна полезная функция, которая делает текст и код более читабельным, - это автоматическое отступление. Emacs идентифицирует блоки кода и группирует их соответственно. Он также обеспечивает поддержку символов Unicode практически для всех систем письма и языков, а также обеспечивает самодокументирование, которое автоматически генерирует и отображает документацию для каждой команды, переменной и внутренней функции, найденной в исходном коде программы.</w:t>
      </w:r>
      <w:r>
        <w:t xml:space="preserve"> </w:t>
      </w:r>
      <w:r>
        <w:t xml:space="preserve">[1]</w:t>
      </w:r>
    </w:p>
    <w:bookmarkEnd w:id="22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Выполнить упражнения.</w:t>
      </w:r>
    </w:p>
    <w:p>
      <w:pPr>
        <w:numPr>
          <w:ilvl w:val="0"/>
          <w:numId w:val="1007"/>
        </w:numPr>
        <w:pStyle w:val="Compact"/>
      </w:pPr>
      <w:r>
        <w:t xml:space="preserve">Открыть emacs.(рис. 1)</w:t>
      </w:r>
    </w:p>
    <w:p>
      <w:pPr>
        <w:pStyle w:val="CaptionedFigure"/>
      </w:pPr>
      <w:bookmarkStart w:id="24" w:name="fig:001"/>
      <w:r>
        <w:drawing>
          <wp:inline>
            <wp:extent cx="3086100" cy="342900"/>
            <wp:effectExtent b="0" l="0" r="0" t="0"/>
            <wp:docPr descr="Рис. 1: Команда для вызова Emac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Команда для вызова Emacs</w:t>
      </w:r>
    </w:p>
    <w:p>
      <w:pPr>
        <w:numPr>
          <w:ilvl w:val="0"/>
          <w:numId w:val="1008"/>
        </w:numPr>
        <w:pStyle w:val="Compact"/>
      </w:pPr>
      <w:r>
        <w:t xml:space="preserve">Создать файл lab07.sh с помощью комбинации Ctrl-x Ctrl-f (C-x C-f).(рис. 2)</w:t>
      </w:r>
    </w:p>
    <w:p>
      <w:pPr>
        <w:pStyle w:val="CaptionedFigure"/>
      </w:pPr>
      <w:bookmarkStart w:id="26" w:name="fig:002"/>
      <w:r>
        <w:drawing>
          <wp:inline>
            <wp:extent cx="5334000" cy="4722458"/>
            <wp:effectExtent b="0" l="0" r="0" t="0"/>
            <wp:docPr descr="Рис. 2: Создание файла в Emac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Создание файла в Emacs</w:t>
      </w:r>
    </w:p>
    <w:p>
      <w:pPr>
        <w:numPr>
          <w:ilvl w:val="0"/>
          <w:numId w:val="1009"/>
        </w:numPr>
        <w:pStyle w:val="Compact"/>
      </w:pPr>
      <w:r>
        <w:t xml:space="preserve">Наберите заданный в лабораторной работе текст. 4. Сохранить файл с помощью комбинации Ctrl-x Ctrl-s (C-x C-s).(рис. 3)</w:t>
      </w:r>
    </w:p>
    <w:p>
      <w:pPr>
        <w:pStyle w:val="CaptionedFigure"/>
      </w:pPr>
      <w:bookmarkStart w:id="28" w:name="fig:003"/>
      <w:r>
        <w:drawing>
          <wp:inline>
            <wp:extent cx="2692400" cy="1993900"/>
            <wp:effectExtent b="0" l="0" r="0" t="0"/>
            <wp:docPr descr="Рис. 3: Файл lab07.sh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Файл lab07.sh</w:t>
      </w:r>
    </w:p>
    <w:p>
      <w:pPr>
        <w:numPr>
          <w:ilvl w:val="0"/>
          <w:numId w:val="1010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pStyle w:val="FirstParagraph"/>
      </w:pPr>
      <w:r>
        <w:t xml:space="preserve">5.1. Вырезать одной командой целую строку (С-k).(рис. 4)</w:t>
      </w:r>
    </w:p>
    <w:p>
      <w:pPr>
        <w:pStyle w:val="CaptionedFigure"/>
      </w:pPr>
      <w:bookmarkStart w:id="30" w:name="fig:004"/>
      <w:r>
        <w:drawing>
          <wp:inline>
            <wp:extent cx="2628900" cy="2057400"/>
            <wp:effectExtent b="0" l="0" r="0" t="0"/>
            <wp:docPr descr="Рис. 4: Вырезка строки echo $HELLO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Вырезка строки echo $HELLO</w:t>
      </w:r>
    </w:p>
    <w:p>
      <w:pPr>
        <w:pStyle w:val="BodyText"/>
      </w:pPr>
      <w:r>
        <w:t xml:space="preserve">5.2. Вставить эту строку в конец файла (C-y).(рис. 5)</w:t>
      </w:r>
    </w:p>
    <w:p>
      <w:pPr>
        <w:pStyle w:val="CaptionedFigure"/>
      </w:pPr>
      <w:bookmarkStart w:id="32" w:name="fig:005"/>
      <w:r>
        <w:drawing>
          <wp:inline>
            <wp:extent cx="2336800" cy="2184400"/>
            <wp:effectExtent b="0" l="0" r="0" t="0"/>
            <wp:docPr descr="Рис. 5: Добавление echo $HELLO в конец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Добавление echo $HELLO в конец файла</w:t>
      </w:r>
    </w:p>
    <w:p>
      <w:pPr>
        <w:pStyle w:val="BodyText"/>
      </w:pPr>
      <w:r>
        <w:t xml:space="preserve">5.3. Выделить область текста (C-space).(рис. 6)</w:t>
      </w:r>
    </w:p>
    <w:p>
      <w:pPr>
        <w:pStyle w:val="CaptionedFigure"/>
      </w:pPr>
      <w:bookmarkStart w:id="34" w:name="fig:006"/>
      <w:r>
        <w:drawing>
          <wp:inline>
            <wp:extent cx="2082800" cy="6718300"/>
            <wp:effectExtent b="0" l="0" r="0" t="0"/>
            <wp:docPr descr="Рис. 6: Mark set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671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Mark set</w:t>
      </w:r>
    </w:p>
    <w:p>
      <w:pPr>
        <w:pStyle w:val="BodyText"/>
      </w:pPr>
      <w:r>
        <w:t xml:space="preserve">5.4. Скопировать область в буфер обмена (M-w). 5.5. Вставить область в конец файла.(рис. 7)</w:t>
      </w:r>
    </w:p>
    <w:p>
      <w:pPr>
        <w:pStyle w:val="CaptionedFigure"/>
      </w:pPr>
      <w:bookmarkStart w:id="36" w:name="fig:007"/>
      <w:r>
        <w:drawing>
          <wp:inline>
            <wp:extent cx="1917700" cy="1828800"/>
            <wp:effectExtent b="0" l="0" r="0" t="0"/>
            <wp:docPr descr="Рис. 7: Вставка из буфера обмен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Вставка из буфера обмена</w:t>
      </w:r>
    </w:p>
    <w:p>
      <w:pPr>
        <w:pStyle w:val="BodyText"/>
      </w:pPr>
      <w:r>
        <w:t xml:space="preserve">5.6. Вновь выделить эту область и на этот раз вырезать её (C-w).(рис. 8)</w:t>
      </w:r>
    </w:p>
    <w:p>
      <w:pPr>
        <w:pStyle w:val="CaptionedFigure"/>
      </w:pPr>
      <w:bookmarkStart w:id="38" w:name="fig:008"/>
      <w:r>
        <w:drawing>
          <wp:inline>
            <wp:extent cx="1981200" cy="1981200"/>
            <wp:effectExtent b="0" l="0" r="0" t="0"/>
            <wp:docPr descr="Рис. 8: Удаление области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Удаление области</w:t>
      </w:r>
    </w:p>
    <w:p>
      <w:pPr>
        <w:pStyle w:val="BodyText"/>
      </w:pPr>
      <w:r>
        <w:t xml:space="preserve">5.7. Отмените последнее действие (C-/).(рис. 9)</w:t>
      </w:r>
    </w:p>
    <w:p>
      <w:pPr>
        <w:pStyle w:val="CaptionedFigure"/>
      </w:pPr>
      <w:bookmarkStart w:id="40" w:name="fig:009"/>
      <w:r>
        <w:drawing>
          <wp:inline>
            <wp:extent cx="1600200" cy="1803400"/>
            <wp:effectExtent b="0" l="0" r="0" t="0"/>
            <wp:docPr descr="Рис. 9: Отмена пердыдущего шага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Отмена пердыдущего шага</w:t>
      </w:r>
    </w:p>
    <w:p>
      <w:pPr>
        <w:numPr>
          <w:ilvl w:val="0"/>
          <w:numId w:val="1011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pStyle w:val="FirstParagraph"/>
      </w:pPr>
      <w:r>
        <w:t xml:space="preserve">6.1. Переместите курсор в начало строки (C-a).(рис. 10)</w:t>
      </w:r>
    </w:p>
    <w:p>
      <w:pPr>
        <w:pStyle w:val="CaptionedFigure"/>
      </w:pPr>
      <w:bookmarkStart w:id="42" w:name="fig:010"/>
      <w:r>
        <w:drawing>
          <wp:inline>
            <wp:extent cx="1473200" cy="469900"/>
            <wp:effectExtent b="0" l="0" r="0" t="0"/>
            <wp:docPr descr="Рис. 10: Курсор в начале строк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Курсор в начале строки</w:t>
      </w:r>
    </w:p>
    <w:p>
      <w:pPr>
        <w:pStyle w:val="BodyText"/>
      </w:pPr>
      <w:r>
        <w:t xml:space="preserve">6.2. Переместите курсор в конец строки (C-e).(рис. 11)</w:t>
      </w:r>
    </w:p>
    <w:p>
      <w:pPr>
        <w:pStyle w:val="CaptionedFigure"/>
      </w:pPr>
      <w:bookmarkStart w:id="44" w:name="fig:011"/>
      <w:r>
        <w:drawing>
          <wp:inline>
            <wp:extent cx="1447800" cy="266700"/>
            <wp:effectExtent b="0" l="0" r="0" t="0"/>
            <wp:docPr descr="Рис. 11: Курсор в конце строк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Курсор в конце строки</w:t>
      </w:r>
    </w:p>
    <w:p>
      <w:pPr>
        <w:pStyle w:val="BodyText"/>
      </w:pPr>
      <w:r>
        <w:t xml:space="preserve">6.3. Переместите курсор в начало буфера (M-&lt;).(рис. 12)</w:t>
      </w:r>
    </w:p>
    <w:p>
      <w:pPr>
        <w:pStyle w:val="CaptionedFigure"/>
      </w:pPr>
      <w:bookmarkStart w:id="45" w:name="fig:012"/>
      <w:r>
        <w:drawing>
          <wp:inline>
            <wp:extent cx="1473200" cy="469900"/>
            <wp:effectExtent b="0" l="0" r="0" t="0"/>
            <wp:docPr descr="Рис. 12: Курсор в начале буфер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Курсор в начале буфера</w:t>
      </w:r>
    </w:p>
    <w:p>
      <w:pPr>
        <w:pStyle w:val="BodyText"/>
      </w:pPr>
      <w:r>
        <w:t xml:space="preserve">6.4. Переместите курсор в конец буфера (M-&gt;).(рис. 13)</w:t>
      </w:r>
    </w:p>
    <w:p>
      <w:pPr>
        <w:pStyle w:val="CaptionedFigure"/>
      </w:pPr>
      <w:bookmarkStart w:id="46" w:name="fig:013"/>
      <w:r>
        <w:drawing>
          <wp:inline>
            <wp:extent cx="1447800" cy="266700"/>
            <wp:effectExtent b="0" l="0" r="0" t="0"/>
            <wp:docPr descr="Рис. 13: Курсор в конце буфер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Курсор в конце буфера</w:t>
      </w:r>
    </w:p>
    <w:p>
      <w:pPr>
        <w:numPr>
          <w:ilvl w:val="0"/>
          <w:numId w:val="1012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Вывести список активных буферов на экран (C-x C-b). (рис. 14)</w:t>
      </w:r>
    </w:p>
    <w:p>
      <w:pPr>
        <w:pStyle w:val="CaptionedFigure"/>
      </w:pPr>
      <w:bookmarkStart w:id="48" w:name="fig:014"/>
      <w:r>
        <w:drawing>
          <wp:inline>
            <wp:extent cx="5334000" cy="2171178"/>
            <wp:effectExtent b="0" l="0" r="0" t="0"/>
            <wp:docPr descr="Рис. 14: Вывод буферов на экран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Вывод буферов на экран</w:t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 и переключитесь на другой буфер. (рис. 15)</w:t>
      </w:r>
    </w:p>
    <w:p>
      <w:pPr>
        <w:pStyle w:val="CaptionedFigure"/>
      </w:pPr>
      <w:bookmarkStart w:id="50" w:name="fig:015"/>
      <w:r>
        <w:drawing>
          <wp:inline>
            <wp:extent cx="5334000" cy="5782056"/>
            <wp:effectExtent b="0" l="0" r="0" t="0"/>
            <wp:docPr descr="Рис. 15: Переключение между буферами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2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Переключение между буферами</w:t>
      </w:r>
    </w:p>
    <w:p>
      <w:pPr>
        <w:pStyle w:val="BodyText"/>
      </w:pPr>
      <w:r>
        <w:t xml:space="preserve">7.3. Закройте это окно (C-x 0). 7.4. Теперь вновь переключайтесь между буферами, но уже без вывода их списка на экран (C-x b). (рис. 16)</w:t>
      </w:r>
    </w:p>
    <w:p>
      <w:pPr>
        <w:pStyle w:val="CaptionedFigure"/>
      </w:pPr>
      <w:bookmarkStart w:id="52" w:name="fig:016"/>
      <w:r>
        <w:drawing>
          <wp:inline>
            <wp:extent cx="4279900" cy="1257300"/>
            <wp:effectExtent b="0" l="0" r="0" t="0"/>
            <wp:docPr descr="Рис. 16: Переключение между буферами без их вывода на экран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16: Переключение между буферами без их вывода на экран</w:t>
      </w:r>
    </w:p>
    <w:p>
      <w:pPr>
        <w:numPr>
          <w:ilvl w:val="0"/>
          <w:numId w:val="1013"/>
        </w:numPr>
        <w:pStyle w:val="Compact"/>
      </w:pPr>
      <w:r>
        <w:t xml:space="preserve">Управление окнами.</w:t>
      </w:r>
    </w:p>
    <w:p>
      <w:pPr>
        <w:pStyle w:val="FirstParagraph"/>
      </w:pP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2). (рис. 17)</w:t>
      </w:r>
    </w:p>
    <w:p>
      <w:pPr>
        <w:pStyle w:val="CaptionedFigure"/>
      </w:pPr>
      <w:bookmarkStart w:id="54" w:name="fig:017"/>
      <w:r>
        <w:drawing>
          <wp:inline>
            <wp:extent cx="5334000" cy="4550867"/>
            <wp:effectExtent b="0" l="0" r="0" t="0"/>
            <wp:docPr descr="Рис. 17: Разделение emacs на 4 активных окн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17: Разделение emacs на 4 активных окна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 несколько строк текста. (рис. 18)</w:t>
      </w:r>
    </w:p>
    <w:p>
      <w:pPr>
        <w:pStyle w:val="CaptionedFigure"/>
      </w:pPr>
      <w:bookmarkStart w:id="56" w:name="fig:018"/>
      <w:r>
        <w:drawing>
          <wp:inline>
            <wp:extent cx="5334000" cy="2554573"/>
            <wp:effectExtent b="0" l="0" r="0" t="0"/>
            <wp:docPr descr="Рис. 18: Создание новых файлов в каждом соответствующем окне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18: Создание новых файлов в каждом соответствующем окне</w:t>
      </w:r>
    </w:p>
    <w:p>
      <w:pPr>
        <w:numPr>
          <w:ilvl w:val="0"/>
          <w:numId w:val="1014"/>
        </w:numPr>
        <w:pStyle w:val="Compact"/>
      </w:pPr>
      <w:r>
        <w:t xml:space="preserve">Режим поиска.</w:t>
      </w:r>
    </w:p>
    <w:p>
      <w:pPr>
        <w:pStyle w:val="FirstParagraph"/>
      </w:pP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 (рис. 19)</w:t>
      </w:r>
    </w:p>
    <w:p>
      <w:pPr>
        <w:pStyle w:val="CaptionedFigure"/>
      </w:pPr>
      <w:bookmarkStart w:id="58" w:name="fig:019"/>
      <w:r>
        <w:drawing>
          <wp:inline>
            <wp:extent cx="2933700" cy="609600"/>
            <wp:effectExtent b="0" l="0" r="0" t="0"/>
            <wp:docPr descr="Рис. 19: Поиск е в строке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19: Поиск е в строке</w:t>
      </w:r>
    </w:p>
    <w:p>
      <w:pPr>
        <w:pStyle w:val="BodyText"/>
      </w:pPr>
      <w:r>
        <w:t xml:space="preserve">9.2. Переключайтесь между результатами поиска, нажимая C-s. 9.3. Выйдите из режима поиска, нажав C-g. (рис. 20)</w:t>
      </w:r>
    </w:p>
    <w:p>
      <w:pPr>
        <w:pStyle w:val="CaptionedFigure"/>
      </w:pPr>
      <w:bookmarkStart w:id="60" w:name="fig:020"/>
      <w:r>
        <w:drawing>
          <wp:inline>
            <wp:extent cx="3009900" cy="596900"/>
            <wp:effectExtent b="0" l="0" r="0" t="0"/>
            <wp:docPr descr="Рис. 20: Переключение между результатами поиск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20: Переключение между результатами поиска</w:t>
      </w:r>
    </w:p>
    <w:p>
      <w:pPr>
        <w:pStyle w:val="BodyText"/>
      </w:pP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 (рис. 21-23)</w:t>
      </w:r>
    </w:p>
    <w:p>
      <w:pPr>
        <w:pStyle w:val="CaptionedFigure"/>
      </w:pPr>
      <w:bookmarkStart w:id="62" w:name="fig:021"/>
      <w:r>
        <w:drawing>
          <wp:inline>
            <wp:extent cx="5334000" cy="4143944"/>
            <wp:effectExtent b="0" l="0" r="0" t="0"/>
            <wp:docPr descr="Рис. 21: Режим поиска и замены через панель edit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21: Режим поиска и замены через панель edit</w:t>
      </w:r>
    </w:p>
    <w:p>
      <w:pPr>
        <w:pStyle w:val="CaptionedFigure"/>
      </w:pPr>
      <w:bookmarkStart w:id="64" w:name="fig:022"/>
      <w:r>
        <w:drawing>
          <wp:inline>
            <wp:extent cx="3035300" cy="774700"/>
            <wp:effectExtent b="0" l="0" r="0" t="0"/>
            <wp:docPr descr="Рис. 22: Изменяемое слов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22: Изменяемое слова</w:t>
      </w:r>
    </w:p>
    <w:p>
      <w:pPr>
        <w:pStyle w:val="CaptionedFigure"/>
      </w:pPr>
      <w:bookmarkStart w:id="66" w:name="fig:023"/>
      <w:r>
        <w:drawing>
          <wp:inline>
            <wp:extent cx="2768600" cy="711200"/>
            <wp:effectExtent b="0" l="0" r="0" t="0"/>
            <wp:docPr descr="Рис. 23: Замена слова World на Mir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23: Замена слова World на Mir</w:t>
      </w:r>
    </w:p>
    <w:p>
      <w:pPr>
        <w:pStyle w:val="BodyText"/>
      </w:pP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 (рис. 24)</w:t>
      </w:r>
    </w:p>
    <w:p>
      <w:pPr>
        <w:pStyle w:val="CaptionedFigure"/>
      </w:pPr>
      <w:bookmarkStart w:id="68" w:name="fig:024"/>
      <w:r>
        <w:drawing>
          <wp:inline>
            <wp:extent cx="4813300" cy="1714500"/>
            <wp:effectExtent b="0" l="0" r="0" t="0"/>
            <wp:docPr descr="Рис. 24: Режим отличается тем, что создает дополнительную вкладку с текстом, в котором находится предмет поиск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24: Режим отличается тем, что создает дополнительную вкладку с текстом, в котором находится предмет поиска</w:t>
      </w:r>
    </w:p>
    <w:bookmarkEnd w:id="69"/>
    <w:bookmarkStart w:id="7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5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это расширяемый текстовый редактор, который можно кастомизировать под свои нужды при помощи языка Emacs Lisp (Elisp).</w:t>
      </w:r>
    </w:p>
    <w:p>
      <w:pPr>
        <w:numPr>
          <w:ilvl w:val="0"/>
          <w:numId w:val="1016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Количество комбинаций клавиш и далеко не простой интерфейс могут показаться сложной часть для освоения новичком.</w:t>
      </w:r>
    </w:p>
    <w:p>
      <w:pPr>
        <w:numPr>
          <w:ilvl w:val="0"/>
          <w:numId w:val="1017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объект, содержащищй записанный текст.</w:t>
      </w:r>
    </w:p>
    <w:p>
      <w:pPr>
        <w:pStyle w:val="BodyText"/>
      </w:pPr>
      <w:r>
        <w:t xml:space="preserve">Окно - область прямоугольной формы, отображаюшая один из буферов.</w:t>
      </w:r>
    </w:p>
    <w:p>
      <w:pPr>
        <w:numPr>
          <w:ilvl w:val="0"/>
          <w:numId w:val="1018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это возможно.</w:t>
      </w:r>
    </w:p>
    <w:p>
      <w:pPr>
        <w:numPr>
          <w:ilvl w:val="0"/>
          <w:numId w:val="1019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Messages, GNU Emacs, scratch.</w:t>
      </w:r>
    </w:p>
    <w:p>
      <w:pPr>
        <w:numPr>
          <w:ilvl w:val="0"/>
          <w:numId w:val="1020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Ctrl+C, а потом | и Ctrl+C, Ctrl + |.</w:t>
      </w:r>
    </w:p>
    <w:p>
      <w:pPr>
        <w:numPr>
          <w:ilvl w:val="0"/>
          <w:numId w:val="1021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комбинаций клавиш Сtrl + x, 2 (по горизонтали) или Ctrl + x, 3 (по вертикали).</w:t>
      </w:r>
    </w:p>
    <w:p>
      <w:pPr>
        <w:numPr>
          <w:ilvl w:val="0"/>
          <w:numId w:val="1022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реадктор emacs хранятся в файле .emacs, расположенным в директории пользователя.</w:t>
      </w:r>
    </w:p>
    <w:p>
      <w:pPr>
        <w:numPr>
          <w:ilvl w:val="0"/>
          <w:numId w:val="1023"/>
        </w:numPr>
        <w:pStyle w:val="Compact"/>
      </w:pPr>
      <w:r>
        <w:t xml:space="preserve">Какую функцию выполняет клавиша DEL и можно ли её переназначить?</w:t>
      </w:r>
    </w:p>
    <w:p>
      <w:pPr>
        <w:pStyle w:val="FirstParagraph"/>
      </w:pPr>
      <w:r>
        <w:t xml:space="preserve">Она выполняется функцию</w:t>
      </w:r>
      <w:r>
        <w:t xml:space="preserve"> </w:t>
      </w:r>
      <w:r>
        <w:t xml:space="preserve">“</w:t>
      </w:r>
      <w:r>
        <w:t xml:space="preserve">стереть</w:t>
      </w:r>
      <w:r>
        <w:t xml:space="preserve">”</w:t>
      </w:r>
      <w:r>
        <w:t xml:space="preserve">.</w:t>
      </w:r>
    </w:p>
    <w:p>
      <w:pPr>
        <w:numPr>
          <w:ilvl w:val="0"/>
          <w:numId w:val="1024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Однозначно emacs, поскольку в vi неудобное переключение режимов и не имеем простого интерфейса.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течение лабораторной работы я познакомилась с операционной системой Linux и получила практические навыки работы с редактором Emacs.</w:t>
      </w:r>
    </w:p>
    <w:bookmarkEnd w:id="71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Start w:id="73" w:name="ref-emacs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Что такое Emacs? [Электронный ресурс]. URL:</w:t>
      </w:r>
      <w:r>
        <w:t xml:space="preserve"> </w:t>
      </w:r>
      <w:hyperlink r:id="rId72">
        <w:r>
          <w:rPr>
            <w:rStyle w:val="Hyperlink"/>
          </w:rPr>
          <w:t xml:space="preserve">https://ru.theastrologypage.com/emacs</w:t>
        </w:r>
      </w:hyperlink>
      <w:r>
        <w:t xml:space="preserve">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67" Target="media/rId67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9" Target="media/rId49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hyperlink" Id="rId72" Target="https://ru.theastrologypage.com/ema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ru.theastrologypage.com/ema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Грузинова Елизавета Константиновна</dc:creator>
  <dc:language>ru-RU</dc:language>
  <cp:keywords/>
  <dcterms:created xsi:type="dcterms:W3CDTF">2022-05-21T16:23:41Z</dcterms:created>
  <dcterms:modified xsi:type="dcterms:W3CDTF">2022-05-21T16:23:41Z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Текстовый редактор emacs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