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Тестовое задание для кандидата на позицию аудитора "DevSecOps"</w:t>
      </w:r>
    </w:p>
    <w:p w14:paraId="02000000">
      <w:pPr>
        <w:widowControl w:val="1"/>
        <w:spacing w:afterAutospacing="on" w:beforeAutospacing="on"/>
        <w:ind/>
        <w:outlineLvl w:val="2"/>
        <w:rPr>
          <w:rFonts w:ascii="Times New Roman" w:hAnsi="Times New Roman"/>
          <w:b w:val="1"/>
          <w:sz w:val="27"/>
        </w:rPr>
      </w:pPr>
      <w:r>
        <w:rPr>
          <w:rFonts w:ascii="Times New Roman" w:hAnsi="Times New Roman"/>
          <w:b w:val="1"/>
          <w:sz w:val="27"/>
        </w:rPr>
        <w:t xml:space="preserve">Описание </w:t>
      </w:r>
    </w:p>
    <w:p w14:paraId="03000000">
      <w:pPr>
        <w:widowControl w:val="1"/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Вам необходимо оценить </w:t>
      </w:r>
      <w:r>
        <w:rPr>
          <w:rFonts w:ascii="Times New Roman" w:hAnsi="Times New Roman"/>
        </w:rPr>
        <w:t>состояние</w:t>
      </w:r>
      <w:r>
        <w:rPr>
          <w:rFonts w:ascii="Times New Roman" w:hAnsi="Times New Roman"/>
        </w:rPr>
        <w:t xml:space="preserve"> процессов</w:t>
      </w:r>
      <w:r>
        <w:rPr>
          <w:rFonts w:ascii="Times New Roman" w:hAnsi="Times New Roman"/>
        </w:rPr>
        <w:t xml:space="preserve"> безопасной разработки</w:t>
      </w:r>
      <w:r>
        <w:rPr>
          <w:rFonts w:ascii="Times New Roman" w:hAnsi="Times New Roman"/>
        </w:rPr>
        <w:t xml:space="preserve"> в компании X, которая занимается разработкой программного обеспечения. Основная задача — выявить </w:t>
      </w:r>
      <w:r>
        <w:rPr>
          <w:rFonts w:ascii="Times New Roman" w:hAnsi="Times New Roman"/>
        </w:rPr>
        <w:t>недостатки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определить необходимые меры для улучшения уровня </w:t>
      </w:r>
      <w:r>
        <w:rPr>
          <w:rFonts w:ascii="Times New Roman" w:hAnsi="Times New Roman"/>
        </w:rPr>
        <w:t>безопасности</w:t>
      </w:r>
      <w:r>
        <w:rPr>
          <w:rFonts w:ascii="Times New Roman" w:hAnsi="Times New Roman"/>
        </w:rPr>
        <w:t xml:space="preserve"> текущего SDLC (Software Development Life Cycle). Для этого Вам необходимо провести анализ и предложить меры по оптимизации безопасности в соответствии с требованиями ГОСТ 56939-2024, BSIMM и DSOM.</w:t>
      </w:r>
    </w:p>
    <w:p w14:paraId="04000000">
      <w:pPr>
        <w:widowControl w:val="1"/>
        <w:spacing w:afterAutospacing="on" w:beforeAutospacing="on"/>
        <w:ind/>
        <w:outlineLvl w:val="2"/>
        <w:rPr>
          <w:rFonts w:ascii="Times New Roman" w:hAnsi="Times New Roman"/>
          <w:b w:val="1"/>
          <w:sz w:val="27"/>
        </w:rPr>
      </w:pPr>
      <w:r>
        <w:rPr>
          <w:rFonts w:ascii="Times New Roman" w:hAnsi="Times New Roman"/>
          <w:b w:val="1"/>
          <w:sz w:val="27"/>
        </w:rPr>
        <w:t>Контекст</w:t>
      </w:r>
    </w:p>
    <w:p w14:paraId="05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компании выделен специалист по безопасной разработке ПО для организации процессов. </w:t>
      </w:r>
    </w:p>
    <w:p w14:paraId="06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Регламентация процессов безопасной разработки ПО отсутствует.</w:t>
      </w:r>
    </w:p>
    <w:p w14:paraId="07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Компания не разрабатывает ГИС и не разрабатывает ПО, являющееся частью КИИ.</w:t>
      </w:r>
    </w:p>
    <w:p w14:paraId="08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Языки программирования, применяемые в разработке: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#, </w:t>
      </w:r>
      <w:r>
        <w:rPr>
          <w:rFonts w:ascii="Times New Roman" w:hAnsi="Times New Roman"/>
        </w:rPr>
        <w:t>JS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SQL</w:t>
      </w:r>
      <w:r>
        <w:rPr>
          <w:rFonts w:ascii="Times New Roman" w:hAnsi="Times New Roman"/>
        </w:rPr>
        <w:t>.</w:t>
      </w:r>
    </w:p>
    <w:p w14:paraId="09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Внедрен процесс проведения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анализа методом </w:t>
      </w:r>
      <w:r>
        <w:rPr>
          <w:rFonts w:ascii="Times New Roman" w:hAnsi="Times New Roman"/>
        </w:rPr>
        <w:t>SAST</w:t>
      </w:r>
      <w:r>
        <w:rPr>
          <w:rFonts w:ascii="Times New Roman" w:hAnsi="Times New Roman"/>
        </w:rPr>
        <w:t>.</w:t>
      </w:r>
    </w:p>
    <w:p w14:paraId="0A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Все дефекты безопасности включаются в технический долг для последующего исправления с приоритезацией по критичности, но без определения сроков исправления дефекта безопасности.</w:t>
      </w:r>
    </w:p>
    <w:p w14:paraId="0B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Компания использует контейнеризацию для разработки и тестирования (Docker, Kubernetes).</w:t>
      </w:r>
    </w:p>
    <w:p w14:paraId="0C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качестве </w:t>
      </w:r>
      <w:r>
        <w:rPr>
          <w:rFonts w:ascii="Times New Roman" w:hAnsi="Times New Roman"/>
        </w:rPr>
        <w:t>VCS</w:t>
      </w:r>
      <w:r>
        <w:rPr>
          <w:rFonts w:ascii="Times New Roman" w:hAnsi="Times New Roman"/>
        </w:rPr>
        <w:t xml:space="preserve"> Компании используется </w:t>
      </w:r>
      <w:r>
        <w:rPr>
          <w:rFonts w:ascii="Times New Roman" w:hAnsi="Times New Roman"/>
        </w:rPr>
        <w:t>GitLab</w:t>
      </w:r>
      <w:r>
        <w:rPr>
          <w:rFonts w:ascii="Times New Roman" w:hAnsi="Times New Roman"/>
        </w:rPr>
        <w:t xml:space="preserve"> </w:t>
      </w:r>
    </w:p>
    <w:p w14:paraId="0D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CI/CD </w:t>
      </w:r>
      <w:r>
        <w:rPr>
          <w:rFonts w:ascii="Times New Roman" w:hAnsi="Times New Roman"/>
        </w:rPr>
        <w:t>пайплайны</w:t>
      </w:r>
      <w:r>
        <w:rPr>
          <w:rFonts w:ascii="Times New Roman" w:hAnsi="Times New Roman"/>
        </w:rPr>
        <w:t xml:space="preserve"> построены</w:t>
      </w:r>
      <w:r>
        <w:rPr>
          <w:rFonts w:ascii="Times New Roman" w:hAnsi="Times New Roman"/>
        </w:rPr>
        <w:t xml:space="preserve"> с использованием Jenkins.</w:t>
      </w:r>
    </w:p>
    <w:p w14:paraId="0E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Внедрены облачные сервисы для размещения инфраструктуры и разработки (например, AWS или Azure).</w:t>
      </w:r>
    </w:p>
    <w:p w14:paraId="0F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В компании также используется Infrastructure as Code (IaC) через Terraform и Ansible для управления инфраструктурой.</w:t>
      </w:r>
    </w:p>
    <w:p w14:paraId="10000000">
      <w:pPr>
        <w:widowControl w:val="1"/>
        <w:spacing w:afterAutospacing="on" w:beforeAutospacing="on"/>
        <w:ind/>
        <w:outlineLvl w:val="2"/>
        <w:rPr>
          <w:rFonts w:ascii="Times New Roman" w:hAnsi="Times New Roman"/>
          <w:b w:val="1"/>
          <w:sz w:val="27"/>
        </w:rPr>
      </w:pPr>
      <w:r>
        <w:rPr>
          <w:rFonts w:ascii="Times New Roman" w:hAnsi="Times New Roman"/>
          <w:b w:val="1"/>
          <w:sz w:val="27"/>
        </w:rPr>
        <w:t>Задания</w:t>
      </w:r>
    </w:p>
    <w:p w14:paraId="11000000">
      <w:pPr>
        <w:widowControl w:val="1"/>
        <w:spacing w:afterAutospacing="on" w:beforeAutospacing="on"/>
        <w:ind/>
        <w:outlineLvl w:val="3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 xml:space="preserve">1. </w:t>
      </w:r>
      <w:r>
        <w:rPr>
          <w:rFonts w:ascii="Times New Roman" w:hAnsi="Times New Roman"/>
          <w:b w:val="1"/>
        </w:rPr>
        <w:t>Проанализируйте на основе описания и контекста процессы безопасной разработки компании Х</w:t>
      </w:r>
    </w:p>
    <w:p w14:paraId="12000000">
      <w:pPr>
        <w:widowControl w:val="1"/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Проанализируйте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описание и контекст,</w:t>
      </w:r>
      <w:r>
        <w:rPr>
          <w:rFonts w:ascii="Times New Roman" w:hAnsi="Times New Roman"/>
        </w:rPr>
        <w:t xml:space="preserve"> определите, </w:t>
      </w:r>
      <w:r>
        <w:rPr>
          <w:rFonts w:ascii="Times New Roman" w:hAnsi="Times New Roman"/>
        </w:rPr>
        <w:t>соответству</w:t>
      </w:r>
      <w:r>
        <w:rPr>
          <w:rFonts w:ascii="Times New Roman" w:hAnsi="Times New Roman"/>
        </w:rPr>
        <w:t>ют ли процессы безопасной разработки компании Х</w:t>
      </w:r>
      <w:r>
        <w:rPr>
          <w:rFonts w:ascii="Times New Roman" w:hAnsi="Times New Roman"/>
        </w:rPr>
        <w:t xml:space="preserve"> стандартам, указанным в ГОСТ 56939-2024, BSIMM и </w:t>
      </w:r>
      <w:r>
        <w:rPr>
          <w:rFonts w:ascii="Times New Roman" w:hAnsi="Times New Roman"/>
        </w:rPr>
        <w:t>DOMM</w:t>
      </w:r>
      <w:r>
        <w:rPr>
          <w:rFonts w:ascii="Times New Roman" w:hAnsi="Times New Roman"/>
        </w:rPr>
        <w:t>.</w:t>
      </w:r>
    </w:p>
    <w:p w14:paraId="13000000">
      <w:pPr>
        <w:widowControl w:val="1"/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Подготовьте документ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«К</w:t>
      </w:r>
      <w:r>
        <w:rPr>
          <w:rFonts w:ascii="Times New Roman" w:hAnsi="Times New Roman"/>
        </w:rPr>
        <w:t xml:space="preserve">раткое </w:t>
      </w:r>
      <w:r>
        <w:rPr>
          <w:rFonts w:ascii="Times New Roman" w:hAnsi="Times New Roman"/>
        </w:rPr>
        <w:t>резюме</w:t>
      </w:r>
      <w:r>
        <w:rPr>
          <w:rFonts w:ascii="Times New Roman" w:hAnsi="Times New Roman"/>
        </w:rPr>
        <w:t>»</w:t>
      </w:r>
      <w:r>
        <w:rPr>
          <w:rFonts w:ascii="Times New Roman" w:hAnsi="Times New Roman"/>
        </w:rPr>
        <w:t xml:space="preserve"> (не более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страниц)</w:t>
      </w:r>
      <w:r>
        <w:rPr>
          <w:rFonts w:ascii="Times New Roman" w:hAnsi="Times New Roman"/>
        </w:rPr>
        <w:t xml:space="preserve"> в рамках которого сделайте вывод о </w:t>
      </w:r>
      <w:r>
        <w:rPr>
          <w:rFonts w:ascii="Times New Roman" w:hAnsi="Times New Roman"/>
        </w:rPr>
        <w:t>соответств</w:t>
      </w:r>
      <w:r>
        <w:rPr>
          <w:rFonts w:ascii="Times New Roman" w:hAnsi="Times New Roman"/>
        </w:rPr>
        <w:t>ии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 несоответствии</w:t>
      </w:r>
      <w:r>
        <w:rPr>
          <w:rFonts w:ascii="Times New Roman" w:hAnsi="Times New Roman"/>
        </w:rPr>
        <w:t xml:space="preserve"> процессов безопасной разработки компании Х</w:t>
      </w:r>
      <w:r>
        <w:rPr>
          <w:rFonts w:ascii="Times New Roman" w:hAnsi="Times New Roman"/>
        </w:rPr>
        <w:t xml:space="preserve"> стандартам, указанным в ГОСТ 56939-2024, BSIMM и </w:t>
      </w:r>
      <w:r>
        <w:rPr>
          <w:rFonts w:ascii="Times New Roman" w:hAnsi="Times New Roman"/>
        </w:rPr>
        <w:t>DOMM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дополните вывод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описанием текущих рисков и пробелов в процессах, которые вы обнаружили.</w:t>
      </w:r>
    </w:p>
    <w:p w14:paraId="14000000">
      <w:pPr>
        <w:widowControl w:val="1"/>
        <w:spacing w:afterAutospacing="on" w:beforeAutospacing="on"/>
        <w:ind/>
        <w:rPr>
          <w:rFonts w:ascii="Times New Roman" w:hAnsi="Times New Roman"/>
        </w:rPr>
      </w:pPr>
    </w:p>
    <w:p w14:paraId="15000000">
      <w:pPr>
        <w:widowControl w:val="1"/>
        <w:spacing w:afterAutospacing="on" w:beforeAutospacing="on"/>
        <w:ind/>
        <w:rPr>
          <w:rFonts w:ascii="Times New Roman" w:hAnsi="Times New Roman"/>
        </w:rPr>
      </w:pPr>
    </w:p>
    <w:p w14:paraId="16000000">
      <w:pPr>
        <w:widowControl w:val="1"/>
        <w:spacing w:afterAutospacing="on" w:beforeAutospacing="on"/>
        <w:ind/>
        <w:outlineLvl w:val="3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 xml:space="preserve">2. </w:t>
      </w:r>
      <w:r>
        <w:rPr>
          <w:rFonts w:ascii="Times New Roman" w:hAnsi="Times New Roman"/>
          <w:b w:val="1"/>
        </w:rPr>
        <w:t>Предложите улучшения</w:t>
      </w:r>
    </w:p>
    <w:p w14:paraId="17000000">
      <w:pPr>
        <w:widowControl w:val="1"/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основе проведенного анализа предложите конкретные меры по улучшению безопасности DevSecOps-процессов, опираясь на требования ГОСТ 56939-2024, а также практики, рекомендованные в BSIMM и DSOM. </w:t>
      </w:r>
    </w:p>
    <w:p w14:paraId="18000000">
      <w:pPr>
        <w:widowControl w:val="1"/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Дополните документ «Краткое резюме»</w:t>
      </w:r>
      <w:r>
        <w:rPr>
          <w:rFonts w:ascii="Times New Roman" w:hAnsi="Times New Roman"/>
        </w:rPr>
        <w:t xml:space="preserve"> пунктом «Рекомендации»</w:t>
      </w:r>
      <w:r>
        <w:rPr>
          <w:rFonts w:ascii="Times New Roman" w:hAnsi="Times New Roman"/>
        </w:rPr>
        <w:t>, в котором будет указано как минимум 5 предложенных</w:t>
      </w:r>
      <w:r>
        <w:rPr>
          <w:rFonts w:ascii="Times New Roman" w:hAnsi="Times New Roman"/>
        </w:rPr>
        <w:t xml:space="preserve"> Вами мер</w:t>
      </w:r>
      <w:r>
        <w:rPr>
          <w:rFonts w:ascii="Times New Roman" w:hAnsi="Times New Roman"/>
        </w:rPr>
        <w:t>. Каждую меру необходимо описать, указав:</w:t>
      </w:r>
    </w:p>
    <w:p w14:paraId="19000000">
      <w:pPr>
        <w:widowControl w:val="1"/>
        <w:numPr>
          <w:ilvl w:val="0"/>
          <w:numId w:val="2"/>
        </w:numPr>
        <w:spacing w:afterAutospacing="on" w:beforeAutospacing="on"/>
        <w:ind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Наименование меры</w:t>
      </w:r>
      <w:r>
        <w:rPr>
          <w:rFonts w:ascii="Times New Roman" w:hAnsi="Times New Roman"/>
          <w:b w:val="1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должно быть кратким и емким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</w:p>
    <w:p w14:paraId="1A000000">
      <w:pPr>
        <w:widowControl w:val="1"/>
        <w:numPr>
          <w:ilvl w:val="0"/>
          <w:numId w:val="2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Описание меры</w:t>
      </w:r>
      <w:r>
        <w:rPr>
          <w:rFonts w:ascii="Times New Roman" w:hAnsi="Times New Roman"/>
          <w:b w:val="1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должно быть понятным и логичным, в случае если предлагается внедрение решения, необходимо указать его наименование</w:t>
      </w:r>
      <w:r>
        <w:rPr>
          <w:rFonts w:ascii="Times New Roman" w:hAnsi="Times New Roman"/>
        </w:rPr>
        <w:t>).</w:t>
      </w:r>
    </w:p>
    <w:p w14:paraId="1B000000">
      <w:pPr>
        <w:widowControl w:val="1"/>
        <w:numPr>
          <w:ilvl w:val="0"/>
          <w:numId w:val="2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Цель меры</w:t>
      </w:r>
      <w:r>
        <w:rPr>
          <w:rFonts w:ascii="Times New Roman" w:hAnsi="Times New Roman"/>
        </w:rPr>
        <w:t xml:space="preserve"> (какой риск или уязвимость она устраняет).</w:t>
      </w:r>
    </w:p>
    <w:p w14:paraId="1C000000">
      <w:pPr>
        <w:widowControl w:val="1"/>
        <w:numPr>
          <w:ilvl w:val="0"/>
          <w:numId w:val="2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Связь со стандартами</w:t>
      </w:r>
      <w:r>
        <w:rPr>
          <w:rFonts w:ascii="Times New Roman" w:hAnsi="Times New Roman"/>
        </w:rPr>
        <w:t xml:space="preserve"> (ГОСТ 56939-2024, BSIMM, DSOM).</w:t>
      </w:r>
    </w:p>
    <w:p w14:paraId="1D000000">
      <w:pPr>
        <w:widowControl w:val="1"/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Оформить </w:t>
      </w:r>
    </w:p>
    <w:tbl>
      <w:tblPr>
        <w:tblStyle w:val="Style_1"/>
        <w:tblW w:type="auto" w:w="0"/>
        <w:tblLayout w:type="fixed"/>
      </w:tblPr>
      <w:tblGrid>
        <w:gridCol w:w="562"/>
        <w:gridCol w:w="2268"/>
        <w:gridCol w:w="2977"/>
        <w:gridCol w:w="2410"/>
        <w:gridCol w:w="1804"/>
      </w:tblGrid>
      <w:tr>
        <w:tc>
          <w:tcPr>
            <w:tcW w:type="dxa" w:w="562"/>
            <w:shd w:themeFill="background2" w:val="clear"/>
            <w:vAlign w:val="center"/>
          </w:tcPr>
          <w:p w14:paraId="1E000000">
            <w:pPr>
              <w:widowControl w:val="1"/>
              <w:spacing w:afterAutospacing="on" w:beforeAutospacing="on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№</w:t>
            </w:r>
          </w:p>
        </w:tc>
        <w:tc>
          <w:tcPr>
            <w:tcW w:type="dxa" w:w="2268"/>
            <w:shd w:themeFill="background2" w:val="clear"/>
            <w:vAlign w:val="center"/>
          </w:tcPr>
          <w:p w14:paraId="1F000000">
            <w:pPr>
              <w:widowControl w:val="1"/>
              <w:spacing w:afterAutospacing="on" w:beforeAutospacing="on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Наименование меры</w:t>
            </w:r>
          </w:p>
        </w:tc>
        <w:tc>
          <w:tcPr>
            <w:tcW w:type="dxa" w:w="2977"/>
            <w:shd w:themeFill="background2" w:val="clear"/>
            <w:vAlign w:val="center"/>
          </w:tcPr>
          <w:p w14:paraId="20000000">
            <w:pPr>
              <w:widowControl w:val="1"/>
              <w:spacing w:afterAutospacing="on" w:beforeAutospacing="on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Описание меры</w:t>
            </w:r>
          </w:p>
        </w:tc>
        <w:tc>
          <w:tcPr>
            <w:tcW w:type="dxa" w:w="2410"/>
            <w:shd w:themeFill="background2" w:val="clear"/>
            <w:vAlign w:val="center"/>
          </w:tcPr>
          <w:p w14:paraId="21000000">
            <w:pPr>
              <w:widowControl w:val="1"/>
              <w:spacing w:afterAutospacing="on" w:beforeAutospacing="on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Цель меры</w:t>
            </w:r>
          </w:p>
        </w:tc>
        <w:tc>
          <w:tcPr>
            <w:tcW w:type="dxa" w:w="1804"/>
            <w:shd w:themeFill="background2" w:val="clear"/>
            <w:vAlign w:val="center"/>
          </w:tcPr>
          <w:p w14:paraId="22000000">
            <w:pPr>
              <w:widowControl w:val="1"/>
              <w:spacing w:afterAutospacing="on" w:beforeAutospacing="on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Связь со стандартом</w:t>
            </w:r>
          </w:p>
        </w:tc>
      </w:tr>
      <w:tr>
        <w:tc>
          <w:tcPr>
            <w:tcW w:type="dxa" w:w="562"/>
            <w:shd w:themeFill="background2" w:val="clear"/>
            <w:vAlign w:val="center"/>
          </w:tcPr>
          <w:p w14:paraId="23000000">
            <w:pPr>
              <w:widowControl w:val="1"/>
              <w:spacing w:afterAutospacing="on" w:beforeAutospacing="on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268"/>
          </w:tcPr>
          <w:p w14:paraId="24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2977"/>
          </w:tcPr>
          <w:p w14:paraId="25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2410"/>
          </w:tcPr>
          <w:p w14:paraId="26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1804"/>
          </w:tcPr>
          <w:p w14:paraId="27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</w:tr>
      <w:tr>
        <w:tc>
          <w:tcPr>
            <w:tcW w:type="dxa" w:w="562"/>
            <w:shd w:themeFill="background2" w:val="clear"/>
            <w:vAlign w:val="center"/>
          </w:tcPr>
          <w:p w14:paraId="28000000">
            <w:pPr>
              <w:widowControl w:val="1"/>
              <w:spacing w:afterAutospacing="on" w:beforeAutospacing="on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268"/>
          </w:tcPr>
          <w:p w14:paraId="29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2977"/>
          </w:tcPr>
          <w:p w14:paraId="2A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2410"/>
          </w:tcPr>
          <w:p w14:paraId="2B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1804"/>
          </w:tcPr>
          <w:p w14:paraId="2C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</w:tr>
      <w:tr>
        <w:tc>
          <w:tcPr>
            <w:tcW w:type="dxa" w:w="562"/>
            <w:shd w:themeFill="background2" w:val="clear"/>
            <w:vAlign w:val="center"/>
          </w:tcPr>
          <w:p w14:paraId="2D000000">
            <w:pPr>
              <w:widowControl w:val="1"/>
              <w:spacing w:afterAutospacing="on" w:beforeAutospacing="on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268"/>
          </w:tcPr>
          <w:p w14:paraId="2E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2977"/>
          </w:tcPr>
          <w:p w14:paraId="2F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2410"/>
          </w:tcPr>
          <w:p w14:paraId="30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1804"/>
          </w:tcPr>
          <w:p w14:paraId="31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</w:tr>
      <w:tr>
        <w:tc>
          <w:tcPr>
            <w:tcW w:type="dxa" w:w="562"/>
            <w:shd w:themeFill="background2" w:val="clear"/>
            <w:vAlign w:val="center"/>
          </w:tcPr>
          <w:p w14:paraId="32000000">
            <w:pPr>
              <w:widowControl w:val="1"/>
              <w:spacing w:afterAutospacing="on" w:beforeAutospacing="on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268"/>
          </w:tcPr>
          <w:p w14:paraId="33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2977"/>
          </w:tcPr>
          <w:p w14:paraId="34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2410"/>
          </w:tcPr>
          <w:p w14:paraId="35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1804"/>
          </w:tcPr>
          <w:p w14:paraId="36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</w:tr>
      <w:tr>
        <w:tc>
          <w:tcPr>
            <w:tcW w:type="dxa" w:w="562"/>
            <w:shd w:themeFill="background2" w:val="clear"/>
            <w:vAlign w:val="center"/>
          </w:tcPr>
          <w:p w14:paraId="37000000">
            <w:pPr>
              <w:widowControl w:val="1"/>
              <w:spacing w:afterAutospacing="on" w:beforeAutospacing="on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268"/>
          </w:tcPr>
          <w:p w14:paraId="38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2977"/>
          </w:tcPr>
          <w:p w14:paraId="39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2410"/>
          </w:tcPr>
          <w:p w14:paraId="3A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  <w:tc>
          <w:tcPr>
            <w:tcW w:type="dxa" w:w="1804"/>
          </w:tcPr>
          <w:p w14:paraId="3B000000">
            <w:pPr>
              <w:widowControl w:val="1"/>
              <w:spacing w:afterAutospacing="on" w:beforeAutospacing="on"/>
              <w:ind/>
              <w:rPr>
                <w:rFonts w:ascii="Times New Roman" w:hAnsi="Times New Roman"/>
              </w:rPr>
            </w:pPr>
          </w:p>
        </w:tc>
      </w:tr>
    </w:tbl>
    <w:p w14:paraId="3C000000">
      <w:pPr>
        <w:widowControl w:val="1"/>
        <w:spacing w:afterAutospacing="on" w:beforeAutospacing="on"/>
        <w:ind/>
        <w:outlineLvl w:val="3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3. Разработка схемы DevSecOps-процесса с улучшениями</w:t>
      </w:r>
    </w:p>
    <w:p w14:paraId="3D000000">
      <w:pPr>
        <w:widowControl w:val="1"/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Разработайте блок-схему </w:t>
      </w:r>
      <w:r>
        <w:rPr>
          <w:rFonts w:ascii="Times New Roman" w:hAnsi="Times New Roman"/>
        </w:rPr>
        <w:t>DevSecOps</w:t>
      </w:r>
      <w:r>
        <w:rPr>
          <w:rFonts w:ascii="Times New Roman" w:hAnsi="Times New Roman"/>
        </w:rPr>
        <w:t xml:space="preserve">-процесса, </w:t>
      </w:r>
      <w:r>
        <w:rPr>
          <w:rFonts w:ascii="Times New Roman" w:hAnsi="Times New Roman"/>
        </w:rPr>
        <w:t>котор</w:t>
      </w:r>
      <w:r>
        <w:rPr>
          <w:rFonts w:ascii="Times New Roman" w:hAnsi="Times New Roman"/>
        </w:rPr>
        <w:t>ая отражала бы текущее состояние процессов безопасной разработки компании Х с учетом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предложенны</w:t>
      </w:r>
      <w:r>
        <w:rPr>
          <w:rFonts w:ascii="Times New Roman" w:hAnsi="Times New Roman"/>
        </w:rPr>
        <w:t>х Вами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мер</w:t>
      </w:r>
      <w:r>
        <w:rPr>
          <w:rFonts w:ascii="Times New Roman" w:hAnsi="Times New Roman"/>
        </w:rPr>
        <w:t>, указанных в документе «Краткое резюме»</w:t>
      </w:r>
      <w:r>
        <w:rPr>
          <w:rFonts w:ascii="Times New Roman" w:hAnsi="Times New Roman"/>
        </w:rPr>
        <w:t>. Убедитесь, что на схеме отражены:</w:t>
      </w:r>
    </w:p>
    <w:p w14:paraId="3E000000">
      <w:pPr>
        <w:widowControl w:val="1"/>
        <w:numPr>
          <w:ilvl w:val="0"/>
          <w:numId w:val="3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Ключевые этапы CI/CD пайплайна.</w:t>
      </w:r>
    </w:p>
    <w:p w14:paraId="3F000000">
      <w:pPr>
        <w:widowControl w:val="1"/>
        <w:numPr>
          <w:ilvl w:val="0"/>
          <w:numId w:val="3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Точки внедрения проверок безопасности и мониторинга.</w:t>
      </w:r>
    </w:p>
    <w:p w14:paraId="40000000">
      <w:pPr>
        <w:widowControl w:val="1"/>
        <w:numPr>
          <w:ilvl w:val="0"/>
          <w:numId w:val="3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Управление доступом и процесс выявления инцидентов.</w:t>
      </w:r>
    </w:p>
    <w:p w14:paraId="41000000">
      <w:pPr>
        <w:widowControl w:val="1"/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>Схему можно предоставить в формате PDF.</w:t>
      </w:r>
      <w:r>
        <w:rPr>
          <w:rFonts w:ascii="Times New Roman" w:hAnsi="Times New Roman"/>
        </w:rPr>
        <w:t xml:space="preserve"> </w:t>
      </w:r>
    </w:p>
    <w:p w14:paraId="42000000">
      <w:pPr>
        <w:widowControl w:val="1"/>
        <w:spacing w:afterAutospacing="on" w:beforeAutospacing="on"/>
        <w:ind/>
        <w:outlineLvl w:val="3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4. Проверка соответствия ГОСТ 56939-2024</w:t>
      </w:r>
    </w:p>
    <w:p w14:paraId="43000000">
      <w:pPr>
        <w:widowControl w:val="1"/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Выберите 3 меры из предложенных Вами </w:t>
      </w:r>
      <w:r>
        <w:rPr>
          <w:rFonts w:ascii="Times New Roman" w:hAnsi="Times New Roman"/>
        </w:rPr>
        <w:t xml:space="preserve">в документе «Краткое резюме» </w:t>
      </w:r>
      <w:r>
        <w:rPr>
          <w:rFonts w:ascii="Times New Roman" w:hAnsi="Times New Roman"/>
        </w:rPr>
        <w:t>и подробно опишите, каким образом они обеспечивают соответствие требованиям ГОСТ 56939-2024. Приведите ссылки на конкретные пункты ГОСТ и объясните, почему выбранные меры соответствуют этим требованиям.</w:t>
      </w:r>
    </w:p>
    <w:p w14:paraId="44000000">
      <w:pPr>
        <w:widowControl w:val="1"/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Оформите результат работы в виде отдельной справки. </w:t>
      </w:r>
    </w:p>
    <w:p w14:paraId="45000000">
      <w:pPr>
        <w:widowControl w:val="1"/>
        <w:spacing w:afterAutospacing="on" w:beforeAutospacing="on"/>
        <w:ind/>
        <w:outlineLvl w:val="2"/>
        <w:rPr>
          <w:rFonts w:ascii="Times New Roman" w:hAnsi="Times New Roman"/>
          <w:b w:val="1"/>
          <w:sz w:val="27"/>
        </w:rPr>
      </w:pPr>
      <w:r>
        <w:rPr>
          <w:rFonts w:ascii="Times New Roman" w:hAnsi="Times New Roman"/>
          <w:b w:val="1"/>
          <w:sz w:val="27"/>
        </w:rPr>
        <w:t>Ожидаемые результаты</w:t>
      </w:r>
    </w:p>
    <w:p w14:paraId="46000000">
      <w:pPr>
        <w:widowControl w:val="1"/>
        <w:numPr>
          <w:ilvl w:val="0"/>
          <w:numId w:val="4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Документ</w:t>
      </w:r>
      <w:r>
        <w:rPr>
          <w:rFonts w:ascii="Times New Roman" w:hAnsi="Times New Roman"/>
          <w:b w:val="1"/>
        </w:rPr>
        <w:t xml:space="preserve"> </w:t>
      </w:r>
      <w:r>
        <w:rPr>
          <w:rFonts w:ascii="Times New Roman" w:hAnsi="Times New Roman"/>
          <w:b w:val="1"/>
        </w:rPr>
        <w:t>«Краткое резюме»</w:t>
      </w:r>
      <w:r>
        <w:rPr>
          <w:rFonts w:ascii="Times New Roman" w:hAnsi="Times New Roman"/>
          <w:b w:val="1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от 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страниц).</w:t>
      </w:r>
    </w:p>
    <w:p w14:paraId="47000000">
      <w:pPr>
        <w:widowControl w:val="1"/>
        <w:numPr>
          <w:ilvl w:val="0"/>
          <w:numId w:val="4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 xml:space="preserve">Блок-схема </w:t>
      </w:r>
      <w:r>
        <w:rPr>
          <w:rFonts w:ascii="Times New Roman" w:hAnsi="Times New Roman"/>
          <w:b w:val="1"/>
        </w:rPr>
        <w:t>DevSecOps</w:t>
      </w:r>
      <w:r>
        <w:rPr>
          <w:rFonts w:ascii="Times New Roman" w:hAnsi="Times New Roman"/>
          <w:b w:val="1"/>
        </w:rPr>
        <w:t>-процесса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1 страница</w:t>
      </w:r>
      <w:r>
        <w:rPr>
          <w:rFonts w:ascii="Times New Roman" w:hAnsi="Times New Roman"/>
        </w:rPr>
        <w:t>).</w:t>
      </w:r>
    </w:p>
    <w:p w14:paraId="48000000">
      <w:pPr>
        <w:widowControl w:val="1"/>
        <w:numPr>
          <w:ilvl w:val="0"/>
          <w:numId w:val="4"/>
        </w:numPr>
        <w:spacing w:afterAutospacing="on" w:beforeAutospacing="on"/>
        <w:ind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Справка</w:t>
      </w:r>
      <w:r>
        <w:rPr>
          <w:rFonts w:ascii="Times New Roman" w:hAnsi="Times New Roman"/>
          <w:b w:val="1"/>
        </w:rPr>
        <w:t xml:space="preserve"> </w:t>
      </w:r>
      <w:r>
        <w:rPr>
          <w:rFonts w:ascii="Times New Roman" w:hAnsi="Times New Roman"/>
          <w:b w:val="1"/>
        </w:rPr>
        <w:t>с детализацией соответствия</w:t>
      </w:r>
      <w:r>
        <w:rPr>
          <w:rFonts w:ascii="Times New Roman" w:hAnsi="Times New Roman"/>
          <w:b w:val="1"/>
        </w:rPr>
        <w:t xml:space="preserve"> трех предложенных в документе </w:t>
      </w:r>
      <w:r>
        <w:rPr>
          <w:rFonts w:ascii="Times New Roman" w:hAnsi="Times New Roman"/>
          <w:b w:val="1"/>
        </w:rPr>
        <w:t>«Краткое резюме»</w:t>
      </w:r>
      <w:r>
        <w:rPr>
          <w:rFonts w:ascii="Times New Roman" w:hAnsi="Times New Roman"/>
          <w:b w:val="1"/>
        </w:rPr>
        <w:t xml:space="preserve"> </w:t>
      </w:r>
      <w:r>
        <w:rPr>
          <w:rFonts w:ascii="Times New Roman" w:hAnsi="Times New Roman"/>
          <w:b w:val="1"/>
        </w:rPr>
        <w:t>мер, по улучшению процесса безопасной разработки ПО, положениям</w:t>
      </w:r>
      <w:r>
        <w:rPr>
          <w:rFonts w:ascii="Times New Roman" w:hAnsi="Times New Roman"/>
          <w:b w:val="1"/>
        </w:rPr>
        <w:t xml:space="preserve"> ГОСТ 56939-2024</w:t>
      </w:r>
      <w:r>
        <w:rPr>
          <w:rFonts w:ascii="Times New Roman" w:hAnsi="Times New Roman"/>
        </w:rPr>
        <w:t xml:space="preserve"> (1-2 страницы).</w:t>
      </w:r>
    </w:p>
    <w:p w14:paraId="49000000"/>
    <w:sectPr>
      <w:pgSz w:h="16838" w:orient="portrait" w:w="11906"/>
      <w:pgMar w:bottom="1440" w:footer="708" w:gutter="0" w:header="708" w:left="1440" w:right="144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basedOn w:val="Style_2"/>
    <w:link w:val="Style_8_ch"/>
    <w:uiPriority w:val="9"/>
    <w:qFormat/>
    <w:pPr>
      <w:widowControl w:val="1"/>
      <w:spacing w:afterAutospacing="on" w:beforeAutospacing="on"/>
      <w:ind/>
      <w:outlineLvl w:val="2"/>
    </w:pPr>
    <w:rPr>
      <w:rFonts w:ascii="Times New Roman" w:hAnsi="Times New Roman"/>
      <w:b w:val="1"/>
      <w:sz w:val="27"/>
    </w:rPr>
  </w:style>
  <w:style w:styleId="Style_8_ch" w:type="character">
    <w:name w:val="heading 3"/>
    <w:basedOn w:val="Style_2_ch"/>
    <w:link w:val="Style_8"/>
    <w:rPr>
      <w:rFonts w:ascii="Times New Roman" w:hAnsi="Times New Roman"/>
      <w:b w:val="1"/>
      <w:sz w:val="27"/>
    </w:rPr>
  </w:style>
  <w:style w:styleId="Style_9" w:type="paragraph">
    <w:name w:val="Strong"/>
    <w:basedOn w:val="Style_10"/>
    <w:link w:val="Style_9_ch"/>
    <w:rPr>
      <w:b w:val="1"/>
    </w:rPr>
  </w:style>
  <w:style w:styleId="Style_9_ch" w:type="character">
    <w:name w:val="Strong"/>
    <w:basedOn w:val="Style_10_ch"/>
    <w:link w:val="Style_9"/>
    <w:rPr>
      <w:b w:val="1"/>
    </w:rPr>
  </w:style>
  <w:style w:styleId="Style_11" w:type="paragraph">
    <w:name w:val="toc 3"/>
    <w:next w:val="Style_2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heading 5"/>
    <w:next w:val="Style_2"/>
    <w:link w:val="Style_12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2_ch" w:type="character">
    <w:name w:val="heading 5"/>
    <w:link w:val="Style_12"/>
    <w:rPr>
      <w:rFonts w:ascii="XO Thames" w:hAnsi="XO Thames"/>
      <w:b w:val="1"/>
      <w:sz w:val="22"/>
    </w:rPr>
  </w:style>
  <w:style w:styleId="Style_13" w:type="paragraph">
    <w:link w:val="Style_13_ch"/>
    <w:semiHidden w:val="1"/>
    <w:unhideWhenUsed w:val="1"/>
  </w:style>
  <w:style w:styleId="Style_13_ch" w:type="character">
    <w:link w:val="Style_13"/>
    <w:semiHidden w:val="1"/>
    <w:unhideWhenUsed w:val="1"/>
  </w:style>
  <w:style w:styleId="Style_14" w:type="paragraph">
    <w:name w:val="heading 1"/>
    <w:next w:val="Style_2"/>
    <w:link w:val="Style_14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4_ch" w:type="character">
    <w:name w:val="heading 1"/>
    <w:link w:val="Style_14"/>
    <w:rPr>
      <w:rFonts w:ascii="XO Thames" w:hAnsi="XO Thames"/>
      <w:b w:val="1"/>
      <w:sz w:val="32"/>
    </w:rPr>
  </w:style>
  <w:style w:styleId="Style_15" w:type="paragraph">
    <w:name w:val="Hyperlink"/>
    <w:link w:val="Style_15_ch"/>
    <w:rPr>
      <w:color w:val="0000FF"/>
      <w:u w:val="single"/>
    </w:rPr>
  </w:style>
  <w:style w:styleId="Style_15_ch" w:type="character">
    <w:name w:val="Hyperlink"/>
    <w:link w:val="Style_15"/>
    <w:rPr>
      <w:color w:val="0000FF"/>
      <w:u w:val="single"/>
    </w:rPr>
  </w:style>
  <w:style w:styleId="Style_16" w:type="paragraph">
    <w:name w:val="Footnote"/>
    <w:link w:val="Style_16_ch"/>
    <w:pPr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Footnote"/>
    <w:link w:val="Style_16"/>
    <w:rPr>
      <w:rFonts w:ascii="XO Thames" w:hAnsi="XO Thames"/>
      <w:sz w:val="22"/>
    </w:rPr>
  </w:style>
  <w:style w:styleId="Style_17" w:type="paragraph">
    <w:name w:val="toc 1"/>
    <w:next w:val="Style_2"/>
    <w:link w:val="Style_1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7_ch" w:type="character">
    <w:name w:val="toc 1"/>
    <w:link w:val="Style_17"/>
    <w:rPr>
      <w:rFonts w:ascii="XO Thames" w:hAnsi="XO Thames"/>
      <w:b w:val="1"/>
      <w:sz w:val="28"/>
    </w:rPr>
  </w:style>
  <w:style w:styleId="Style_18" w:type="paragraph">
    <w:name w:val="Header and Footer"/>
    <w:link w:val="Style_18_ch"/>
    <w:pPr>
      <w:spacing w:line="240" w:lineRule="auto"/>
      <w:ind/>
      <w:jc w:val="both"/>
    </w:pPr>
    <w:rPr>
      <w:rFonts w:ascii="XO Thames" w:hAnsi="XO Thames"/>
      <w:sz w:val="28"/>
    </w:rPr>
  </w:style>
  <w:style w:styleId="Style_18_ch" w:type="character">
    <w:name w:val="Header and Footer"/>
    <w:link w:val="Style_18"/>
    <w:rPr>
      <w:rFonts w:ascii="XO Thames" w:hAnsi="XO Thames"/>
      <w:sz w:val="28"/>
    </w:rPr>
  </w:style>
  <w:style w:styleId="Style_19" w:type="paragraph">
    <w:name w:val="toc 9"/>
    <w:next w:val="Style_2"/>
    <w:link w:val="Style_1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9_ch" w:type="character">
    <w:name w:val="toc 9"/>
    <w:link w:val="Style_19"/>
    <w:rPr>
      <w:rFonts w:ascii="XO Thames" w:hAnsi="XO Thames"/>
      <w:sz w:val="28"/>
    </w:rPr>
  </w:style>
  <w:style w:styleId="Style_20" w:type="paragraph">
    <w:name w:val="Normal (Web)"/>
    <w:basedOn w:val="Style_2"/>
    <w:link w:val="Style_20_ch"/>
    <w:pPr>
      <w:widowControl w:val="1"/>
      <w:spacing w:afterAutospacing="on" w:beforeAutospacing="on"/>
      <w:ind/>
    </w:pPr>
    <w:rPr>
      <w:rFonts w:ascii="Times New Roman" w:hAnsi="Times New Roman"/>
    </w:rPr>
  </w:style>
  <w:style w:styleId="Style_20_ch" w:type="character">
    <w:name w:val="Normal (Web)"/>
    <w:basedOn w:val="Style_2_ch"/>
    <w:link w:val="Style_20"/>
    <w:rPr>
      <w:rFonts w:ascii="Times New Roman" w:hAnsi="Times New Roman"/>
    </w:rPr>
  </w:style>
  <w:style w:styleId="Style_21" w:type="paragraph">
    <w:name w:val="toc 8"/>
    <w:next w:val="Style_2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22" w:type="paragraph">
    <w:name w:val="toc 5"/>
    <w:next w:val="Style_2"/>
    <w:link w:val="Style_2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2_ch" w:type="character">
    <w:name w:val="toc 5"/>
    <w:link w:val="Style_22"/>
    <w:rPr>
      <w:rFonts w:ascii="XO Thames" w:hAnsi="XO Thames"/>
      <w:sz w:val="28"/>
    </w:rPr>
  </w:style>
  <w:style w:styleId="Style_23" w:type="paragraph">
    <w:name w:val="Subtitle"/>
    <w:next w:val="Style_2"/>
    <w:link w:val="Style_23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3_ch" w:type="character">
    <w:name w:val="Subtitle"/>
    <w:link w:val="Style_23"/>
    <w:rPr>
      <w:rFonts w:ascii="XO Thames" w:hAnsi="XO Thames"/>
      <w:i w:val="1"/>
      <w:sz w:val="24"/>
    </w:rPr>
  </w:style>
  <w:style w:styleId="Style_24" w:type="paragraph">
    <w:name w:val="Title"/>
    <w:next w:val="Style_2"/>
    <w:link w:val="Style_24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4_ch" w:type="character">
    <w:name w:val="Title"/>
    <w:link w:val="Style_24"/>
    <w:rPr>
      <w:rFonts w:ascii="XO Thames" w:hAnsi="XO Thames"/>
      <w:b w:val="1"/>
      <w:caps w:val="1"/>
      <w:sz w:val="40"/>
    </w:rPr>
  </w:style>
  <w:style w:styleId="Style_25" w:type="paragraph">
    <w:name w:val="heading 4"/>
    <w:basedOn w:val="Style_2"/>
    <w:link w:val="Style_25_ch"/>
    <w:uiPriority w:val="9"/>
    <w:qFormat/>
    <w:pPr>
      <w:widowControl w:val="1"/>
      <w:spacing w:afterAutospacing="on" w:beforeAutospacing="on"/>
      <w:ind/>
      <w:outlineLvl w:val="3"/>
    </w:pPr>
    <w:rPr>
      <w:rFonts w:ascii="Times New Roman" w:hAnsi="Times New Roman"/>
      <w:b w:val="1"/>
    </w:rPr>
  </w:style>
  <w:style w:styleId="Style_25_ch" w:type="character">
    <w:name w:val="heading 4"/>
    <w:basedOn w:val="Style_2_ch"/>
    <w:link w:val="Style_25"/>
    <w:rPr>
      <w:rFonts w:ascii="Times New Roman" w:hAnsi="Times New Roman"/>
      <w:b w:val="1"/>
    </w:rPr>
  </w:style>
  <w:style w:styleId="Style_26" w:type="paragraph">
    <w:name w:val="heading 2"/>
    <w:next w:val="Style_2"/>
    <w:link w:val="Style_26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6_ch" w:type="character">
    <w:name w:val="heading 2"/>
    <w:link w:val="Style_26"/>
    <w:rPr>
      <w:rFonts w:ascii="XO Thames" w:hAnsi="XO Thames"/>
      <w:b w:val="1"/>
      <w:sz w:val="28"/>
    </w:rPr>
  </w:style>
  <w:style w:default="1" w:styleId="Style_27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Table Grid"/>
    <w:basedOn w:val="Style_27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2026-01-12T12:36:00Z</dcterms:created>
  <dcterms:modified xsi:type="dcterms:W3CDTF">2026-01-12T12:44:00Z</dcterms:modified>
</cp:coreProperties>
</file>