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Participant Number: 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1: Emma Hanson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2: </w:t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Age: 20</w:t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Gender: Female</w:t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Highest Level of Education: Some College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Internet: yes</w:t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Access to Devices: Yes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In-Task Data Collection</w:t>
      </w:r>
    </w:p>
    <w:p w:rsidR="00000000" w:rsidDel="00000000" w:rsidP="00000000" w:rsidRDefault="00000000" w:rsidRPr="00000000" w14:paraId="0000000C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1560"/>
        <w:gridCol w:w="1560"/>
        <w:gridCol w:w="1560"/>
        <w:gridCol w:w="1560"/>
        <w:tblGridChange w:id="0">
          <w:tblGrid>
            <w:gridCol w:w="1455"/>
            <w:gridCol w:w="166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Completion (Y/N)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Time to Completion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Clarifying Questions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Notes(errors/difficulties)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1:24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079999999999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spacing w:after="200" w:before="0" w:lineRule="auto"/>
        <w:rPr>
          <w:rFonts w:ascii="Nunito" w:cs="Nunito" w:eastAsia="Nunito" w:hAnsi="Nunito"/>
          <w:b w:val="1"/>
        </w:rPr>
      </w:pPr>
      <w:bookmarkStart w:colFirst="0" w:colLast="0" w:name="_nod1l4gwv11p" w:id="0"/>
      <w:bookmarkEnd w:id="0"/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rtl w:val="0"/>
        </w:rPr>
        <w:t xml:space="preserve">End State Data Collection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3120"/>
        <w:gridCol w:w="3120"/>
        <w:tblGridChange w:id="0">
          <w:tblGrid>
            <w:gridCol w:w="1455"/>
            <w:gridCol w:w="166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Ease of Use Rating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Anything Confusing?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Notes(errors/difficulties)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“straightforward”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Going through get involve not donate, thinking of donating time first not volunteering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Open-Ended Questions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gridCol w:w="4995"/>
        <w:tblGridChange w:id="0">
          <w:tblGrid>
            <w:gridCol w:w="436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How pleased are you with the design of the website on a scale of 1 to 5 with 1 being unhappy and 5 being pleased?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5, easy to navigate, color-coordinated, not too simple but not overwhelming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How satisfied were you with the aesthetics of the visual design on a scale of 1 to 5 with 1 being unhappy and 5 being pleased?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5, colors were nice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If you could describe your experience with the website in 3 adjectives, what would they be?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Ease-of-use, pleasing, straightforward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aspects of the website did you like or enjoy?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The colors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would you change about the website for users who were completing the tasks that you just did?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Volunteering as an option for donating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Other Notes: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