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Questions should: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something about our stakeholders, needs/tasks, constraints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answered from archival data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common forms of transportation of your users?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there people that need your support that can’t reach you?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currently support people that cannot access your support?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transportation issues prevent you from achieving your goal of solving hunger?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methods would be best to communicate with people with limited accessibility?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demographic of current users?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common space that users tend to congregate?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users have access to in terms of communication/technology?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users have any disabilities?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limited is transportation among the users?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Where do the majority of users live?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schools do users attend?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methods of media would work best to appeal to those who don’t have access to mobility?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has COVID-19 changed the way ACFB serves those in the community?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Is there a group of people that ACFB should serve but struggled to connect with?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Tim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common forms of transportation of your users?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Are there people that need your support that can’t reach you?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you currently support people that cannot access your support?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 transportation issues prevent you from achieving your goal of solving hunger?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methods would be best to communicate with people with limited accessibility?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Erin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the users?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the users often go?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users have access to in terms of communication/technology?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users have any disabilities?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the users have access to in terms of transportation?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Hannah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the primary location of the problem space?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common areas the users are located?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disabilities do users have that need to be accounted for?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age range of the users?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limited is transportation among the users?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Philena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majority of users live?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schools do users attend?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percentage of users do not have access to mobility?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common spaces that users live in?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methods of media would work best to appeal to those who don’t have access to mobility?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Emma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ACFB typically reach out to those it serves?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communication struggles has ACFB encountered in the past reaching out to that group of people?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has COVID-19 changed the way ACFB serves those in the community?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 group of people that ACFB should serve but struggled to connect with?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those in the communities that ACFB serves typically have access to communication devices such as cell phones? If not, what are their primary means of communication?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