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6" w:name="lamp:wdcnn_fsm"/>
    <w:p>
      <w:pPr>
        <w:pStyle w:val="Lampiran"/>
      </w:pPr>
      <w:r>
        <w:t xml:space="preserve">Lampiran G </w:t>
      </w:r>
      <w:r>
        <w:t xml:space="preserve">Detail Arsitektur WDCNN dan</w:t>
      </w:r>
      <w:r>
        <w:t xml:space="preserve"> </w:t>
      </w:r>
      <w:r>
        <w:rPr>
          <w:i/>
          <w:iCs/>
        </w:rPr>
        <w:t xml:space="preserve">Fault Signature Maps</w:t>
      </w:r>
    </w:p>
    <w:p>
      <w:pPr>
        <w:pStyle w:val="Paragraf"/>
      </w:pPr>
    </w:p>
    <w:p>
      <w:pPr>
        <w:pStyle w:val="Paragraf"/>
      </w:pPr>
      <w:r>
        <w:t xml:space="preserve">Lampiran ini memuat rincian teknis arsitektur</w:t>
      </w:r>
      <w:r>
        <w:t xml:space="preserve"> </w:t>
      </w:r>
      <w:r>
        <w:rPr>
          <w:i/>
          <w:iCs/>
        </w:rPr>
        <w:t xml:space="preserve">Wide-kernel Deep</w:t>
      </w:r>
      <w:r>
        <w:rPr>
          <w:i/>
          <w:iCs/>
        </w:rPr>
        <w:t xml:space="preserve"> </w:t>
      </w:r>
      <w:r>
        <w:rPr>
          <w:i/>
          <w:iCs/>
        </w:rPr>
        <w:t xml:space="preserve">Convolutional Neural Network</w:t>
      </w:r>
      <w:r>
        <w:t xml:space="preserve"> </w:t>
      </w:r>
      <w:r>
        <w:t xml:space="preserve">(WDCNN), konfigurasi pelatihan,</w:t>
      </w:r>
      <w:r>
        <w:t xml:space="preserve"> </w:t>
      </w:r>
      <w:r>
        <w:t xml:space="preserve">studi ablasi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, dan prosedur komputasi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yang disajikan di</w:t>
      </w:r>
      <w:r>
        <w:t xml:space="preserve"> </w:t>
      </w:r>
      <w:r>
        <w:t xml:space="preserve">Bab IV Subbab IV.4–Subbab IV.6.</w:t>
      </w:r>
      <w:r>
        <w:t xml:space="preserve"> </w:t>
      </w:r>
      <w:r>
        <w:t xml:space="preserve">Seluruh eksperimen dapat direproduksi melalui</w:t>
      </w:r>
      <w:r>
        <w:t xml:space="preserve"> </w:t>
      </w:r>
      <w:r>
        <w:rPr>
          <w:rStyle w:val="VerbatimChar"/>
        </w:rPr>
        <w:t xml:space="preserve">Notebook/Journal1_Fault_Signature_Maps.ipynb</w:t>
      </w:r>
      <w:r>
        <w:t xml:space="preserve"> </w:t>
      </w:r>
      <w:r>
        <w:t xml:space="preserve">pada repositori publik (Lampiran C).</w:t>
      </w:r>
    </w:p>
    <w:p>
      <w:pPr>
        <w:pStyle w:val="Paragraf"/>
      </w:pPr>
    </w:p>
    <w:bookmarkStart w:id="36" w:name="lamp:wdcnn_arsitektur"/>
    <w:p>
      <w:pPr>
        <w:pStyle w:val="Lampiransub1"/>
      </w:pPr>
      <w:r>
        <w:t xml:space="preserve">G.1 </w:t>
      </w:r>
      <w:r>
        <w:t xml:space="preserve">Arsitektur WDCNN Lengkap</w:t>
      </w:r>
    </w:p>
    <w:p>
      <w:pPr>
        <w:pStyle w:val="Paragraf"/>
      </w:pPr>
    </w:p>
    <w:p>
      <w:pPr>
        <w:pStyle w:val="Paragraf"/>
      </w:pPr>
      <w:r>
        <w:t xml:space="preserve">WDCNN </w:t>
      </w:r>
      <w:r>
        <w:t xml:space="preserve">(Zhang dkk., 2017)</w:t>
      </w:r>
      <w:r>
        <w:t xml:space="preserve"> </w:t>
      </w:r>
      <w:r>
        <w:t xml:space="preserve">dirancang dengan lapisan konvolusi</w:t>
      </w:r>
      <w:r>
        <w:t xml:space="preserve"> </w:t>
      </w:r>
      <w:r>
        <w:t xml:space="preserve">pertama berkernel lebar untuk mengekstrak fitur</w:t>
      </w:r>
      <w:r>
        <w:t xml:space="preserve"> </w:t>
      </w:r>
      <w:r>
        <w:rPr>
          <w:i/>
          <w:iCs/>
        </w:rPr>
        <w:t xml:space="preserve">frequency-aware</w:t>
      </w:r>
      <w:r>
        <w:t xml:space="preserve"> </w:t>
      </w:r>
      <w:r>
        <w:t xml:space="preserve">langsung dari sinyal mentah, tanpa praproses ekstraksi fitur manual.</w:t>
      </w:r>
      <w:r>
        <w:t xml:space="preserve"> </w:t>
      </w:r>
      <w:r>
        <w:t xml:space="preserve">Lima lapisan konvolusi diikuti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dan kepala</w:t>
      </w:r>
      <w:r>
        <w:t xml:space="preserve"> </w:t>
      </w:r>
      <w:r>
        <w:rPr>
          <w:i/>
          <w:iCs/>
        </w:rPr>
        <w:t xml:space="preserve">softmax</w:t>
      </w:r>
      <w:r>
        <w:t xml:space="preserve"> </w:t>
      </w:r>
      <w:r>
        <w:t xml:space="preserve">untuk 10 kelas. Spesifikasi lengkap setiap</w:t>
      </w:r>
      <w:r>
        <w:t xml:space="preserve"> </w:t>
      </w:r>
      <w:r>
        <w:t xml:space="preserve">lapisan beserta jumlah parameter disajikan pada</w:t>
      </w:r>
      <w:r>
        <w:t xml:space="preserve"> </w:t>
      </w:r>
      <w:r>
        <w:t xml:space="preserve">Tabel </w:t>
      </w:r>
      <w:fldSimple w:instr=" REF tab_lampG_arsitektur_wdcnn \h ">
        <w:r>
          <w:t xml:space="preserve">G.1</w:t>
        </w:r>
      </w:fldSimple>
      <w:r>
        <w:t xml:space="preserve">.</w:t>
      </w:r>
    </w:p>
    <w:p>
      <w:pPr>
        <w:pStyle w:val="Paragraf"/>
      </w:pPr>
    </w:p>
    <w:bookmarkStart w:id="35" w:name="tab:lampG_arsitektur_wdcnn"/>
    <w:p>
      <w:pPr>
        <w:pStyle w:val="judulTabel"/>
      </w:pPr>
      <w:r>
        <w:t xml:space="preserve">Tabel </w:t>
      </w:r>
      <w:bookmarkStart w:id="47" w:name="tab_lampG_arsitektur_wdcnn"/>
      <w:r>
        <w:t xml:space="preserve">G.</w:t>
      </w:r>
      <w:fldSimple w:instr=" SEQ TabelLampG \* ARABIC ">
        <w:r>
          <w:t xml:space="preserve">1</w:t>
        </w:r>
      </w:fldSimple>
      <w:bookmarkEnd w:id="47"/>
      <w:r>
        <w:t xml:space="preserve"> </w:t>
      </w:r>
      <w:r>
        <w:t xml:space="preserve">Arsitektur WDCNN varian A (baseline) untuk klasifikasi</w:t>
      </w:r>
      <w:r>
        <w:t xml:space="preserve"> </w:t>
      </w:r>
      <w:r>
        <w:t xml:space="preserve">10 kelas CWRU. Total parameter ≈ 60.710.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,</w:t>
      </w:r>
      <w:r>
        <w:t xml:space="preserve"> </w:t>
      </w:r>
      <w:r>
        <w:t xml:space="preserve">adaptasi dari</w:t>
      </w:r>
      <w:r>
        <w:t xml:space="preserve"> </w:t>
      </w:r>
      <w:r>
        <w:t xml:space="preserve">(Zhang dkk., 2017)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rsitektur WDCNN varian A (baseline) untuk klasifikasi 10 kelas CWRU. Total parameter ≈ 60.710. Sumber: (Suharto dan lainnya, 2025), adaptasi dari (Zhang dkk., 2017)."/>
        <w:tblLayout w:type="fixed"/>
      </w:tblPr>
      <w:tblGrid>
        <w:gridCol w:w="1133"/>
        <w:gridCol w:w="1133"/>
        <w:gridCol w:w="1699"/>
        <w:gridCol w:w="1699"/>
        <w:gridCol w:w="1133"/>
        <w:gridCol w:w="1136"/>
      </w:tblGrid>
      <w:tr>
        <w:trPr>
          <w:tblHeader w:val="on"/>
        </w:trPr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Lapis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Kernel / Unit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Konfigurasi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Output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=64,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=16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16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valid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(1, 124, 16)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1.040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32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(1, 62, 32)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1.568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(1, 31, 64)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6.272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(1, 15, 64)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12.416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(1, 7, 64)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12.416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6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Flatten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(1, 448)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7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ReLU + Dropout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  <w:r>
              <w:t xml:space="preserve"> </w:t>
            </w:r>
            <w:r>
              <w:t xml:space="preserve">0,5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44.900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8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ReLU + Dropout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  <w:r>
              <w:t xml:space="preserve"> </w:t>
            </w:r>
            <w:r>
              <w:t xml:space="preserve">0,5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10.100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9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Softmax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1.010</w:t>
            </w:r>
          </w:p>
        </w:tc>
      </w:tr>
      <w:tr>
        <w:tc>
          <w:tcPr>
            <w:gridSpan w:val="5"/>
            <w:tcW w:w="6797" w:type="dxa"/>
          </w:tcPr>
          <w:p>
            <w:pPr>
              <w:pStyle w:val="IsiTabel"/>
              <w:jc w:val="center"/>
            </w:pPr>
            <w:r>
              <w:t xml:space="preserve"/>
            </w:r>
            <w:r>
              <w:rPr>
                <w:b/>
                <w:bCs/>
              </w:rPr>
              <w:t xml:space="preserve">Total parameter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≈ 60.710</w:t>
            </w:r>
          </w:p>
        </w:tc>
      </w:tr>
    </w:tbl>
    <w:p>
      <w:pPr>
        <w:pStyle w:val="Paragraf"/>
      </w:pPr>
    </w:p>
    <w:bookmarkEnd w:id="35"/>
    <w:p>
      <w:pPr>
        <w:pStyle w:val="Paragraf"/>
      </w:pPr>
      <w:r>
        <w:t xml:space="preserve">Lapisan pertama (lapis 1) menggunakan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lebar</w:t>
      </w:r>
      <w:r>
        <w:t xml:space="preserve"> </w:t>
      </w:r>
      <w:r>
        <w:rPr>
          <w:i/>
          <w:iCs/>
        </w:rPr>
        <w:t xml:space="preserve">k</w:t>
      </w:r>
      <w:r>
        <w:t xml:space="preserve">=64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rPr>
          <w:i/>
          <w:iCs/>
        </w:rPr>
        <w:t xml:space="preserve">s</w:t>
      </w:r>
      <w:r>
        <w:t xml:space="preserve">=16, yang berarti setiap filter mengamati</w:t>
      </w:r>
      <w:r>
        <w:t xml:space="preserve"> </w:t>
      </w:r>
      <w:r>
        <w:t xml:space="preserve">rentang temporal 64/1500 Hz ≈ 42,67 ms pada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48 kHz CWRU. Rentang ini cukup lebar untuk menangkap</w:t>
      </w:r>
      <w:r>
        <w:t xml:space="preserve"> </w:t>
      </w:r>
      <w:r>
        <w:t xml:space="preserve">morfologi impuls transien yang karakteristik bagi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,</w:t>
      </w:r>
      <w:r>
        <w:t xml:space="preserve"> </w:t>
      </w:r>
      <w:r>
        <w:t xml:space="preserve">sekaligus memberikan reduksi dimensi agresif dari 2.048 ke 124 titik</w:t>
      </w:r>
      <w:r>
        <w:t xml:space="preserve"> </w:t>
      </w:r>
      <w:r>
        <w:t xml:space="preserve">pada keluaran lapis 1.</w:t>
      </w:r>
    </w:p>
    <w:p>
      <w:pPr>
        <w:pStyle w:val="Paragraf"/>
      </w:pPr>
    </w:p>
    <w:bookmarkEnd w:id="36"/>
    <w:bookmarkStart w:id="38" w:name="lamp:wdcnn_training"/>
    <w:p>
      <w:pPr>
        <w:pStyle w:val="Lampiransub1"/>
      </w:pPr>
      <w:r>
        <w:t xml:space="preserve">G.2 </w:t>
      </w:r>
      <w:r>
        <w:t xml:space="preserve">Konfigurasi Pelatihan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G_training \h ">
        <w:r>
          <w:t xml:space="preserve">G.2</w:t>
        </w:r>
      </w:fldSimple>
      <w:r>
        <w:t xml:space="preserve"> merinci seluruh konfigurasi</w:t>
      </w:r>
      <w:r>
        <w:t xml:space="preserve"> </w:t>
      </w:r>
      <w:r>
        <w:t xml:space="preserve">pelatihan yang digunakan pada eksperimen utama WDCNN varian A.</w:t>
      </w:r>
    </w:p>
    <w:p>
      <w:pPr>
        <w:pStyle w:val="Paragraf"/>
      </w:pPr>
    </w:p>
    <w:bookmarkStart w:id="37" w:name="tab:lampG_training"/>
    <w:p>
      <w:pPr>
        <w:pStyle w:val="judulTabel"/>
      </w:pPr>
      <w:r>
        <w:t xml:space="preserve">Tabel </w:t>
      </w:r>
      <w:bookmarkStart w:id="48" w:name="tab_lampG_training"/>
      <w:r>
        <w:t xml:space="preserve">G.</w:t>
      </w:r>
      <w:fldSimple w:instr=" SEQ TabelLampG \* ARABIC ">
        <w:r>
          <w:t xml:space="preserve">2</w:t>
        </w:r>
      </w:fldSimple>
      <w:bookmarkEnd w:id="48"/>
      <w:r>
        <w:t xml:space="preserve"> </w:t>
      </w:r>
      <w:r>
        <w:t xml:space="preserve">Konfigurasi pelatihan WDCNN varian A (baseline) pada</w:t>
      </w:r>
      <w:r>
        <w:t xml:space="preserve"> </w:t>
      </w:r>
      <w:r>
        <w:t xml:space="preserve">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WDCNN varian A (baseline)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Adam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Learning rate</w:t>
            </w:r>
            <w:r>
              <w:t xml:space="preserve"> </w:t>
            </w:r>
            <w:r>
              <w:t xml:space="preserve">awal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Scheduler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StepLR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step_size</w:t>
            </w:r>
            <w:r>
              <w:t xml:space="preserve">=20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Loss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CrossEntropyLoss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reduction</w:t>
            </w:r>
            <w:r>
              <w:t xml:space="preserve">=</w:t>
            </w:r>
            <w:r>
              <w:rPr>
                <w:rStyle w:val="VerbatimChar"/>
              </w:rPr>
              <w:t xml:space="preserve">mean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Batch size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maksimal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100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Early stopping</w:t>
            </w:r>
            <w:r>
              <w:t xml:space="preserve"> </w:t>
            </w:r>
            <w:r>
              <w:t xml:space="preserve">membatasi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Early stopping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Kesabaran 15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Dipantau pada</w:t>
            </w:r>
            <w:r>
              <w:t xml:space="preserve"> </w:t>
            </w:r>
            <w:r>
              <w:rPr>
                <w:i/>
                <w:iCs/>
              </w:rPr>
              <w:t xml:space="preserve">val accuracy</w:t>
            </w:r>
            <w:r>
              <w:t xml:space="preserve">; terbaik pada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 54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0,5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Hanya lapis FC 7 dan FC 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Normalisasi input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Z-score</w:t>
            </w:r>
            <w:r>
              <w:t xml:space="preserve"> </w:t>
            </w:r>
            <w:r>
              <w:rPr>
                <w:i/>
                <w:iCs/>
              </w:rPr>
              <w:t xml:space="preserve">fit-on-train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Rata-rata dan standar deviasi dari 1.240 sampel pelatihan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Random seed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PyTorch + NumPy + Python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</w:tbl>
    <w:p>
      <w:pPr>
        <w:pStyle w:val="Paragraf"/>
      </w:pPr>
    </w:p>
    <w:bookmarkEnd w:id="37"/>
    <w:bookmarkEnd w:id="38"/>
    <w:bookmarkStart w:id="39" w:name="lamp:wdcnn_konvergensi"/>
    <w:p>
      <w:pPr>
        <w:pStyle w:val="Lampiransub1"/>
      </w:pPr>
      <w:r>
        <w:t xml:space="preserve">G.3 </w:t>
      </w:r>
      <w:r>
        <w:t xml:space="preserve">Kurva Konvergensi</w:t>
      </w:r>
    </w:p>
    <w:p>
      <w:pPr>
        <w:pStyle w:val="Paragraf"/>
      </w:pPr>
    </w:p>
    <w:p>
      <w:pPr>
        <w:pStyle w:val="Paragraf"/>
      </w:pPr>
      <w:r>
        <w:t xml:space="preserve">Kurva konvergensi pelatihan WDCNN disajikan pada</w:t>
      </w:r>
      <w:r>
        <w:t xml:space="preserve"> </w:t>
      </w:r>
      <w:r>
        <w:t xml:space="preserve">Gambar IV.4 di Bab IV.</w:t>
      </w:r>
      <w:r>
        <w:t xml:space="preserve"> </w:t>
      </w:r>
      <w:r>
        <w:t xml:space="preserve">Model mencapai akurasi validasi tertinggi pada</w:t>
      </w:r>
      <w:r>
        <w:t xml:space="preserve"> </w:t>
      </w:r>
      <w:r>
        <w:rPr>
          <w:i/>
          <w:iCs/>
        </w:rPr>
        <w:t xml:space="preserve">epoch</w:t>
      </w:r>
      <w:r>
        <w:t xml:space="preserve"> 54 dengan</w:t>
      </w:r>
      <w:r>
        <w:t xml:space="preserve"> </w:t>
      </w:r>
      <w:r>
        <w:t xml:space="preserve">akurasi uji 99,87% (749/750 sampel) dan</w:t>
      </w:r>
      <w:r>
        <w:t xml:space="preserve"> </w:t>
      </w:r>
      <w:r>
        <w:rPr>
          <w:i/>
          <w:iCs/>
        </w:rPr>
        <w:t xml:space="preserve">macro F1</w:t>
      </w:r>
      <w:r>
        <w:t xml:space="preserve"> 0,997.</w:t>
      </w:r>
      <w:r>
        <w:t xml:space="preserve"> </w:t>
      </w:r>
      <w:r>
        <w:t xml:space="preserve">Kurva menunjukkan konvergensi yang stabil tanpa osilasi signifikan,</w:t>
      </w:r>
      <w:r>
        <w:t xml:space="preserve"> </w:t>
      </w:r>
      <w:r>
        <w:t xml:space="preserve">mengindikasikan bahwa kombinasi StepLR dan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berfungsi efektif untuk dataset CWRU dengan ukuran pelatihan 1.240</w:t>
      </w:r>
      <w:r>
        <w:t xml:space="preserve"> </w:t>
      </w:r>
      <w:r>
        <w:t xml:space="preserve">sampel.</w:t>
      </w:r>
    </w:p>
    <w:p>
      <w:pPr>
        <w:pStyle w:val="Paragraf"/>
      </w:pPr>
    </w:p>
    <w:bookmarkEnd w:id="39"/>
    <w:bookmarkStart w:id="41" w:name="lamp:wdcnn_ablasi_kernel"/>
    <w:p>
      <w:pPr>
        <w:pStyle w:val="Lampiransub1"/>
      </w:pPr>
      <w:r>
        <w:t xml:space="preserve">G.4 </w:t>
      </w:r>
      <w:r>
        <w:t xml:space="preserve">Studi Ablasi: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 Pertama</w:t>
      </w:r>
    </w:p>
    <w:p>
      <w:pPr>
        <w:pStyle w:val="Paragraf"/>
      </w:pPr>
    </w:p>
    <w:p>
      <w:pPr>
        <w:pStyle w:val="Paragraf"/>
      </w:pPr>
      <w:r>
        <w:t xml:space="preserve">Selain studi ablasi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yang dibahas di</w:t>
      </w:r>
      <w:r>
        <w:t xml:space="preserve"> </w:t>
      </w:r>
      <w:r>
        <w:t xml:space="preserve">Bab IV Subbab IV.4.2, dilakukan</w:t>
      </w:r>
      <w:r>
        <w:t xml:space="preserve"> </w:t>
      </w:r>
      <w:r>
        <w:t xml:space="preserve">pula evaluasi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 pertama untuk</w:t>
      </w:r>
      <w:r>
        <w:t xml:space="preserve"> </w:t>
      </w:r>
      <w:r>
        <w:t xml:space="preserve">memahami sensitivitas arsitektur terhadap pilihan rentang temporal</w:t>
      </w:r>
      <w:r>
        <w:t xml:space="preserve"> </w:t>
      </w:r>
      <w:r>
        <w:t xml:space="preserve">yang diamati. Tabel </w:t>
      </w:r>
      <w:fldSimple w:instr=" REF tab_lampG_ablasi_kernel \h ">
        <w:r>
          <w:t xml:space="preserve">G.3</w:t>
        </w:r>
      </w:fldSimple>
      <w:r>
        <w:t xml:space="preserve"> merangkum hasil</w:t>
      </w:r>
      <w:r>
        <w:t xml:space="preserve"> </w:t>
      </w:r>
      <w:r>
        <w:t xml:space="preserve">untuk tiga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: 32, 64 (baseline), dan 128.</w:t>
      </w:r>
    </w:p>
    <w:p>
      <w:pPr>
        <w:pStyle w:val="Paragraf"/>
      </w:pPr>
    </w:p>
    <w:bookmarkStart w:id="40" w:name="tab:lampG_ablasi_kernel"/>
    <w:p>
      <w:pPr>
        <w:pStyle w:val="judulTabel"/>
      </w:pPr>
      <w:r>
        <w:t xml:space="preserve">Tabel </w:t>
      </w:r>
      <w:bookmarkStart w:id="49" w:name="tab_lampG_ablasi_kernel"/>
      <w:r>
        <w:t xml:space="preserve">G.</w:t>
      </w:r>
      <w:fldSimple w:instr=" SEQ TabelLampG \* ARABIC ">
        <w:r>
          <w:t xml:space="preserve">3</w:t>
        </w:r>
      </w:fldSimple>
      <w:bookmarkEnd w:id="49"/>
      <w:r>
        <w:t xml:space="preserve"> </w:t>
      </w:r>
      <w:r>
        <w:t xml:space="preserve">Studi ablasi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lapisan pertama</w:t>
      </w:r>
      <w:r>
        <w:t xml:space="preserve"> </w:t>
      </w:r>
      <w:r>
        <w:t xml:space="preserve">WDCNN pada dataset CWRU. Semua varian menggunakan</w:t>
      </w:r>
      <w:r>
        <w:t xml:space="preserve"> </w:t>
      </w:r>
      <w:r>
        <w:rPr>
          <w:i/>
          <w:iCs/>
        </w:rPr>
        <w:t xml:space="preserve">stride</w:t>
      </w:r>
      <w:r>
        <w:t xml:space="preserve"> 16 dan konfigurasi pelatihan identik.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Studi ablasi variasi ukuran kernel lapisan pertama WDCNN pada dataset CWRU. Semua varian menggunakan stride 16 dan konfigurasi pelatihan identik. Sumber: (Suharto dan lainnya, 2025)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Kernel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Rentang Temporal (ms)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Macro F1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Discriminability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 Lapis 1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=32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21,3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98,93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0,989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0,152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512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=64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42,7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99,73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0,997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0,216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1.024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=128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85,3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99,60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0,996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0,201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2.048</w:t>
            </w:r>
          </w:p>
        </w:tc>
      </w:tr>
    </w:tbl>
    <w:p>
      <w:pPr>
        <w:pStyle w:val="Paragraf"/>
      </w:pPr>
    </w:p>
    <w:bookmarkEnd w:id="40"/>
    <w:p>
      <w:pPr>
        <w:pStyle w:val="Paragraf"/>
      </w:pPr>
      <w:r>
        <w:t xml:space="preserve">Varian</w:t>
      </w:r>
      <w:r>
        <w:t xml:space="preserve"> </w:t>
      </w:r>
      <w:r>
        <w:rPr>
          <w:i/>
          <w:iCs/>
        </w:rPr>
        <w:t xml:space="preserve">k</w:t>
      </w:r>
      <w:r>
        <w:t xml:space="preserve">=64 memberikan keseimbangan terbaik antara akurasi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. Nilai</w:t>
      </w:r>
      <w:r>
        <w:t xml:space="preserve"> </w:t>
      </w:r>
      <w:r>
        <w:rPr>
          <w:i/>
          <w:iCs/>
        </w:rPr>
        <w:t xml:space="preserve">k</w:t>
      </w:r>
      <w:r>
        <w:t xml:space="preserve">=32 menghasilkan akurasi</w:t>
      </w:r>
      <w:r>
        <w:t xml:space="preserve"> </w:t>
      </w:r>
      <w:r>
        <w:t xml:space="preserve">yang lebih rendah karena rentang temporalnya lebih pendek daripada</w:t>
      </w:r>
      <w:r>
        <w:t xml:space="preserve"> </w:t>
      </w:r>
      <w:r>
        <w:t xml:space="preserve">durasi tipikal transien impuls pada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( 40–50 ms</w:t>
      </w:r>
      <w:r>
        <w:t xml:space="preserve"> </w:t>
      </w:r>
      <w:r>
        <w:t xml:space="preserve">pada 48 kHz), sehingga tidak menangkap morfologi penuh. Varian</w:t>
      </w:r>
      <w:r>
        <w:t xml:space="preserve"> </w:t>
      </w:r>
      <w:r>
        <w:rPr>
          <w:i/>
          <w:iCs/>
        </w:rPr>
        <w:t xml:space="preserve">k</w:t>
      </w:r>
      <w:r>
        <w:t xml:space="preserve">=128 memberikan akurasi sedikit lebih rendah karena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yang terlalu lebar cenderung menghaluskan detail impuls transien.</w:t>
      </w:r>
    </w:p>
    <w:p>
      <w:pPr>
        <w:pStyle w:val="Paragraf"/>
      </w:pPr>
    </w:p>
    <w:bookmarkEnd w:id="41"/>
    <w:bookmarkStart w:id="42" w:name="lamp:wdcnn_shap_proc"/>
    <w:p>
      <w:pPr>
        <w:pStyle w:val="Lampiransub1"/>
      </w:pPr>
      <w:r>
        <w:t xml:space="preserve">G.5 </w:t>
      </w:r>
      <w:r>
        <w:t xml:space="preserve">FSM: Prosedur Komputasi SHAP DeepExplainer</w:t>
      </w:r>
    </w:p>
    <w:p>
      <w:pPr>
        <w:pStyle w:val="Paragraf"/>
      </w:pPr>
    </w:p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Fault Signature Map</w:t>
      </w:r>
      <w:r>
        <w:t xml:space="preserve"> </w:t>
      </w:r>
      <w:r>
        <w:t xml:space="preserve">dihitung dari keluaran</w:t>
      </w:r>
      <w:r>
        <w:t xml:space="preserve"> </w:t>
      </w:r>
      <w:r>
        <w:t xml:space="preserve">SHAP DeepExplainer </w:t>
      </w:r>
      <w:r>
        <w:t xml:space="preserve">(Shrikumar dkk., 2017)</w:t>
      </w:r>
      <w:r>
        <w:t xml:space="preserve"> </w:t>
      </w:r>
      <w:r>
        <w:t xml:space="preserve">pada model</w:t>
      </w:r>
      <w:r>
        <w:t xml:space="preserve"> </w:t>
      </w:r>
      <w:r>
        <w:t xml:space="preserve">WDCNN yang sudah dilatih. Prosedur lengkap adalah sebagai berikut.</w:t>
      </w:r>
    </w:p>
    <w:p>
      <w:pPr>
        <w:pStyle w:val="Paragraf"/>
      </w:pPr>
    </w:p>
    <w:p>
      <w:pPr>
        <w:pStyle w:val="Paragraf"/>
      </w:pPr>
      <w:r>
        <w:t xml:space="preserve">Pertama, disiapkan set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sebanyak 300 sampel</w:t>
      </w:r>
      <w:r>
        <w:t xml:space="preserve"> </w:t>
      </w:r>
      <w:r>
        <w:t xml:space="preserve">(30 sampel per kelas, dipilih secara acak tanpa penggantian dari</w:t>
      </w:r>
      <w:r>
        <w:t xml:space="preserve"> </w:t>
      </w:r>
      <w:r>
        <w:t xml:space="preserve">set pelatihan).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ini digunakan SHAP untuk</w:t>
      </w:r>
      <w:r>
        <w:t xml:space="preserve"> </w:t>
      </w:r>
      <w:r>
        <w:t xml:space="preserve">mengestimasi nilai referensi aktivasi pada setiap lapisan.</w:t>
      </w:r>
      <w:r>
        <w:t xml:space="preserve"> </w:t>
      </w:r>
      <w:r>
        <w:t xml:space="preserve">Kedua, SHAP DeepExplainer diinisialisasi dengan model terlatih</w:t>
      </w:r>
      <w:r>
        <w:t xml:space="preserve"> </w:t>
      </w:r>
      <w:r>
        <w:t xml:space="preserve">dan set</w:t>
      </w:r>
      <w:r>
        <w:t xml:space="preserve"> </w:t>
      </w:r>
      <w:r>
        <w:rPr>
          <w:i/>
          <w:iCs/>
        </w:rPr>
        <w:t xml:space="preserve">background</w:t>
      </w:r>
      <w:r>
        <w:t xml:space="preserve">. Ketiga, nilai atribusi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dihitung untuk 500 sampel uji (50 sampel per kelas), menghasilkan</w:t>
      </w:r>
      <w:r>
        <w:t xml:space="preserve"> </w:t>
      </w:r>
      <w:r>
        <w:t xml:space="preserve">10 × 500 × 2048 = 10,24 juta nilai SHAP.</w:t>
      </w:r>
    </w:p>
    <w:p>
      <w:pPr>
        <w:pStyle w:val="Paragraf"/>
      </w:pPr>
    </w:p>
    <w:p>
      <w:pPr>
        <w:pStyle w:val="Paragraf"/>
      </w:pPr>
      <w:r>
        <w:t xml:space="preserve">Waktu komputasi pada GPU NVIDIA A40 berkisar</w:t>
      </w:r>
      <w:r>
        <w:t xml:space="preserve"> </w:t>
      </w:r>
      <w:r>
        <w:t xml:space="preserve">± 3 menit untuk keseluruhan 5.000 pasang (sampel, kelas). Pada</w:t>
      </w:r>
      <w:r>
        <w:t xml:space="preserve"> </w:t>
      </w:r>
      <w:r>
        <w:t xml:space="preserve">CPU saja, komputasi memerlukan sekitar 45 menit. Nilai atribusi</w:t>
      </w:r>
      <w:r>
        <w:t xml:space="preserve"> </w:t>
      </w:r>
      <w:r>
        <w:t xml:space="preserve">disimpan dalam format</w:t>
      </w:r>
      <w:r>
        <w:t xml:space="preserve"> </w:t>
      </w:r>
      <w:r>
        <w:rPr>
          <w:rStyle w:val="VerbatimChar"/>
        </w:rPr>
        <w:t xml:space="preserve">.npy</w:t>
      </w:r>
      <w:r>
        <w:t xml:space="preserve"> </w:t>
      </w:r>
      <w:r>
        <w:t xml:space="preserve">per kelas sebelum dihitung FSM.</w:t>
      </w:r>
    </w:p>
    <w:p>
      <w:pPr>
        <w:pStyle w:val="Paragraf"/>
      </w:pPr>
    </w:p>
    <w:bookmarkEnd w:id="42"/>
    <w:bookmarkStart w:id="45" w:name="lamp:wdcnn_fsm_full"/>
    <w:p>
      <w:pPr>
        <w:pStyle w:val="Lampiransub1"/>
      </w:pPr>
      <w:r>
        <w:t xml:space="preserve">G.6 </w:t>
      </w:r>
      <w:r>
        <w:t xml:space="preserve">FSM</w:t>
      </w:r>
      <w:r>
        <w:t xml:space="preserve"> </w:t>
      </w:r>
      <w:r>
        <w:rPr>
          <w:i/>
          <w:iCs/>
        </w:rPr>
        <w:t xml:space="preserve">Full-Resolution</w:t>
      </w:r>
      <w:r>
        <w:t xml:space="preserve">: Semua Varian</w:t>
      </w:r>
    </w:p>
    <w:p>
      <w:pPr>
        <w:pStyle w:val="Paragraf"/>
      </w:pPr>
    </w:p>
    <w:p>
      <w:pPr>
        <w:pStyle w:val="Paragraf"/>
      </w:pPr>
      <w:r>
        <w:t xml:space="preserve">Gambar IV.6 pada Bab IV</w:t>
      </w:r>
      <w:r>
        <w:t xml:space="preserve"> </w:t>
      </w:r>
      <w:r>
        <w:t xml:space="preserve">sudah menyajikan FSM untuk tiga varian model (A, B, C) dalam format</w:t>
      </w:r>
      <w:r>
        <w:t xml:space="preserve"> </w:t>
      </w:r>
      <w:r>
        <w:t xml:space="preserve">ringkas. Gambar </w:t>
      </w:r>
      <w:fldSimple w:instr=" REF fig_lampG_fsm_fullres \h ">
        <w:r>
          <w:t xml:space="preserve">G.1</w:t>
        </w:r>
      </w:fldSimple>
      <w:r>
        <w:t xml:space="preserve"> menyajikan</w:t>
      </w:r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full-resolution</w:t>
      </w:r>
      <w:r>
        <w:t xml:space="preserve"> </w:t>
      </w:r>
      <w:r>
        <w:t xml:space="preserve">varian A (</w:t>
      </w:r>
      <w:r>
        <w:rPr>
          <w:i/>
          <w:iCs/>
        </w:rPr>
        <w:t xml:space="preserve">baseline</w:t>
      </w:r>
      <w:r>
        <w:t xml:space="preserve">) untuk kesepuluh</w:t>
      </w:r>
      <w:r>
        <w:t xml:space="preserve"> </w:t>
      </w:r>
      <w:r>
        <w:t xml:space="preserve">kelas secara bersamaan, dalam varian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yang paling</w:t>
      </w:r>
      <w:r>
        <w:t xml:space="preserve"> </w:t>
      </w:r>
      <w:r>
        <w:t xml:space="preserve">stabil secara statistik. Sebagai perbandingan langsung,</w:t>
      </w:r>
      <w:r>
        <w:t xml:space="preserve"> </w:t>
      </w:r>
      <w:r>
        <w:t xml:space="preserve">Gambar </w:t>
      </w:r>
      <w:fldSimple w:instr=" REF fig_lampG_fsm_fullres_nobn \h ">
        <w:r>
          <w:t xml:space="preserve">G.2</w:t>
        </w:r>
      </w:fldSimple>
      <w:r>
        <w:t xml:space="preserve"> menyajikan FSM setara untuk</w:t>
      </w:r>
      <w:r>
        <w:t xml:space="preserve"> </w:t>
      </w:r>
      <w:r>
        <w:t xml:space="preserve">varian C (tanpa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).</w:t>
      </w:r>
    </w:p>
    <w:p>
      <w:pPr>
        <w:pStyle w:val="Paragraf"/>
      </w:pPr>
    </w:p>
    <w:bookmarkStart w:id="43" w:name="fig:lampG_fsm_fullres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G.1 — FSM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Absolute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full-resolution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(resolusi penuh 10 × 2048),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varian A (</w:t>
            </w:r>
            <w:r>
              <w:rPr>
                <w:i/>
                <w:i/>
                <w:iCs/>
                <w:iCs/>
              </w:rPr>
              <w:t xml:space="preserve">baseline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dengan BatchNorm). Setiap baris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mewakili satu kelas; intensitas warna menunjukkan</w:t>
            </w:r>
            <w:r>
              <w:rPr>
                <w:i/>
                <w:iCs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|</m:t>
                  </m:r>
                  <m:sSup>
                    <m:e>
                      <m:r>
                        <m:t>ϕ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[</m:t>
                  </m:r>
                  <m:r>
                    <m:t>p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|</m:t>
                  </m:r>
                </m:e>
              </m:ba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rata-rata 500 sampel uji.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Journal1_Fault_Signature_Maps.ipynb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0" w:name="fig_lampG_fsm_fullres"/>
      <w:r>
        <w:t xml:space="preserve">G.</w:t>
      </w:r>
      <w:fldSimple w:instr=" SEQ GambarLampG \* ARABIC ">
        <w:r>
          <w:t xml:space="preserve">1</w:t>
        </w:r>
      </w:fldSimple>
      <w:bookmarkEnd w:id="50"/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Absolute full-resolution</w:t>
      </w:r>
      <w:r>
        <w:t xml:space="preserve"> </w:t>
      </w:r>
      <w:r>
        <w:t xml:space="preserve">varian A (baseline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) untuk kesepuluh kelas kerusakan</w:t>
      </w:r>
      <w:r>
        <w:t xml:space="preserve"> </w:t>
      </w:r>
      <w:r>
        <w:t xml:space="preserve">CWRU. Resolusi 2.048 posisi per kelas;</w:t>
      </w:r>
      <w:r>
        <w:t xml:space="preserve"> </w:t>
      </w:r>
      <w:r>
        <w:rPr>
          <w:i/>
          <w:iCs/>
        </w:rPr>
        <w:t xml:space="preserve">split-half</w:t>
      </w:r>
      <w:r>
        <w:rPr>
          <w:i/>
          <w:iCs/>
        </w:rP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= 0,940.</w:t>
      </w:r>
    </w:p>
    <w:p>
      <w:pPr>
        <w:pStyle w:val="Paragraf"/>
      </w:pPr>
    </w:p>
    <w:bookmarkEnd w:id="43"/>
    <w:bookmarkStart w:id="44" w:name="fig:lampG_fsm_fullres_nobn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G.2 — FSM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Absolute full-resolution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varian C (tanpa BatchNorm). Puncak atribusi lebih tajam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dan lebih terlokalisasi dibanding varian A;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discriminability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meningkat 133% menjadi 0,735.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Journal1_Fault_Signature_Maps.ipynb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1" w:name="fig_lampG_fsm_fullres_nobn"/>
      <w:r>
        <w:t xml:space="preserve">G.</w:t>
      </w:r>
      <w:fldSimple w:instr=" SEQ GambarLampG \* ARABIC ">
        <w:r>
          <w:t xml:space="preserve">2</w:t>
        </w:r>
      </w:fldSimple>
      <w:bookmarkEnd w:id="51"/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Absolute full-resolution</w:t>
      </w:r>
      <w:r>
        <w:t xml:space="preserve"> </w:t>
      </w:r>
      <w:r>
        <w:t xml:space="preserve">varian C (tanpa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). Peningkatan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133%</w:t>
      </w:r>
      <w:r>
        <w:t xml:space="preserve"> </w:t>
      </w:r>
      <w:r>
        <w:t xml:space="preserve">dibanding varian A dengan pengorbanan akurasi 3,60 pp.</w:t>
      </w:r>
    </w:p>
    <w:p>
      <w:pPr>
        <w:pStyle w:val="Paragraf"/>
      </w:pPr>
    </w:p>
    <w:bookmarkEnd w:id="44"/>
    <w:p>
      <w:pPr>
        <w:pStyle w:val="Paragraf"/>
      </w:pPr>
      <w:r>
        <w:t xml:space="preserve">Perbandingan kedua gambar ini memperlihatkan secara visual temuan</w:t>
      </w:r>
      <w:r>
        <w:t xml:space="preserve"> </w:t>
      </w:r>
      <w:r>
        <w:t xml:space="preserve">ablasi N2: 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menghasilkan puncak atribusi</w:t>
      </w:r>
      <w:r>
        <w:t xml:space="preserve"> </w:t>
      </w:r>
      <w:r>
        <w:t xml:space="preserve">yang lebih tajam dan terlokalisasi, sehingga FSM antar-kelas lebih</w:t>
      </w:r>
      <w:r>
        <w:t xml:space="preserve"> </w:t>
      </w:r>
      <w:r>
        <w:t xml:space="preserve">mudah dibedakan secara visual maupun dengan metrik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kuantitatif. Panduan praktis pemilihan varian arsitektur berdasarkan</w:t>
      </w:r>
      <w:r>
        <w:t xml:space="preserve"> </w:t>
      </w:r>
      <w:r>
        <w:t xml:space="preserve">trade-off ini dijelaskan di Bab IV</w:t>
      </w:r>
      <w:r>
        <w:t xml:space="preserve"> </w:t>
      </w:r>
      <w:r>
        <w:t xml:space="preserve">Subbab IV.4.2 dan Bab VI</w:t>
      </w:r>
      <w:r>
        <w:t xml:space="preserve"> </w:t>
      </w:r>
      <w:r>
        <w:t xml:space="preserve">Subbab VI.2.</w:t>
      </w:r>
    </w:p>
    <w:bookmarkEnd w:id="45"/>
    <w:bookmarkEnd w:id="46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4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2026-06-11T19:27:54Z</dcterms:created>
  <dcterms:modified xsi:type="dcterms:W3CDTF">2026-06-11T19:27:54Z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