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C642" w14:textId="77777777" w:rsidR="00150D6D" w:rsidRDefault="00150D6D"/>
    <w:p w14:paraId="22773023" w14:textId="4FE21CDB" w:rsidR="00A466EC" w:rsidRDefault="00A466EC">
      <w:pPr>
        <w:rPr>
          <w:b/>
          <w:bCs/>
        </w:rPr>
      </w:pPr>
      <w:r w:rsidRPr="00A466EC">
        <w:t>Thank</w:t>
      </w:r>
      <w:r w:rsidR="004A166E">
        <w:t xml:space="preserve"> you all</w:t>
      </w:r>
      <w:r w:rsidRPr="00A466EC">
        <w:t xml:space="preserve"> for</w:t>
      </w:r>
      <w:r>
        <w:t xml:space="preserve"> your</w:t>
      </w:r>
      <w:r w:rsidRPr="00A466EC">
        <w:t xml:space="preserve"> time. This is a decision point triggered by RIO EMEA migration. On the surface it looks like ‘ID standardisation’, but architecturally it’s about whether we carry forward </w:t>
      </w:r>
      <w:r w:rsidRPr="00A466EC">
        <w:rPr>
          <w:b/>
          <w:bCs/>
        </w:rPr>
        <w:t>regional semantics</w:t>
      </w:r>
      <w:r w:rsidRPr="00A466EC">
        <w:t xml:space="preserve"> or align to a </w:t>
      </w:r>
      <w:r w:rsidRPr="00A466EC">
        <w:rPr>
          <w:b/>
          <w:bCs/>
        </w:rPr>
        <w:t>single global IMOS model</w:t>
      </w:r>
    </w:p>
    <w:p w14:paraId="7913BD43" w14:textId="30B6BC82" w:rsidR="00A466EC" w:rsidRDefault="00A466EC">
      <w:pPr>
        <w:rPr>
          <w:b/>
          <w:bCs/>
        </w:rPr>
      </w:pPr>
      <w:r w:rsidRPr="00A466EC">
        <w:rPr>
          <w:b/>
          <w:bCs/>
          <w:highlight w:val="yellow"/>
        </w:rPr>
        <w:t xml:space="preserve">Slide </w:t>
      </w:r>
      <w:r w:rsidR="002B55A8">
        <w:rPr>
          <w:b/>
          <w:bCs/>
          <w:highlight w:val="yellow"/>
        </w:rPr>
        <w:t>2</w:t>
      </w:r>
      <w:r w:rsidRPr="00A466EC">
        <w:rPr>
          <w:b/>
          <w:bCs/>
          <w:highlight w:val="yellow"/>
        </w:rPr>
        <w:t xml:space="preserve"> What?</w:t>
      </w:r>
    </w:p>
    <w:p w14:paraId="7C392122" w14:textId="77777777" w:rsidR="00693AF8" w:rsidRDefault="00A466EC" w:rsidP="00693AF8">
      <w:pPr>
        <w:pStyle w:val="NoSpacing"/>
        <w:numPr>
          <w:ilvl w:val="0"/>
          <w:numId w:val="12"/>
        </w:numPr>
      </w:pPr>
      <w:r w:rsidRPr="00A466EC">
        <w:t xml:space="preserve">“Today, </w:t>
      </w:r>
      <w:r w:rsidRPr="00A466EC">
        <w:rPr>
          <w:b/>
          <w:bCs/>
        </w:rPr>
        <w:t>US and EMEA generate allocation IDs differently</w:t>
      </w:r>
      <w:r w:rsidRPr="00A466EC">
        <w:t xml:space="preserve">: US via Trading; EMEA via </w:t>
      </w:r>
      <w:proofErr w:type="spellStart"/>
      <w:r w:rsidRPr="00A466EC">
        <w:t>Salerio</w:t>
      </w:r>
      <w:proofErr w:type="spellEnd"/>
      <w:r w:rsidRPr="00A466EC">
        <w:t>.”</w:t>
      </w:r>
    </w:p>
    <w:p w14:paraId="33893EFE" w14:textId="77777777" w:rsidR="00693AF8" w:rsidRDefault="00A466EC" w:rsidP="00693AF8">
      <w:pPr>
        <w:pStyle w:val="NoSpacing"/>
        <w:numPr>
          <w:ilvl w:val="0"/>
          <w:numId w:val="12"/>
        </w:numPr>
      </w:pPr>
      <w:r w:rsidRPr="00A466EC">
        <w:t>“</w:t>
      </w:r>
      <w:r w:rsidR="00693AF8" w:rsidRPr="00693AF8">
        <w:t xml:space="preserve">Over the years, systems have encoded region-specific logic </w:t>
      </w:r>
      <w:r w:rsidRPr="00A466EC">
        <w:t xml:space="preserve">into routing, validation, parsing, and reporting — often using </w:t>
      </w:r>
      <w:r w:rsidRPr="00693AF8">
        <w:rPr>
          <w:b/>
          <w:bCs/>
        </w:rPr>
        <w:t>prefixes</w:t>
      </w:r>
      <w:r w:rsidRPr="00A466EC">
        <w:t xml:space="preserve"> (e.g., 43TN) as logic keys.”</w:t>
      </w:r>
    </w:p>
    <w:p w14:paraId="3F11F274" w14:textId="77777777" w:rsidR="00693AF8" w:rsidRDefault="00A466EC" w:rsidP="00693AF8">
      <w:pPr>
        <w:pStyle w:val="NoSpacing"/>
        <w:numPr>
          <w:ilvl w:val="0"/>
          <w:numId w:val="12"/>
        </w:numPr>
      </w:pPr>
      <w:r w:rsidRPr="00A466EC">
        <w:t xml:space="preserve">“As RIO EMEA accounts migrate to IMOS, Trading will generate IDs for those migrated accounts. During transition we risk a </w:t>
      </w:r>
      <w:r w:rsidRPr="00A466EC">
        <w:rPr>
          <w:b/>
          <w:bCs/>
        </w:rPr>
        <w:t>dual-mode world</w:t>
      </w:r>
      <w:r w:rsidRPr="00A466EC">
        <w:t>: migrated vs non-migrated behaviour.”</w:t>
      </w:r>
    </w:p>
    <w:p w14:paraId="332A73ED" w14:textId="5B755385" w:rsidR="00A466EC" w:rsidRPr="00A466EC" w:rsidRDefault="00A466EC" w:rsidP="00693AF8">
      <w:pPr>
        <w:pStyle w:val="NoSpacing"/>
        <w:numPr>
          <w:ilvl w:val="0"/>
          <w:numId w:val="12"/>
        </w:numPr>
      </w:pPr>
      <w:r w:rsidRPr="00A466EC">
        <w:t xml:space="preserve">“That dual-mode approach might work short-term, but it’s </w:t>
      </w:r>
      <w:r w:rsidRPr="00A466EC">
        <w:rPr>
          <w:b/>
          <w:bCs/>
        </w:rPr>
        <w:t>not a sustainable target state</w:t>
      </w:r>
      <w:r w:rsidRPr="00A466EC">
        <w:t>.”</w:t>
      </w:r>
    </w:p>
    <w:p w14:paraId="59B34F63" w14:textId="77777777" w:rsidR="00A466EC" w:rsidRDefault="00A466EC" w:rsidP="00A466EC">
      <w:pPr>
        <w:pBdr>
          <w:bottom w:val="single" w:sz="6" w:space="1" w:color="auto"/>
        </w:pBdr>
        <w:rPr>
          <w:b/>
          <w:bCs/>
        </w:rPr>
      </w:pPr>
    </w:p>
    <w:p w14:paraId="6C8EAB17" w14:textId="77777777" w:rsidR="00A466EC" w:rsidRDefault="00A466EC" w:rsidP="004A166E">
      <w:pPr>
        <w:pStyle w:val="NoSpacing"/>
      </w:pPr>
    </w:p>
    <w:p w14:paraId="31BE8DEA" w14:textId="2B48DE06" w:rsidR="00A466EC" w:rsidRPr="00A466EC" w:rsidRDefault="00A466EC" w:rsidP="00A466EC">
      <w:pPr>
        <w:rPr>
          <w:b/>
          <w:bCs/>
        </w:rPr>
      </w:pPr>
      <w:r w:rsidRPr="00A466EC">
        <w:rPr>
          <w:b/>
          <w:bCs/>
          <w:highlight w:val="yellow"/>
        </w:rPr>
        <w:t xml:space="preserve">Slide </w:t>
      </w:r>
      <w:r w:rsidR="004A166E">
        <w:rPr>
          <w:b/>
          <w:bCs/>
          <w:highlight w:val="yellow"/>
        </w:rPr>
        <w:t>3</w:t>
      </w:r>
      <w:r w:rsidRPr="00A466EC">
        <w:rPr>
          <w:b/>
          <w:bCs/>
          <w:highlight w:val="yellow"/>
        </w:rPr>
        <w:t xml:space="preserve"> — Options</w:t>
      </w:r>
    </w:p>
    <w:p w14:paraId="103377C5" w14:textId="77777777" w:rsidR="00A466EC" w:rsidRPr="00A466EC" w:rsidRDefault="00A466EC" w:rsidP="00A466EC">
      <w:pPr>
        <w:rPr>
          <w:b/>
          <w:bCs/>
        </w:rPr>
      </w:pPr>
      <w:r w:rsidRPr="00A466EC">
        <w:rPr>
          <w:b/>
          <w:bCs/>
        </w:rPr>
        <w:t>Option 1 — Align Consumers (Pain now)</w:t>
      </w:r>
    </w:p>
    <w:p w14:paraId="3F18B06B" w14:textId="77777777" w:rsidR="00A466EC" w:rsidRPr="00A466EC" w:rsidRDefault="00A466EC" w:rsidP="004A166E">
      <w:pPr>
        <w:pStyle w:val="NoSpacing"/>
        <w:numPr>
          <w:ilvl w:val="0"/>
          <w:numId w:val="24"/>
        </w:numPr>
      </w:pPr>
      <w:r w:rsidRPr="00A466EC">
        <w:t>“We invest now to remove region-specific assumptions so consumers align to a single IMOS model.”</w:t>
      </w:r>
    </w:p>
    <w:p w14:paraId="3134C500" w14:textId="77777777" w:rsidR="00A466EC" w:rsidRPr="00A466EC" w:rsidRDefault="00A466EC" w:rsidP="004A166E">
      <w:pPr>
        <w:pStyle w:val="NoSpacing"/>
        <w:numPr>
          <w:ilvl w:val="0"/>
          <w:numId w:val="24"/>
        </w:numPr>
      </w:pPr>
      <w:r w:rsidRPr="00A466EC">
        <w:t>“Outcome: consistent controls, simpler ops, scalable to future regions.”</w:t>
      </w:r>
    </w:p>
    <w:p w14:paraId="50765974" w14:textId="6F71EC79" w:rsidR="00A466EC" w:rsidRPr="00A466EC" w:rsidRDefault="00A466EC" w:rsidP="00A466EC">
      <w:r w:rsidRPr="00A466EC">
        <w:t xml:space="preserve"> “We pay once and stop compounding.”</w:t>
      </w:r>
    </w:p>
    <w:p w14:paraId="6752A9C7" w14:textId="77777777" w:rsidR="00A466EC" w:rsidRPr="00A466EC" w:rsidRDefault="00A466EC" w:rsidP="00A466EC">
      <w:pPr>
        <w:rPr>
          <w:b/>
          <w:bCs/>
        </w:rPr>
      </w:pPr>
      <w:r w:rsidRPr="00A466EC">
        <w:rPr>
          <w:b/>
          <w:bCs/>
        </w:rPr>
        <w:t>Option 2 — Abstract Consumers (Pain later)</w:t>
      </w:r>
    </w:p>
    <w:p w14:paraId="12019AC3" w14:textId="77777777" w:rsidR="00A466EC" w:rsidRPr="00A466EC" w:rsidRDefault="00A466EC" w:rsidP="00A466EC">
      <w:pPr>
        <w:numPr>
          <w:ilvl w:val="0"/>
          <w:numId w:val="3"/>
        </w:numPr>
        <w:tabs>
          <w:tab w:val="clear" w:pos="360"/>
          <w:tab w:val="num" w:pos="720"/>
        </w:tabs>
      </w:pPr>
      <w:r w:rsidRPr="00A466EC">
        <w:t>“We preserve EMEA behaviour by absorbing logic upstream / via stub, so current consumers largely don’t change.”</w:t>
      </w:r>
    </w:p>
    <w:p w14:paraId="629ADB9E" w14:textId="77777777" w:rsidR="00A466EC" w:rsidRPr="00A466EC" w:rsidRDefault="00A466EC" w:rsidP="00A466EC">
      <w:pPr>
        <w:numPr>
          <w:ilvl w:val="0"/>
          <w:numId w:val="3"/>
        </w:numPr>
        <w:tabs>
          <w:tab w:val="clear" w:pos="360"/>
          <w:tab w:val="num" w:pos="720"/>
        </w:tabs>
      </w:pPr>
      <w:r w:rsidRPr="00A466EC">
        <w:t>“Outcome: protects near-term time-to-market — but creates a parallel processing model and ongoing operational overhead.”</w:t>
      </w:r>
    </w:p>
    <w:p w14:paraId="69E81FC0" w14:textId="0089C151" w:rsidR="00A466EC" w:rsidRPr="00A466EC" w:rsidRDefault="00A466EC" w:rsidP="00A466EC">
      <w:r w:rsidRPr="00A466EC">
        <w:t xml:space="preserve"> “We protect the date but create debt + complexity.”</w:t>
      </w:r>
    </w:p>
    <w:p w14:paraId="625C33C4" w14:textId="77777777" w:rsidR="00A466EC" w:rsidRDefault="00A466EC">
      <w:pPr>
        <w:pBdr>
          <w:bottom w:val="single" w:sz="6" w:space="1" w:color="auto"/>
        </w:pBdr>
      </w:pPr>
    </w:p>
    <w:p w14:paraId="0E4BA009" w14:textId="4DAC9BFD" w:rsidR="00A466EC" w:rsidRPr="00A466EC" w:rsidRDefault="00A466EC">
      <w:pPr>
        <w:rPr>
          <w:b/>
          <w:bCs/>
        </w:rPr>
      </w:pPr>
      <w:r w:rsidRPr="00A466EC">
        <w:rPr>
          <w:b/>
          <w:bCs/>
          <w:highlight w:val="yellow"/>
        </w:rPr>
        <w:t xml:space="preserve">Slide </w:t>
      </w:r>
      <w:r w:rsidR="004A166E">
        <w:rPr>
          <w:b/>
          <w:bCs/>
          <w:highlight w:val="yellow"/>
        </w:rPr>
        <w:t>4</w:t>
      </w:r>
      <w:r w:rsidRPr="00A466EC">
        <w:rPr>
          <w:b/>
          <w:bCs/>
          <w:highlight w:val="yellow"/>
        </w:rPr>
        <w:t xml:space="preserve"> — Call to Action</w:t>
      </w:r>
    </w:p>
    <w:p w14:paraId="645373BD" w14:textId="3B46364F" w:rsidR="00A466EC" w:rsidRPr="00A466EC" w:rsidRDefault="00A466EC" w:rsidP="00A466EC">
      <w:pPr>
        <w:numPr>
          <w:ilvl w:val="0"/>
          <w:numId w:val="6"/>
        </w:numPr>
      </w:pPr>
      <w:r w:rsidRPr="00A466EC">
        <w:t>“Our recommendation in principle is align</w:t>
      </w:r>
      <w:r w:rsidR="004A166E">
        <w:t>ing</w:t>
      </w:r>
      <w:r w:rsidRPr="00A466EC">
        <w:t xml:space="preserve"> to a single IMOS model.”</w:t>
      </w:r>
    </w:p>
    <w:p w14:paraId="708C0016" w14:textId="77777777" w:rsidR="00A466EC" w:rsidRPr="00A466EC" w:rsidRDefault="00A466EC" w:rsidP="00A466EC">
      <w:pPr>
        <w:numPr>
          <w:ilvl w:val="0"/>
          <w:numId w:val="6"/>
        </w:numPr>
      </w:pPr>
      <w:r w:rsidRPr="00A466EC">
        <w:t>“But we can’t responsibly commit without a cross-AM view of the blast radius.”</w:t>
      </w:r>
    </w:p>
    <w:p w14:paraId="45EC3172" w14:textId="77777777" w:rsidR="00A466EC" w:rsidRPr="00A466EC" w:rsidRDefault="00A466EC" w:rsidP="00A466EC">
      <w:pPr>
        <w:numPr>
          <w:ilvl w:val="0"/>
          <w:numId w:val="6"/>
        </w:numPr>
      </w:pPr>
      <w:r w:rsidRPr="00A466EC">
        <w:t>“</w:t>
      </w:r>
      <w:proofErr w:type="gramStart"/>
      <w:r w:rsidRPr="00A466EC">
        <w:t>So</w:t>
      </w:r>
      <w:proofErr w:type="gramEnd"/>
      <w:r w:rsidRPr="00A466EC">
        <w:t xml:space="preserve"> we need a management decision today:</w:t>
      </w:r>
    </w:p>
    <w:p w14:paraId="1131BA29" w14:textId="77777777" w:rsidR="00A466EC" w:rsidRDefault="00A466EC" w:rsidP="00A466EC">
      <w:pPr>
        <w:numPr>
          <w:ilvl w:val="1"/>
          <w:numId w:val="6"/>
        </w:numPr>
      </w:pPr>
      <w:r w:rsidRPr="00A466EC">
        <w:rPr>
          <w:b/>
          <w:bCs/>
        </w:rPr>
        <w:t>Option A (preferred):</w:t>
      </w:r>
      <w:r w:rsidRPr="00A466EC">
        <w:t xml:space="preserve"> approve a </w:t>
      </w:r>
      <w:r w:rsidRPr="00A466EC">
        <w:rPr>
          <w:b/>
          <w:bCs/>
        </w:rPr>
        <w:t>time-boxed AM-wide assessment</w:t>
      </w:r>
      <w:r w:rsidRPr="00A466EC">
        <w:t xml:space="preserve"> to quantify blast radius, effort, and timeline</w:t>
      </w:r>
    </w:p>
    <w:p w14:paraId="3F2574DA" w14:textId="77777777" w:rsidR="004A166E" w:rsidRPr="00693AF8" w:rsidRDefault="004A166E" w:rsidP="004A166E">
      <w:r w:rsidRPr="00693AF8">
        <w:t>Approve a time-boxed, AM-wide engagement to evaluate blast radius and provide the critical information to inform the go-forward approach.</w:t>
      </w:r>
    </w:p>
    <w:p w14:paraId="1B009EFF" w14:textId="77777777" w:rsidR="004A166E" w:rsidRPr="00693AF8" w:rsidRDefault="004A166E" w:rsidP="004A166E">
      <w:pPr>
        <w:numPr>
          <w:ilvl w:val="0"/>
          <w:numId w:val="22"/>
        </w:numPr>
      </w:pPr>
      <w:r w:rsidRPr="00693AF8">
        <w:t>The outcome is a decision-grade assessment: confirmed impacted consumers, routing rules, effort sizing, timeline impact, risks, and guardrails.</w:t>
      </w:r>
    </w:p>
    <w:p w14:paraId="10E86989" w14:textId="77777777" w:rsidR="004A166E" w:rsidRPr="00A466EC" w:rsidRDefault="004A166E" w:rsidP="004A166E"/>
    <w:p w14:paraId="720E1E42" w14:textId="1AB52A4C" w:rsidR="00693AF8" w:rsidRDefault="00693AF8"/>
    <w:p w14:paraId="558B8697" w14:textId="77777777" w:rsidR="00A466EC" w:rsidRDefault="00A466EC"/>
    <w:p w14:paraId="7178D691" w14:textId="5B2E8F18" w:rsidR="00693AF8" w:rsidRPr="00693AF8" w:rsidRDefault="00693AF8" w:rsidP="00693AF8">
      <w:pPr>
        <w:rPr>
          <w:b/>
          <w:bCs/>
        </w:rPr>
      </w:pPr>
      <w:r w:rsidRPr="00693AF8">
        <w:rPr>
          <w:b/>
          <w:bCs/>
          <w:highlight w:val="green"/>
        </w:rPr>
        <w:t>Slide 1 —</w:t>
      </w:r>
      <w:r w:rsidRPr="00693AF8">
        <w:rPr>
          <w:b/>
          <w:bCs/>
        </w:rPr>
        <w:t xml:space="preserve"> Title: </w:t>
      </w:r>
      <w:r w:rsidRPr="00693AF8">
        <w:rPr>
          <w:b/>
          <w:bCs/>
          <w:i/>
          <w:iCs/>
        </w:rPr>
        <w:t>RIO: EMEA Migration scope creep – Trade block/allocation ID standardization</w:t>
      </w:r>
      <w:r w:rsidRPr="00693AF8">
        <w:br/>
        <w:t xml:space="preserve">“Thanks for the time. This is a decision point triggered by RIO EMEA migration. On the surface it looks like ‘ID standardisation’, but architecturally it’s about whether we carry forward </w:t>
      </w:r>
      <w:r w:rsidRPr="00693AF8">
        <w:rPr>
          <w:b/>
          <w:bCs/>
        </w:rPr>
        <w:t>regional semantics</w:t>
      </w:r>
      <w:r w:rsidRPr="00693AF8">
        <w:t xml:space="preserve"> or align to a </w:t>
      </w:r>
      <w:r w:rsidRPr="00693AF8">
        <w:rPr>
          <w:b/>
          <w:bCs/>
        </w:rPr>
        <w:t>single global IMOS model</w:t>
      </w:r>
      <w:r w:rsidRPr="00693AF8">
        <w:t>.</w:t>
      </w:r>
    </w:p>
    <w:p w14:paraId="43CC72CF" w14:textId="77777777" w:rsidR="00693AF8" w:rsidRPr="00693AF8" w:rsidRDefault="00693AF8" w:rsidP="00693AF8">
      <w:r w:rsidRPr="00693AF8">
        <w:t>There are two valid paths:</w:t>
      </w:r>
    </w:p>
    <w:p w14:paraId="155D4C0A" w14:textId="77777777" w:rsidR="00693AF8" w:rsidRPr="00693AF8" w:rsidRDefault="00693AF8" w:rsidP="00693AF8">
      <w:pPr>
        <w:numPr>
          <w:ilvl w:val="0"/>
          <w:numId w:val="13"/>
        </w:numPr>
      </w:pPr>
      <w:r w:rsidRPr="00693AF8">
        <w:rPr>
          <w:b/>
          <w:bCs/>
        </w:rPr>
        <w:t>Standardise now</w:t>
      </w:r>
      <w:r w:rsidRPr="00693AF8">
        <w:t xml:space="preserve"> by aligning consumers to one model — more effort upfront, less operational complexity long term.</w:t>
      </w:r>
    </w:p>
    <w:p w14:paraId="373AD122" w14:textId="77777777" w:rsidR="00693AF8" w:rsidRPr="00693AF8" w:rsidRDefault="00693AF8" w:rsidP="00693AF8">
      <w:pPr>
        <w:numPr>
          <w:ilvl w:val="0"/>
          <w:numId w:val="13"/>
        </w:numPr>
      </w:pPr>
      <w:r w:rsidRPr="00693AF8">
        <w:rPr>
          <w:b/>
          <w:bCs/>
        </w:rPr>
        <w:t>Preserve EMEA behaviour</w:t>
      </w:r>
      <w:r w:rsidRPr="00693AF8">
        <w:t xml:space="preserve"> by abstracting the differences — protects the delivery date, but creates ongoing tech debt and a dual-semantics operating model.</w:t>
      </w:r>
    </w:p>
    <w:p w14:paraId="39419C9F" w14:textId="77777777" w:rsidR="00693AF8" w:rsidRPr="00693AF8" w:rsidRDefault="00693AF8" w:rsidP="00693AF8">
      <w:r w:rsidRPr="00693AF8">
        <w:pict w14:anchorId="6C515DB2">
          <v:rect id="_x0000_i1025" style="width:0;height:1.5pt" o:hralign="center" o:hrstd="t" o:hr="t" fillcolor="#a0a0a0" stroked="f"/>
        </w:pict>
      </w:r>
    </w:p>
    <w:p w14:paraId="25225F86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  <w:highlight w:val="green"/>
        </w:rPr>
        <w:t>Slide 2</w:t>
      </w:r>
      <w:r w:rsidRPr="00693AF8">
        <w:rPr>
          <w:b/>
          <w:bCs/>
        </w:rPr>
        <w:t xml:space="preserve"> — What? (3:30)</w:t>
      </w:r>
    </w:p>
    <w:p w14:paraId="3D944627" w14:textId="77777777" w:rsidR="00693AF8" w:rsidRPr="00693AF8" w:rsidRDefault="00693AF8" w:rsidP="00693AF8">
      <w:r w:rsidRPr="00693AF8">
        <w:rPr>
          <w:b/>
          <w:bCs/>
        </w:rPr>
        <w:t>What you say:</w:t>
      </w:r>
      <w:r w:rsidRPr="00693AF8">
        <w:br/>
        <w:t>“Today, the process for generating trade block and allocation IDs in AM is fragmented by region and asset class.</w:t>
      </w:r>
    </w:p>
    <w:p w14:paraId="7C540BA0" w14:textId="77777777" w:rsidR="00693AF8" w:rsidRPr="00693AF8" w:rsidRDefault="00693AF8" w:rsidP="00693AF8">
      <w:pPr>
        <w:numPr>
          <w:ilvl w:val="0"/>
          <w:numId w:val="14"/>
        </w:numPr>
      </w:pPr>
      <w:r w:rsidRPr="00693AF8">
        <w:t xml:space="preserve">For </w:t>
      </w:r>
      <w:r w:rsidRPr="00693AF8">
        <w:rPr>
          <w:b/>
          <w:bCs/>
        </w:rPr>
        <w:t>US / RIO flow</w:t>
      </w:r>
      <w:r w:rsidRPr="00693AF8">
        <w:t>, Trading is responsible for generating allocation IDs.</w:t>
      </w:r>
    </w:p>
    <w:p w14:paraId="3F4EE193" w14:textId="77777777" w:rsidR="00693AF8" w:rsidRPr="00693AF8" w:rsidRDefault="00693AF8" w:rsidP="00693AF8">
      <w:pPr>
        <w:numPr>
          <w:ilvl w:val="0"/>
          <w:numId w:val="14"/>
        </w:numPr>
      </w:pPr>
      <w:r w:rsidRPr="00693AF8">
        <w:t xml:space="preserve">For </w:t>
      </w:r>
      <w:r w:rsidRPr="00693AF8">
        <w:rPr>
          <w:b/>
          <w:bCs/>
        </w:rPr>
        <w:t>EMEA flow</w:t>
      </w:r>
      <w:r w:rsidRPr="00693AF8">
        <w:t xml:space="preserve">, </w:t>
      </w:r>
      <w:proofErr w:type="spellStart"/>
      <w:r w:rsidRPr="00693AF8">
        <w:t>Salerio</w:t>
      </w:r>
      <w:proofErr w:type="spellEnd"/>
      <w:r w:rsidRPr="00693AF8">
        <w:t xml:space="preserve"> generates allocation IDs, and multiple AM systems have built logical dependencies around that — not just consuming the ID, but </w:t>
      </w:r>
      <w:r w:rsidRPr="00693AF8">
        <w:rPr>
          <w:b/>
          <w:bCs/>
        </w:rPr>
        <w:t>using its structure</w:t>
      </w:r>
      <w:r w:rsidRPr="00693AF8">
        <w:t xml:space="preserve"> to drive routing, validation, filtering and reporting.</w:t>
      </w:r>
    </w:p>
    <w:p w14:paraId="5030A655" w14:textId="77777777" w:rsidR="00693AF8" w:rsidRPr="00693AF8" w:rsidRDefault="00693AF8" w:rsidP="00693AF8">
      <w:r w:rsidRPr="00693AF8">
        <w:t>Over the years, systems have encoded region-specific logic like:</w:t>
      </w:r>
    </w:p>
    <w:p w14:paraId="7569F43A" w14:textId="77777777" w:rsidR="00693AF8" w:rsidRPr="00693AF8" w:rsidRDefault="00693AF8" w:rsidP="00693AF8">
      <w:pPr>
        <w:numPr>
          <w:ilvl w:val="0"/>
          <w:numId w:val="15"/>
        </w:numPr>
      </w:pPr>
      <w:r w:rsidRPr="00693AF8">
        <w:t xml:space="preserve">prefix expectations (e.g., </w:t>
      </w:r>
      <w:proofErr w:type="spellStart"/>
      <w:r w:rsidRPr="00693AF8">
        <w:t>Salerio</w:t>
      </w:r>
      <w:proofErr w:type="spellEnd"/>
      <w:r w:rsidRPr="00693AF8">
        <w:t xml:space="preserve"> prefixes such as </w:t>
      </w:r>
      <w:r w:rsidRPr="00693AF8">
        <w:rPr>
          <w:b/>
          <w:bCs/>
        </w:rPr>
        <w:t>43TN</w:t>
      </w:r>
      <w:r w:rsidRPr="00693AF8">
        <w:t>),</w:t>
      </w:r>
    </w:p>
    <w:p w14:paraId="7CCB3DBE" w14:textId="77777777" w:rsidR="00693AF8" w:rsidRPr="00693AF8" w:rsidRDefault="00693AF8" w:rsidP="00693AF8">
      <w:pPr>
        <w:numPr>
          <w:ilvl w:val="0"/>
          <w:numId w:val="15"/>
        </w:numPr>
      </w:pPr>
      <w:r w:rsidRPr="00693AF8">
        <w:t>validations based on prefix/length,</w:t>
      </w:r>
    </w:p>
    <w:p w14:paraId="1C0C98CA" w14:textId="77777777" w:rsidR="00693AF8" w:rsidRPr="00693AF8" w:rsidRDefault="00693AF8" w:rsidP="00693AF8">
      <w:pPr>
        <w:numPr>
          <w:ilvl w:val="0"/>
          <w:numId w:val="15"/>
        </w:numPr>
      </w:pPr>
      <w:r w:rsidRPr="00693AF8">
        <w:t>topic subscriptions and routing rules tied to those prefixes,</w:t>
      </w:r>
    </w:p>
    <w:p w14:paraId="2A4E2D1D" w14:textId="77777777" w:rsidR="00693AF8" w:rsidRPr="00693AF8" w:rsidRDefault="00693AF8" w:rsidP="00693AF8">
      <w:pPr>
        <w:numPr>
          <w:ilvl w:val="0"/>
          <w:numId w:val="15"/>
        </w:numPr>
      </w:pPr>
      <w:r w:rsidRPr="00693AF8">
        <w:t>and downstream report/control logic that assumes ‘if it looks like X, treat it like EMEA’.</w:t>
      </w:r>
    </w:p>
    <w:p w14:paraId="14258010" w14:textId="77777777" w:rsidR="00693AF8" w:rsidRPr="00693AF8" w:rsidRDefault="00693AF8" w:rsidP="00693AF8">
      <w:r w:rsidRPr="00693AF8">
        <w:t xml:space="preserve">Now, with EMEA accounts migrating to IMOS, the source of allocation ID generation changes: </w:t>
      </w:r>
      <w:r w:rsidRPr="00693AF8">
        <w:rPr>
          <w:b/>
          <w:bCs/>
        </w:rPr>
        <w:t>Trading will generate allocation IDs for migrated EMEA accounts</w:t>
      </w:r>
      <w:r w:rsidRPr="00693AF8">
        <w:t>.</w:t>
      </w:r>
    </w:p>
    <w:p w14:paraId="7DAEA712" w14:textId="77777777" w:rsidR="00693AF8" w:rsidRPr="00693AF8" w:rsidRDefault="00693AF8" w:rsidP="00693AF8">
      <w:r w:rsidRPr="00693AF8">
        <w:t xml:space="preserve">During transition, we can run a dual approach — migrated accounts behave </w:t>
      </w:r>
      <w:proofErr w:type="gramStart"/>
      <w:r w:rsidRPr="00693AF8">
        <w:t>one way</w:t>
      </w:r>
      <w:proofErr w:type="gramEnd"/>
      <w:r w:rsidRPr="00693AF8">
        <w:t xml:space="preserve">, non-migrated accounts behave another — and that’s why this shows up as ‘scope creep’. But the point is: a dual model is fine as a </w:t>
      </w:r>
      <w:r w:rsidRPr="00693AF8">
        <w:rPr>
          <w:b/>
          <w:bCs/>
        </w:rPr>
        <w:t>temporary migration tactic</w:t>
      </w:r>
      <w:r w:rsidRPr="00693AF8">
        <w:t>, it’s not viable as an enduring architecture.</w:t>
      </w:r>
    </w:p>
    <w:p w14:paraId="304C65C3" w14:textId="77777777" w:rsidR="00693AF8" w:rsidRPr="00693AF8" w:rsidRDefault="00693AF8" w:rsidP="00693AF8">
      <w:proofErr w:type="gramStart"/>
      <w:r w:rsidRPr="00693AF8">
        <w:t>So</w:t>
      </w:r>
      <w:proofErr w:type="gramEnd"/>
      <w:r w:rsidRPr="00693AF8">
        <w:t xml:space="preserve"> the implication is: to support RIO EMEA tranches safely, key AM systems—PODS, CMA, AM IBOR—plus </w:t>
      </w:r>
      <w:proofErr w:type="spellStart"/>
      <w:r w:rsidRPr="00693AF8">
        <w:t>MessageBus</w:t>
      </w:r>
      <w:proofErr w:type="spellEnd"/>
      <w:r w:rsidRPr="00693AF8">
        <w:t xml:space="preserve"> and trade stores and various </w:t>
      </w:r>
      <w:proofErr w:type="spellStart"/>
      <w:r w:rsidRPr="00693AF8">
        <w:t>downstreams</w:t>
      </w:r>
      <w:proofErr w:type="spellEnd"/>
      <w:r w:rsidRPr="00693AF8">
        <w:t xml:space="preserve">—will need change to remove dependency on </w:t>
      </w:r>
      <w:proofErr w:type="spellStart"/>
      <w:r w:rsidRPr="00693AF8">
        <w:t>Salerio</w:t>
      </w:r>
      <w:proofErr w:type="spellEnd"/>
      <w:r w:rsidRPr="00693AF8">
        <w:t>-specific semantics for migrated accounts, while still supporting non-migrated flows during transition.”</w:t>
      </w:r>
    </w:p>
    <w:p w14:paraId="045FA5FE" w14:textId="77777777" w:rsidR="00693AF8" w:rsidRPr="00693AF8" w:rsidRDefault="00693AF8" w:rsidP="00693AF8">
      <w:r w:rsidRPr="00693AF8">
        <w:pict w14:anchorId="58242B70">
          <v:rect id="_x0000_i1027" style="width:0;height:1.5pt" o:hralign="center" o:hrstd="t" o:hr="t" fillcolor="#a0a0a0" stroked="f"/>
        </w:pict>
      </w:r>
    </w:p>
    <w:p w14:paraId="646FB93E" w14:textId="17BD27B0" w:rsidR="00693AF8" w:rsidRPr="00693AF8" w:rsidRDefault="00693AF8" w:rsidP="00693AF8">
      <w:pPr>
        <w:rPr>
          <w:b/>
          <w:bCs/>
        </w:rPr>
      </w:pPr>
      <w:r w:rsidRPr="00693AF8">
        <w:rPr>
          <w:b/>
          <w:bCs/>
          <w:highlight w:val="green"/>
        </w:rPr>
        <w:t xml:space="preserve">Slide </w:t>
      </w:r>
      <w:r w:rsidR="004A166E">
        <w:rPr>
          <w:b/>
          <w:bCs/>
          <w:highlight w:val="green"/>
        </w:rPr>
        <w:t>3</w:t>
      </w:r>
      <w:r w:rsidRPr="00693AF8">
        <w:rPr>
          <w:b/>
          <w:bCs/>
          <w:highlight w:val="green"/>
        </w:rPr>
        <w:t xml:space="preserve"> — Options</w:t>
      </w:r>
      <w:r w:rsidRPr="00693AF8">
        <w:rPr>
          <w:b/>
          <w:bCs/>
        </w:rPr>
        <w:t xml:space="preserve"> (5:00)</w:t>
      </w:r>
    </w:p>
    <w:p w14:paraId="1DBC0911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lastRenderedPageBreak/>
        <w:t>Option 1: Align Consumers — “Pain now”</w:t>
      </w:r>
    </w:p>
    <w:p w14:paraId="51B48F84" w14:textId="77777777" w:rsidR="00693AF8" w:rsidRPr="00693AF8" w:rsidRDefault="00693AF8" w:rsidP="00693AF8">
      <w:r w:rsidRPr="00693AF8">
        <w:rPr>
          <w:b/>
          <w:bCs/>
        </w:rPr>
        <w:t>What you say:</w:t>
      </w:r>
      <w:r w:rsidRPr="00693AF8">
        <w:br/>
        <w:t>“Option 1 is to eliminate EMEA-specific logic and align to a single model. That means consumers remove prefix-coupled logic and behave consistently regardless of region.</w:t>
      </w:r>
    </w:p>
    <w:p w14:paraId="16F29997" w14:textId="77777777" w:rsidR="00693AF8" w:rsidRPr="00693AF8" w:rsidRDefault="00693AF8" w:rsidP="00693AF8">
      <w:r w:rsidRPr="00693AF8">
        <w:t>Pros:</w:t>
      </w:r>
    </w:p>
    <w:p w14:paraId="73FAF923" w14:textId="77777777" w:rsidR="00693AF8" w:rsidRPr="00693AF8" w:rsidRDefault="00693AF8" w:rsidP="00693AF8">
      <w:pPr>
        <w:numPr>
          <w:ilvl w:val="0"/>
          <w:numId w:val="18"/>
        </w:numPr>
      </w:pPr>
      <w:r w:rsidRPr="00693AF8">
        <w:rPr>
          <w:b/>
          <w:bCs/>
        </w:rPr>
        <w:t>Operational efficiency</w:t>
      </w:r>
      <w:r w:rsidRPr="00693AF8">
        <w:t xml:space="preserve"> — fewer duplicate logic paths.</w:t>
      </w:r>
    </w:p>
    <w:p w14:paraId="7E34B842" w14:textId="77777777" w:rsidR="00693AF8" w:rsidRPr="00693AF8" w:rsidRDefault="00693AF8" w:rsidP="00693AF8">
      <w:pPr>
        <w:numPr>
          <w:ilvl w:val="0"/>
          <w:numId w:val="18"/>
        </w:numPr>
      </w:pPr>
      <w:r w:rsidRPr="00693AF8">
        <w:rPr>
          <w:b/>
          <w:bCs/>
        </w:rPr>
        <w:t>Consistency</w:t>
      </w:r>
      <w:r w:rsidRPr="00693AF8">
        <w:t xml:space="preserve"> — uniform data standards and controls reduce reconciliation issues.</w:t>
      </w:r>
    </w:p>
    <w:p w14:paraId="478DC89E" w14:textId="77777777" w:rsidR="00693AF8" w:rsidRPr="00693AF8" w:rsidRDefault="00693AF8" w:rsidP="00693AF8">
      <w:pPr>
        <w:numPr>
          <w:ilvl w:val="0"/>
          <w:numId w:val="18"/>
        </w:numPr>
      </w:pPr>
      <w:r w:rsidRPr="00693AF8">
        <w:rPr>
          <w:b/>
          <w:bCs/>
        </w:rPr>
        <w:t>Simplified maintenance</w:t>
      </w:r>
      <w:r w:rsidRPr="00693AF8">
        <w:t xml:space="preserve"> — easier to support, onboard new regions/products.</w:t>
      </w:r>
    </w:p>
    <w:p w14:paraId="25562CFE" w14:textId="77777777" w:rsidR="00693AF8" w:rsidRPr="00693AF8" w:rsidRDefault="00693AF8" w:rsidP="00693AF8">
      <w:pPr>
        <w:numPr>
          <w:ilvl w:val="0"/>
          <w:numId w:val="18"/>
        </w:numPr>
      </w:pPr>
      <w:r w:rsidRPr="00693AF8">
        <w:t>Enables broader strategic initiatives by fully leveraging a unified IMOS platform.</w:t>
      </w:r>
    </w:p>
    <w:p w14:paraId="7608CCB5" w14:textId="77777777" w:rsidR="00693AF8" w:rsidRPr="00693AF8" w:rsidRDefault="00693AF8" w:rsidP="00693AF8">
      <w:r w:rsidRPr="00693AF8">
        <w:t>Cons:</w:t>
      </w:r>
    </w:p>
    <w:p w14:paraId="4AA2440C" w14:textId="77777777" w:rsidR="00693AF8" w:rsidRPr="00693AF8" w:rsidRDefault="00693AF8" w:rsidP="00693AF8">
      <w:pPr>
        <w:numPr>
          <w:ilvl w:val="0"/>
          <w:numId w:val="19"/>
        </w:numPr>
      </w:pPr>
      <w:r w:rsidRPr="00693AF8">
        <w:t xml:space="preserve">It’s a </w:t>
      </w:r>
      <w:r w:rsidRPr="00693AF8">
        <w:rPr>
          <w:b/>
          <w:bCs/>
        </w:rPr>
        <w:t>significant change effort</w:t>
      </w:r>
      <w:r w:rsidRPr="00693AF8">
        <w:t>: analysis, development, testing across multiple consumers.</w:t>
      </w:r>
    </w:p>
    <w:p w14:paraId="4E1969C8" w14:textId="77777777" w:rsidR="00693AF8" w:rsidRPr="00693AF8" w:rsidRDefault="00693AF8" w:rsidP="00693AF8">
      <w:pPr>
        <w:numPr>
          <w:ilvl w:val="0"/>
          <w:numId w:val="19"/>
        </w:numPr>
      </w:pPr>
      <w:r w:rsidRPr="00693AF8">
        <w:t xml:space="preserve">There may be </w:t>
      </w:r>
      <w:r w:rsidRPr="00693AF8">
        <w:rPr>
          <w:b/>
          <w:bCs/>
        </w:rPr>
        <w:t>short-term disruption</w:t>
      </w:r>
      <w:r w:rsidRPr="00693AF8">
        <w:t xml:space="preserve"> during migration.</w:t>
      </w:r>
    </w:p>
    <w:p w14:paraId="3FFC0D4D" w14:textId="77777777" w:rsidR="00693AF8" w:rsidRPr="00693AF8" w:rsidRDefault="00693AF8" w:rsidP="00693AF8">
      <w:pPr>
        <w:numPr>
          <w:ilvl w:val="0"/>
          <w:numId w:val="19"/>
        </w:numPr>
      </w:pPr>
      <w:r w:rsidRPr="00693AF8">
        <w:t>It’s resource intensive and requires cross-team coordination.</w:t>
      </w:r>
    </w:p>
    <w:p w14:paraId="43970F2D" w14:textId="77777777" w:rsidR="00693AF8" w:rsidRPr="00693AF8" w:rsidRDefault="00693AF8" w:rsidP="00693AF8">
      <w:pPr>
        <w:numPr>
          <w:ilvl w:val="0"/>
          <w:numId w:val="19"/>
        </w:numPr>
      </w:pPr>
      <w:r w:rsidRPr="00693AF8">
        <w:t>If analysis is incomplete, risk of missed dependencies — which is why the assessment is important.”</w:t>
      </w:r>
    </w:p>
    <w:p w14:paraId="152E00C6" w14:textId="77777777" w:rsidR="00693AF8" w:rsidRPr="00693AF8" w:rsidRDefault="00693AF8" w:rsidP="00693AF8">
      <w:r w:rsidRPr="00693AF8">
        <w:rPr>
          <w:b/>
          <w:bCs/>
        </w:rPr>
        <w:t>CTO translation line:</w:t>
      </w:r>
      <w:r w:rsidRPr="00693AF8">
        <w:br/>
        <w:t>“We pay once, remove structural complexity, and reduce long-term operational risk.”</w:t>
      </w:r>
    </w:p>
    <w:p w14:paraId="20E07416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Option 2: Abstract Consumers — “Pain later”</w:t>
      </w:r>
    </w:p>
    <w:p w14:paraId="5DD246C2" w14:textId="77777777" w:rsidR="00693AF8" w:rsidRPr="00693AF8" w:rsidRDefault="00693AF8" w:rsidP="00693AF8">
      <w:r w:rsidRPr="00693AF8">
        <w:rPr>
          <w:b/>
          <w:bCs/>
        </w:rPr>
        <w:t>What you say:</w:t>
      </w:r>
      <w:r w:rsidRPr="00693AF8">
        <w:br/>
        <w:t>“Option 2 is to preserve EMEA regional processing for migrated accounts by absorbing the EMEA-specific logic in Trading and/or upstream systems — essentially creating an abstraction / stub to make the world look like it used to for consumers.</w:t>
      </w:r>
    </w:p>
    <w:p w14:paraId="66F1675A" w14:textId="77777777" w:rsidR="00693AF8" w:rsidRPr="00693AF8" w:rsidRDefault="00693AF8" w:rsidP="00693AF8">
      <w:r w:rsidRPr="00693AF8">
        <w:t>Pros:</w:t>
      </w:r>
    </w:p>
    <w:p w14:paraId="5616D098" w14:textId="77777777" w:rsidR="00693AF8" w:rsidRPr="00693AF8" w:rsidRDefault="00693AF8" w:rsidP="00693AF8">
      <w:pPr>
        <w:numPr>
          <w:ilvl w:val="0"/>
          <w:numId w:val="20"/>
        </w:numPr>
      </w:pPr>
      <w:r w:rsidRPr="00693AF8">
        <w:t>Minimal immediate change for consumers, lower short-term disruption.</w:t>
      </w:r>
    </w:p>
    <w:p w14:paraId="444D3C72" w14:textId="77777777" w:rsidR="00693AF8" w:rsidRPr="00693AF8" w:rsidRDefault="00693AF8" w:rsidP="00693AF8">
      <w:pPr>
        <w:numPr>
          <w:ilvl w:val="0"/>
          <w:numId w:val="20"/>
        </w:numPr>
      </w:pPr>
      <w:r w:rsidRPr="00693AF8">
        <w:t>Familiar workflows remain.</w:t>
      </w:r>
    </w:p>
    <w:p w14:paraId="6214CA76" w14:textId="77777777" w:rsidR="00693AF8" w:rsidRPr="00693AF8" w:rsidRDefault="00693AF8" w:rsidP="00693AF8">
      <w:pPr>
        <w:numPr>
          <w:ilvl w:val="0"/>
          <w:numId w:val="20"/>
        </w:numPr>
      </w:pPr>
      <w:r w:rsidRPr="00693AF8">
        <w:t>Lower upfront cost and protects near-term time-to-market for EMEA.</w:t>
      </w:r>
    </w:p>
    <w:p w14:paraId="52A80408" w14:textId="77777777" w:rsidR="00693AF8" w:rsidRPr="00693AF8" w:rsidRDefault="00693AF8" w:rsidP="00693AF8">
      <w:r w:rsidRPr="00693AF8">
        <w:t>Cons — and these are the important ones:</w:t>
      </w:r>
    </w:p>
    <w:p w14:paraId="12AF87B7" w14:textId="77777777" w:rsidR="00693AF8" w:rsidRPr="00693AF8" w:rsidRDefault="00693AF8" w:rsidP="00693AF8">
      <w:pPr>
        <w:numPr>
          <w:ilvl w:val="0"/>
          <w:numId w:val="21"/>
        </w:numPr>
      </w:pPr>
      <w:r w:rsidRPr="00693AF8">
        <w:rPr>
          <w:b/>
          <w:bCs/>
        </w:rPr>
        <w:t>Operational complexity</w:t>
      </w:r>
      <w:r w:rsidRPr="00693AF8">
        <w:t xml:space="preserve"> — multiple processes and logic paths must be maintained.</w:t>
      </w:r>
    </w:p>
    <w:p w14:paraId="72F64507" w14:textId="77777777" w:rsidR="00693AF8" w:rsidRPr="00693AF8" w:rsidRDefault="00693AF8" w:rsidP="00693AF8">
      <w:pPr>
        <w:numPr>
          <w:ilvl w:val="0"/>
          <w:numId w:val="21"/>
        </w:numPr>
      </w:pPr>
      <w:r w:rsidRPr="00693AF8">
        <w:rPr>
          <w:b/>
          <w:bCs/>
        </w:rPr>
        <w:t>Scalability issues</w:t>
      </w:r>
      <w:r w:rsidRPr="00693AF8">
        <w:t xml:space="preserve"> — hard to extend to other regions like APAC or future requirements.</w:t>
      </w:r>
    </w:p>
    <w:p w14:paraId="6CC31DAB" w14:textId="77777777" w:rsidR="00693AF8" w:rsidRPr="00693AF8" w:rsidRDefault="00693AF8" w:rsidP="00693AF8">
      <w:pPr>
        <w:numPr>
          <w:ilvl w:val="0"/>
          <w:numId w:val="21"/>
        </w:numPr>
      </w:pPr>
      <w:r w:rsidRPr="00693AF8">
        <w:rPr>
          <w:b/>
          <w:bCs/>
        </w:rPr>
        <w:t>Inconsistent data and controls</w:t>
      </w:r>
      <w:r w:rsidRPr="00693AF8">
        <w:t xml:space="preserve"> — increased risk of discrepancies and reconciliation problems.</w:t>
      </w:r>
    </w:p>
    <w:p w14:paraId="14561A57" w14:textId="77777777" w:rsidR="00693AF8" w:rsidRPr="00693AF8" w:rsidRDefault="00693AF8" w:rsidP="00693AF8">
      <w:pPr>
        <w:numPr>
          <w:ilvl w:val="0"/>
          <w:numId w:val="21"/>
        </w:numPr>
      </w:pPr>
      <w:r w:rsidRPr="00693AF8">
        <w:rPr>
          <w:b/>
          <w:bCs/>
        </w:rPr>
        <w:t>Hinders integration</w:t>
      </w:r>
      <w:r w:rsidRPr="00693AF8">
        <w:t xml:space="preserve"> — limits ability to realise benefits of unified IMOS.</w:t>
      </w:r>
    </w:p>
    <w:p w14:paraId="463D40C4" w14:textId="77777777" w:rsidR="00693AF8" w:rsidRPr="00693AF8" w:rsidRDefault="00693AF8" w:rsidP="00693AF8">
      <w:proofErr w:type="gramStart"/>
      <w:r w:rsidRPr="00693AF8">
        <w:t>So</w:t>
      </w:r>
      <w:proofErr w:type="gramEnd"/>
      <w:r w:rsidRPr="00693AF8">
        <w:t xml:space="preserve"> Option 2 is not ‘free’. It’s a deliberate choice to run </w:t>
      </w:r>
      <w:r w:rsidRPr="00693AF8">
        <w:rPr>
          <w:b/>
          <w:bCs/>
        </w:rPr>
        <w:t>dual semantics</w:t>
      </w:r>
      <w:r w:rsidRPr="00693AF8">
        <w:t xml:space="preserve"> and carry tech debt.”</w:t>
      </w:r>
    </w:p>
    <w:p w14:paraId="5A35A38F" w14:textId="77777777" w:rsidR="00693AF8" w:rsidRPr="00693AF8" w:rsidRDefault="00693AF8" w:rsidP="00693AF8">
      <w:r w:rsidRPr="00693AF8">
        <w:pict w14:anchorId="7EA34C3D">
          <v:rect id="_x0000_i1028" style="width:0;height:1.5pt" o:hralign="center" o:hrstd="t" o:hr="t" fillcolor="#a0a0a0" stroked="f"/>
        </w:pict>
      </w:r>
    </w:p>
    <w:p w14:paraId="56D07EDD" w14:textId="42F06A0A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lastRenderedPageBreak/>
        <w:t xml:space="preserve">Slide </w:t>
      </w:r>
      <w:r w:rsidR="004A166E">
        <w:rPr>
          <w:b/>
          <w:bCs/>
        </w:rPr>
        <w:t>4</w:t>
      </w:r>
      <w:r w:rsidRPr="00693AF8">
        <w:rPr>
          <w:b/>
          <w:bCs/>
        </w:rPr>
        <w:t xml:space="preserve"> — </w:t>
      </w:r>
      <w:r w:rsidRPr="00693AF8">
        <w:rPr>
          <w:b/>
          <w:bCs/>
          <w:highlight w:val="green"/>
        </w:rPr>
        <w:t>Now What? / Call to Action (4:00)</w:t>
      </w:r>
    </w:p>
    <w:p w14:paraId="661FA55D" w14:textId="77777777" w:rsidR="00693AF8" w:rsidRPr="00693AF8" w:rsidRDefault="00693AF8" w:rsidP="00693AF8">
      <w:r w:rsidRPr="00693AF8">
        <w:rPr>
          <w:b/>
          <w:bCs/>
        </w:rPr>
        <w:t>What you say:</w:t>
      </w:r>
      <w:r w:rsidRPr="00693AF8">
        <w:br/>
        <w:t>“In principle, the architecture recommendation is to eliminate legacy regional nuances and align to a single IMOS model — that’s Option 1.</w:t>
      </w:r>
    </w:p>
    <w:p w14:paraId="6717D5BF" w14:textId="77777777" w:rsidR="00693AF8" w:rsidRPr="00693AF8" w:rsidRDefault="00693AF8" w:rsidP="00693AF8">
      <w:r w:rsidRPr="00693AF8">
        <w:t>However, we currently lack a comprehensive view of the full ‘last radius’ / blast radius and can’t independently determine the full scope and impact from the RIO program perspective without collaboration from AM-wide teams.</w:t>
      </w:r>
    </w:p>
    <w:p w14:paraId="186FEEFC" w14:textId="77777777" w:rsidR="00693AF8" w:rsidRPr="00693AF8" w:rsidRDefault="00693AF8" w:rsidP="00693AF8">
      <w:proofErr w:type="gramStart"/>
      <w:r w:rsidRPr="00693AF8">
        <w:t>So</w:t>
      </w:r>
      <w:proofErr w:type="gramEnd"/>
      <w:r w:rsidRPr="00693AF8">
        <w:t xml:space="preserve"> we’re seeking management guidance on two options:</w:t>
      </w:r>
    </w:p>
    <w:p w14:paraId="192FF0EC" w14:textId="77777777" w:rsidR="00693AF8" w:rsidRPr="00693AF8" w:rsidRDefault="00693AF8" w:rsidP="00693AF8">
      <w:r w:rsidRPr="00693AF8">
        <w:rPr>
          <w:b/>
          <w:bCs/>
        </w:rPr>
        <w:t>Option 1 (preferred):</w:t>
      </w:r>
      <w:r w:rsidRPr="00693AF8">
        <w:t xml:space="preserve"> Approve a time-boxed, AM-wide engagement to evaluate blast radius and provide the critical information to inform the go-forward approach.</w:t>
      </w:r>
    </w:p>
    <w:p w14:paraId="5F3A4A20" w14:textId="77777777" w:rsidR="00693AF8" w:rsidRPr="00693AF8" w:rsidRDefault="00693AF8" w:rsidP="00693AF8">
      <w:pPr>
        <w:numPr>
          <w:ilvl w:val="0"/>
          <w:numId w:val="22"/>
        </w:numPr>
      </w:pPr>
      <w:r w:rsidRPr="00693AF8">
        <w:t>The outcome is a decision-grade assessment: confirmed impacted consumers, routing rules, effort sizing, timeline impact, risks, and guardrails.</w:t>
      </w:r>
    </w:p>
    <w:p w14:paraId="5A3A96E6" w14:textId="77777777" w:rsidR="00693AF8" w:rsidRPr="00693AF8" w:rsidRDefault="00693AF8" w:rsidP="00693AF8">
      <w:r w:rsidRPr="00693AF8">
        <w:rPr>
          <w:b/>
          <w:bCs/>
        </w:rPr>
        <w:t>Option 2:</w:t>
      </w:r>
      <w:r w:rsidRPr="00693AF8">
        <w:t xml:space="preserve"> Maintain the status quo to preserve RIO’s time-to-market for EMEA deliveries — with explicit awareness of the tech debt we incur and an agreed steer on ownership and paydown.</w:t>
      </w:r>
    </w:p>
    <w:p w14:paraId="14BBD744" w14:textId="77777777" w:rsidR="00693AF8" w:rsidRPr="00693AF8" w:rsidRDefault="00693AF8" w:rsidP="00693AF8">
      <w:r w:rsidRPr="00693AF8">
        <w:t>Clear direction from management enables us to proceed with the most appropriate strategy for the organisation.”</w:t>
      </w:r>
    </w:p>
    <w:p w14:paraId="053DF9CA" w14:textId="77777777" w:rsidR="00693AF8" w:rsidRPr="00693AF8" w:rsidRDefault="00693AF8" w:rsidP="00693AF8">
      <w:r w:rsidRPr="00693AF8">
        <w:rPr>
          <w:b/>
          <w:bCs/>
        </w:rPr>
        <w:t>Close strong (10 seconds):</w:t>
      </w:r>
      <w:r w:rsidRPr="00693AF8">
        <w:br/>
        <w:t>“My recommendation is: approve the time-boxed AM-wide assessment now, and we’ll return with quantified options and a safe execution plan.”</w:t>
      </w:r>
    </w:p>
    <w:p w14:paraId="35A462B2" w14:textId="77777777" w:rsidR="00693AF8" w:rsidRPr="00693AF8" w:rsidRDefault="00693AF8" w:rsidP="00693AF8">
      <w:r w:rsidRPr="00693AF8">
        <w:pict w14:anchorId="59B0B738">
          <v:rect id="_x0000_i1029" style="width:0;height:1.5pt" o:hralign="center" o:hrstd="t" o:hr="t" fillcolor="#a0a0a0" stroked="f"/>
        </w:pict>
      </w:r>
    </w:p>
    <w:p w14:paraId="7E6B15DC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  <w:highlight w:val="cyan"/>
        </w:rPr>
        <w:t>Appendix u</w:t>
      </w:r>
      <w:r w:rsidRPr="00693AF8">
        <w:rPr>
          <w:b/>
          <w:bCs/>
        </w:rPr>
        <w:t>sage (only if asked)</w:t>
      </w:r>
    </w:p>
    <w:p w14:paraId="6D3298E6" w14:textId="77777777" w:rsidR="00693AF8" w:rsidRPr="00693AF8" w:rsidRDefault="00693AF8" w:rsidP="00693AF8">
      <w:r w:rsidRPr="00693AF8">
        <w:t>Use these as “if you want the evidence” slides, not part of your main run.</w:t>
      </w:r>
    </w:p>
    <w:p w14:paraId="492092AF" w14:textId="77777777" w:rsidR="00693AF8" w:rsidRPr="00693AF8" w:rsidRDefault="00693AF8" w:rsidP="00693AF8">
      <w:pPr>
        <w:numPr>
          <w:ilvl w:val="0"/>
          <w:numId w:val="23"/>
        </w:numPr>
      </w:pPr>
      <w:r w:rsidRPr="00693AF8">
        <w:rPr>
          <w:b/>
          <w:bCs/>
        </w:rPr>
        <w:t>Appendix 4 (Sample code):</w:t>
      </w:r>
      <w:r w:rsidRPr="00693AF8">
        <w:t xml:space="preserve"> “This is </w:t>
      </w:r>
      <w:proofErr w:type="gramStart"/>
      <w:r w:rsidRPr="00693AF8">
        <w:t>evidence</w:t>
      </w:r>
      <w:proofErr w:type="gramEnd"/>
      <w:r w:rsidRPr="00693AF8">
        <w:t xml:space="preserve"> the coupling is in code and rules, not theoretical.”</w:t>
      </w:r>
    </w:p>
    <w:p w14:paraId="01A82968" w14:textId="77777777" w:rsidR="00693AF8" w:rsidRPr="00693AF8" w:rsidRDefault="00693AF8" w:rsidP="00693AF8">
      <w:pPr>
        <w:numPr>
          <w:ilvl w:val="0"/>
          <w:numId w:val="23"/>
        </w:numPr>
      </w:pPr>
      <w:r w:rsidRPr="00693AF8">
        <w:rPr>
          <w:b/>
          <w:bCs/>
        </w:rPr>
        <w:t>Appendix 3 (Blast radius table):</w:t>
      </w:r>
      <w:r w:rsidRPr="00693AF8">
        <w:t xml:space="preserve"> “Here’s what we know, and what’s TBD pending scans and owner confirmation.”</w:t>
      </w:r>
    </w:p>
    <w:p w14:paraId="2B49287D" w14:textId="77777777" w:rsidR="00693AF8" w:rsidRPr="00693AF8" w:rsidRDefault="00693AF8" w:rsidP="00693AF8">
      <w:pPr>
        <w:numPr>
          <w:ilvl w:val="0"/>
          <w:numId w:val="23"/>
        </w:numPr>
      </w:pPr>
      <w:r w:rsidRPr="00693AF8">
        <w:rPr>
          <w:b/>
          <w:bCs/>
        </w:rPr>
        <w:t>Appendix 2 (Approach):</w:t>
      </w:r>
      <w:r w:rsidRPr="00693AF8">
        <w:t xml:space="preserve"> “This is the structured method: routing rules, code search, prod logs, owner verification, then guardrails.”</w:t>
      </w:r>
    </w:p>
    <w:p w14:paraId="30A3159C" w14:textId="77777777" w:rsidR="00693AF8" w:rsidRPr="00693AF8" w:rsidRDefault="00693AF8" w:rsidP="00693AF8">
      <w:pPr>
        <w:numPr>
          <w:ilvl w:val="0"/>
          <w:numId w:val="23"/>
        </w:numPr>
      </w:pPr>
      <w:r w:rsidRPr="00693AF8">
        <w:rPr>
          <w:b/>
          <w:bCs/>
        </w:rPr>
        <w:t>Appendix 1 (Execution plan):</w:t>
      </w:r>
      <w:r w:rsidRPr="00693AF8">
        <w:t xml:space="preserve"> “This is the governance: exec ask, spike, decision gate, then wave plan/cutover.”</w:t>
      </w:r>
    </w:p>
    <w:p w14:paraId="7B80CA9C" w14:textId="77777777" w:rsidR="00693AF8" w:rsidRPr="00693AF8" w:rsidRDefault="00693AF8" w:rsidP="00693AF8">
      <w:r w:rsidRPr="00693AF8">
        <w:pict w14:anchorId="6B71D14F">
          <v:rect id="_x0000_i1030" style="width:0;height:1.5pt" o:hralign="center" o:hrstd="t" o:hr="t" fillcolor="#a0a0a0" stroked="f"/>
        </w:pict>
      </w:r>
    </w:p>
    <w:p w14:paraId="5F1F104E" w14:textId="77777777" w:rsidR="00693AF8" w:rsidRDefault="00693AF8">
      <w:pPr>
        <w:rPr>
          <w:b/>
          <w:bCs/>
        </w:rPr>
      </w:pPr>
      <w:r>
        <w:rPr>
          <w:b/>
          <w:bCs/>
        </w:rPr>
        <w:br w:type="page"/>
      </w:r>
    </w:p>
    <w:p w14:paraId="16E9CF6D" w14:textId="317E8E1F" w:rsidR="00693AF8" w:rsidRPr="00693AF8" w:rsidRDefault="00693AF8" w:rsidP="00693AF8">
      <w:pPr>
        <w:rPr>
          <w:b/>
          <w:bCs/>
          <w:color w:val="FFFF00"/>
        </w:rPr>
      </w:pPr>
      <w:r w:rsidRPr="00693AF8">
        <w:rPr>
          <w:b/>
          <w:bCs/>
          <w:color w:val="FFFF00"/>
          <w:highlight w:val="magenta"/>
        </w:rPr>
        <w:lastRenderedPageBreak/>
        <w:t>Critical CTO questions you’re likely to get (and crisp answers)</w:t>
      </w:r>
    </w:p>
    <w:p w14:paraId="22C75780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1) “What exactly are you asking us to decide today?”</w:t>
      </w:r>
    </w:p>
    <w:p w14:paraId="5474873D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 xml:space="preserve">“Approve the </w:t>
      </w:r>
      <w:r w:rsidRPr="00693AF8">
        <w:rPr>
          <w:b/>
          <w:bCs/>
        </w:rPr>
        <w:t>time-boxed AM-wide assessment</w:t>
      </w:r>
      <w:r w:rsidRPr="00693AF8">
        <w:t xml:space="preserve"> to quantify blast radius/effort/timeline, or explicitly accept </w:t>
      </w:r>
      <w:r w:rsidRPr="00693AF8">
        <w:rPr>
          <w:b/>
          <w:bCs/>
        </w:rPr>
        <w:t>status quo</w:t>
      </w:r>
      <w:r w:rsidRPr="00693AF8">
        <w:t xml:space="preserve"> to protect EMEA time-to-market with an agreed tech-debt plan.”</w:t>
      </w:r>
    </w:p>
    <w:p w14:paraId="157522C7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2) “Why can’t you just proceed with Option 1?”</w:t>
      </w:r>
    </w:p>
    <w:p w14:paraId="49C3EA2F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>“We can’t responsibly commit without validating the full blast radius. The risk is late surprises that either break operations or delay delivery. The assessment de-risks both.”</w:t>
      </w:r>
    </w:p>
    <w:p w14:paraId="7BFBE842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3) “Why can’t you just take Option 2 and revisit later?”</w:t>
      </w:r>
    </w:p>
    <w:p w14:paraId="0A0A2E5B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 xml:space="preserve">“We can, but it’s a decision to run </w:t>
      </w:r>
      <w:r w:rsidRPr="00693AF8">
        <w:rPr>
          <w:b/>
          <w:bCs/>
        </w:rPr>
        <w:t>dual semantics</w:t>
      </w:r>
      <w:r w:rsidRPr="00693AF8">
        <w:t xml:space="preserve"> and carry permanent complexity into operations and controls. ‘Revisit later’ rarely happens unless we attach explicit ownership and funding.”</w:t>
      </w:r>
    </w:p>
    <w:p w14:paraId="43A10EA2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4) “How long is the assessment and what do you need from us?”</w:t>
      </w:r>
    </w:p>
    <w:p w14:paraId="14BB31D3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 xml:space="preserve">“Up to </w:t>
      </w:r>
      <w:r w:rsidRPr="00693AF8">
        <w:rPr>
          <w:b/>
          <w:bCs/>
        </w:rPr>
        <w:t>4 weeks</w:t>
      </w:r>
      <w:r w:rsidRPr="00693AF8">
        <w:t>, time-boxed. We need named engagement from key AM consumer owners so we can validate routing rules, code patterns, log evidence, and confirm sizing.”</w:t>
      </w:r>
    </w:p>
    <w:p w14:paraId="6C731E60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5) “What will you deliver at the end of 4 weeks?”</w:t>
      </w:r>
    </w:p>
    <w:p w14:paraId="176147F5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>“A decision-grade pack: confirmed impacted systems, change themes, sizing (T-shirt/sprint), timeline impact, risks, mitigations/guardrails, and a recommended go-forward path.”</w:t>
      </w:r>
    </w:p>
    <w:p w14:paraId="0A1237E2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6) “What’s the business impact if we get this wrong?”</w:t>
      </w:r>
    </w:p>
    <w:p w14:paraId="77F67D37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>“Operational disruption at cutover: misrouting, validation failures, reconciliation/reporting/control breaks — plus delivery slippage from late-discovered dependencies.”</w:t>
      </w:r>
    </w:p>
    <w:p w14:paraId="462E95F3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 xml:space="preserve">7) “Can’t enterprise architecture just look at the </w:t>
      </w:r>
      <w:proofErr w:type="spellStart"/>
      <w:r w:rsidRPr="00693AF8">
        <w:rPr>
          <w:b/>
          <w:bCs/>
        </w:rPr>
        <w:t>catalog</w:t>
      </w:r>
      <w:proofErr w:type="spellEnd"/>
      <w:r w:rsidRPr="00693AF8">
        <w:rPr>
          <w:b/>
          <w:bCs/>
        </w:rPr>
        <w:t xml:space="preserve"> / dependencies?”</w:t>
      </w:r>
    </w:p>
    <w:p w14:paraId="043B6592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>“</w:t>
      </w:r>
      <w:proofErr w:type="spellStart"/>
      <w:r w:rsidRPr="00693AF8">
        <w:t>Catalogs</w:t>
      </w:r>
      <w:proofErr w:type="spellEnd"/>
      <w:r w:rsidRPr="00693AF8">
        <w:t xml:space="preserve"> help, but the coupling here is frequently in </w:t>
      </w:r>
      <w:r w:rsidRPr="00693AF8">
        <w:rPr>
          <w:b/>
          <w:bCs/>
        </w:rPr>
        <w:t>message routing rules, prefix-based logic, and code paths</w:t>
      </w:r>
      <w:r w:rsidRPr="00693AF8">
        <w:t>. We need lightweight scans plus owner confirmation to avoid false confidence.”</w:t>
      </w:r>
    </w:p>
    <w:p w14:paraId="75B440CB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8) “Which systems are the biggest risks?”</w:t>
      </w:r>
    </w:p>
    <w:p w14:paraId="1F2692C6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 xml:space="preserve">“Anything that uses prefix-coupled routing/validation at scale — </w:t>
      </w:r>
      <w:proofErr w:type="spellStart"/>
      <w:r w:rsidRPr="00693AF8">
        <w:t>MessageBus</w:t>
      </w:r>
      <w:proofErr w:type="spellEnd"/>
      <w:r w:rsidRPr="00693AF8">
        <w:t xml:space="preserve"> subscriptions/rules, IBOR/PODS type ingestion logic, and downstream controls/reporting.”</w:t>
      </w:r>
    </w:p>
    <w:p w14:paraId="25D9867B" w14:textId="77777777" w:rsidR="00693AF8" w:rsidRPr="00693AF8" w:rsidRDefault="00693AF8" w:rsidP="00693AF8">
      <w:r w:rsidRPr="00693AF8">
        <w:rPr>
          <w:b/>
          <w:bCs/>
        </w:rPr>
        <w:t>If they push:</w:t>
      </w:r>
      <w:r w:rsidRPr="00693AF8">
        <w:t xml:space="preserve"> go to Appendix 3.</w:t>
      </w:r>
    </w:p>
    <w:p w14:paraId="2508DA47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9) “What is the ‘blast radius’ in plain English?”</w:t>
      </w:r>
    </w:p>
    <w:p w14:paraId="5FAA951B" w14:textId="77777777" w:rsidR="00693AF8" w:rsidRPr="00693AF8" w:rsidRDefault="00693AF8" w:rsidP="00693AF8">
      <w:r w:rsidRPr="00693AF8">
        <w:rPr>
          <w:b/>
          <w:bCs/>
        </w:rPr>
        <w:lastRenderedPageBreak/>
        <w:t>Answer:</w:t>
      </w:r>
      <w:r w:rsidRPr="00693AF8">
        <w:br/>
        <w:t xml:space="preserve">“How many systems will break or behave differently when EMEA migrated accounts stop producing </w:t>
      </w:r>
      <w:proofErr w:type="spellStart"/>
      <w:r w:rsidRPr="00693AF8">
        <w:t>Salerio</w:t>
      </w:r>
      <w:proofErr w:type="spellEnd"/>
      <w:r w:rsidRPr="00693AF8">
        <w:t>-style IDs — including routing, validation, controls, and reporting.”</w:t>
      </w:r>
    </w:p>
    <w:p w14:paraId="2E27194E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10) “Is this required for EMEA go-live, or is it future-proofing?”</w:t>
      </w:r>
    </w:p>
    <w:p w14:paraId="2D029FC7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>“There’s a minimum needed for EMEA go-live, but without a plan we risk either destabilising go-live or locking in dual semantics. The assessment tells us what is truly required vs what can be sequenced.”</w:t>
      </w:r>
    </w:p>
    <w:p w14:paraId="58B851FC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11) “What are the guardrails to make Option 1 safe?”</w:t>
      </w:r>
    </w:p>
    <w:p w14:paraId="322E0F55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>“Parallel-run parity dashboards, MDR ingress checks, idempotent consumers, and a tested rollback plan — plus staged wave cutovers with acceptance criteria.”</w:t>
      </w:r>
    </w:p>
    <w:p w14:paraId="2C0F011A" w14:textId="77777777" w:rsidR="00693AF8" w:rsidRPr="00693AF8" w:rsidRDefault="00693AF8" w:rsidP="00693AF8">
      <w:r w:rsidRPr="00693AF8">
        <w:rPr>
          <w:b/>
          <w:bCs/>
        </w:rPr>
        <w:t>If they ask for detail:</w:t>
      </w:r>
      <w:r w:rsidRPr="00693AF8">
        <w:t xml:space="preserve"> Appendix 2/1.</w:t>
      </w:r>
    </w:p>
    <w:p w14:paraId="56AA1863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12) “Who owns the tech debt if we choose Option 2?”</w:t>
      </w:r>
    </w:p>
    <w:p w14:paraId="567674EA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>“That’s exactly why we need an explicit steer. If we choose Option 2, we should assign ownership, define paydown milestones, and track it as a governed debt item — otherwise it becomes permanent.”</w:t>
      </w:r>
    </w:p>
    <w:p w14:paraId="197024E1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13) “What’s your recommendation?”</w:t>
      </w:r>
    </w:p>
    <w:p w14:paraId="7E43867B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>“Standardise to a single IMOS model (Option 1), and approve the time-boxed assessment now so we can quantify scope and execute safely.”</w:t>
      </w:r>
    </w:p>
    <w:p w14:paraId="7F8B061B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14) “What do you need from Trading vs AM app teams?”</w:t>
      </w:r>
    </w:p>
    <w:p w14:paraId="13762988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>“Trading: clarity on target ID contract and any transitional capabilities. AM teams: validate where prefix-based assumptions exist in code/rules and confirm sizing and operational controls.”</w:t>
      </w:r>
    </w:p>
    <w:p w14:paraId="3723F34A" w14:textId="77777777" w:rsidR="00693AF8" w:rsidRPr="00693AF8" w:rsidRDefault="00693AF8" w:rsidP="00693AF8">
      <w:pPr>
        <w:rPr>
          <w:b/>
          <w:bCs/>
        </w:rPr>
      </w:pPr>
      <w:r w:rsidRPr="00693AF8">
        <w:rPr>
          <w:b/>
          <w:bCs/>
        </w:rPr>
        <w:t>15) “Can we do a hybrid—Option 2 now, Option 1 later?”</w:t>
      </w:r>
    </w:p>
    <w:p w14:paraId="79393027" w14:textId="77777777" w:rsidR="00693AF8" w:rsidRPr="00693AF8" w:rsidRDefault="00693AF8" w:rsidP="00693AF8">
      <w:r w:rsidRPr="00693AF8">
        <w:rPr>
          <w:b/>
          <w:bCs/>
        </w:rPr>
        <w:t>Answer:</w:t>
      </w:r>
      <w:r w:rsidRPr="00693AF8">
        <w:br/>
        <w:t xml:space="preserve">“Yes, but only if ‘later’ is real: we’d need a committed paydown plan with funding and dates. </w:t>
      </w:r>
      <w:proofErr w:type="gramStart"/>
      <w:r w:rsidRPr="00693AF8">
        <w:t>Otherwise</w:t>
      </w:r>
      <w:proofErr w:type="gramEnd"/>
      <w:r w:rsidRPr="00693AF8">
        <w:t xml:space="preserve"> it’s effectively choosing Option 2 permanently.”</w:t>
      </w:r>
    </w:p>
    <w:p w14:paraId="65E83510" w14:textId="77777777" w:rsidR="00693AF8" w:rsidRDefault="00693AF8"/>
    <w:sectPr w:rsidR="00693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1E7C"/>
    <w:multiLevelType w:val="multilevel"/>
    <w:tmpl w:val="413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D4127"/>
    <w:multiLevelType w:val="multilevel"/>
    <w:tmpl w:val="6458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7739C"/>
    <w:multiLevelType w:val="multilevel"/>
    <w:tmpl w:val="DEC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3CD2"/>
    <w:multiLevelType w:val="hybridMultilevel"/>
    <w:tmpl w:val="09A20ED6"/>
    <w:lvl w:ilvl="0" w:tplc="582E36C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47432"/>
    <w:multiLevelType w:val="multilevel"/>
    <w:tmpl w:val="D88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57326"/>
    <w:multiLevelType w:val="hybridMultilevel"/>
    <w:tmpl w:val="B5587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01C6F"/>
    <w:multiLevelType w:val="multilevel"/>
    <w:tmpl w:val="E67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04296"/>
    <w:multiLevelType w:val="multilevel"/>
    <w:tmpl w:val="487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95C84"/>
    <w:multiLevelType w:val="multilevel"/>
    <w:tmpl w:val="F970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D53DA"/>
    <w:multiLevelType w:val="hybridMultilevel"/>
    <w:tmpl w:val="4184B9DA"/>
    <w:lvl w:ilvl="0" w:tplc="582E36C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B0642F"/>
    <w:multiLevelType w:val="multilevel"/>
    <w:tmpl w:val="427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A24D8"/>
    <w:multiLevelType w:val="hybridMultilevel"/>
    <w:tmpl w:val="6A580DEC"/>
    <w:lvl w:ilvl="0" w:tplc="582E36CE">
      <w:numFmt w:val="bullet"/>
      <w:lvlText w:val="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C94758"/>
    <w:multiLevelType w:val="multilevel"/>
    <w:tmpl w:val="6A20B8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F46A6"/>
    <w:multiLevelType w:val="multilevel"/>
    <w:tmpl w:val="24728F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92EAE"/>
    <w:multiLevelType w:val="multilevel"/>
    <w:tmpl w:val="E54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E4B2A"/>
    <w:multiLevelType w:val="hybridMultilevel"/>
    <w:tmpl w:val="9CF28192"/>
    <w:lvl w:ilvl="0" w:tplc="582E36C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9187D"/>
    <w:multiLevelType w:val="multilevel"/>
    <w:tmpl w:val="3C8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F30C9"/>
    <w:multiLevelType w:val="multilevel"/>
    <w:tmpl w:val="A1B4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47788"/>
    <w:multiLevelType w:val="multilevel"/>
    <w:tmpl w:val="DAD8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7725A"/>
    <w:multiLevelType w:val="multilevel"/>
    <w:tmpl w:val="5508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8E7118"/>
    <w:multiLevelType w:val="multilevel"/>
    <w:tmpl w:val="D9D2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B27A7"/>
    <w:multiLevelType w:val="multilevel"/>
    <w:tmpl w:val="EA0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92ED8"/>
    <w:multiLevelType w:val="hybridMultilevel"/>
    <w:tmpl w:val="8ED8649E"/>
    <w:lvl w:ilvl="0" w:tplc="582E36C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E96518"/>
    <w:multiLevelType w:val="multilevel"/>
    <w:tmpl w:val="4F6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69202">
    <w:abstractNumId w:val="19"/>
  </w:num>
  <w:num w:numId="2" w16cid:durableId="793250648">
    <w:abstractNumId w:val="13"/>
  </w:num>
  <w:num w:numId="3" w16cid:durableId="1837764657">
    <w:abstractNumId w:val="12"/>
  </w:num>
  <w:num w:numId="4" w16cid:durableId="989821481">
    <w:abstractNumId w:val="16"/>
  </w:num>
  <w:num w:numId="5" w16cid:durableId="1563174713">
    <w:abstractNumId w:val="10"/>
  </w:num>
  <w:num w:numId="6" w16cid:durableId="833375696">
    <w:abstractNumId w:val="8"/>
  </w:num>
  <w:num w:numId="7" w16cid:durableId="1765498143">
    <w:abstractNumId w:val="14"/>
  </w:num>
  <w:num w:numId="8" w16cid:durableId="1604143793">
    <w:abstractNumId w:val="5"/>
  </w:num>
  <w:num w:numId="9" w16cid:durableId="1957327630">
    <w:abstractNumId w:val="3"/>
  </w:num>
  <w:num w:numId="10" w16cid:durableId="1968048306">
    <w:abstractNumId w:val="9"/>
  </w:num>
  <w:num w:numId="11" w16cid:durableId="279529155">
    <w:abstractNumId w:val="15"/>
  </w:num>
  <w:num w:numId="12" w16cid:durableId="1634019566">
    <w:abstractNumId w:val="11"/>
  </w:num>
  <w:num w:numId="13" w16cid:durableId="724331953">
    <w:abstractNumId w:val="21"/>
  </w:num>
  <w:num w:numId="14" w16cid:durableId="1909416143">
    <w:abstractNumId w:val="18"/>
  </w:num>
  <w:num w:numId="15" w16cid:durableId="95029568">
    <w:abstractNumId w:val="6"/>
  </w:num>
  <w:num w:numId="16" w16cid:durableId="1503011444">
    <w:abstractNumId w:val="1"/>
  </w:num>
  <w:num w:numId="17" w16cid:durableId="1477456054">
    <w:abstractNumId w:val="23"/>
  </w:num>
  <w:num w:numId="18" w16cid:durableId="860624309">
    <w:abstractNumId w:val="17"/>
  </w:num>
  <w:num w:numId="19" w16cid:durableId="290020276">
    <w:abstractNumId w:val="20"/>
  </w:num>
  <w:num w:numId="20" w16cid:durableId="1557085979">
    <w:abstractNumId w:val="7"/>
  </w:num>
  <w:num w:numId="21" w16cid:durableId="1937711546">
    <w:abstractNumId w:val="4"/>
  </w:num>
  <w:num w:numId="22" w16cid:durableId="1327975022">
    <w:abstractNumId w:val="0"/>
  </w:num>
  <w:num w:numId="23" w16cid:durableId="1798523316">
    <w:abstractNumId w:val="2"/>
  </w:num>
  <w:num w:numId="24" w16cid:durableId="6117855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EC"/>
    <w:rsid w:val="00150D6D"/>
    <w:rsid w:val="002B55A8"/>
    <w:rsid w:val="004A166E"/>
    <w:rsid w:val="004C5277"/>
    <w:rsid w:val="00510715"/>
    <w:rsid w:val="005A2D17"/>
    <w:rsid w:val="00693AF8"/>
    <w:rsid w:val="00A466EC"/>
    <w:rsid w:val="00B13F49"/>
    <w:rsid w:val="00E56B4F"/>
    <w:rsid w:val="00F67F60"/>
    <w:rsid w:val="00FA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AF759"/>
  <w15:chartTrackingRefBased/>
  <w15:docId w15:val="{02B565ED-3ACB-4563-89CD-5BFD6605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66E"/>
  </w:style>
  <w:style w:type="paragraph" w:styleId="Heading1">
    <w:name w:val="heading 1"/>
    <w:basedOn w:val="Normal"/>
    <w:next w:val="Normal"/>
    <w:link w:val="Heading1Char"/>
    <w:uiPriority w:val="9"/>
    <w:qFormat/>
    <w:rsid w:val="00A4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6E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93A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6</Pages>
  <Words>1720</Words>
  <Characters>9809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Ekkoratha</dc:creator>
  <cp:keywords/>
  <dc:description/>
  <cp:lastModifiedBy>Prasanth Ekkoratha</cp:lastModifiedBy>
  <cp:revision>1</cp:revision>
  <cp:lastPrinted>2026-02-09T15:43:00Z</cp:lastPrinted>
  <dcterms:created xsi:type="dcterms:W3CDTF">2026-02-09T15:34:00Z</dcterms:created>
  <dcterms:modified xsi:type="dcterms:W3CDTF">2026-02-09T20:26:00Z</dcterms:modified>
</cp:coreProperties>
</file>