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jc w:val="center"/>
      </w:pPr>
      <w:r>
        <w:rPr>
          <w:b/>
          <w:color w:val="2F5496"/>
          <w:sz w:val="16"/>
        </w:rPr>
        <w:t>CLASSIFICATION: CONFIDENTIAL</w:t>
      </w:r>
    </w:p>
    <w:p/>
    <w:p/>
    <w:p/>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ura_logo.png"/>
                    <pic:cNvPicPr/>
                  </pic:nvPicPr>
                  <pic:blipFill>
                    <a:blip r:embed="rId19"/>
                    <a:stretch>
                      <a:fillRect/>
                    </a:stretch>
                  </pic:blipFill>
                  <pic:spPr>
                    <a:xfrm>
                      <a:off x="0" y="0"/>
                      <a:ext cx="1800000" cy="1800000"/>
                    </a:xfrm>
                    <a:prstGeom prst="rect"/>
                  </pic:spPr>
                </pic:pic>
              </a:graphicData>
            </a:graphic>
          </wp:inline>
        </w:drawing>
      </w:r>
    </w:p>
    <w:p/>
    <w:p>
      <w:pPr>
        <w:spacing w:after="120"/>
        <w:jc w:val="center"/>
      </w:pPr>
      <w:r>
        <w:t>Information Technology and Innovation Department</w:t>
      </w:r>
    </w:p>
    <w:p/>
    <w:p/>
    <w:p>
      <w:pPr>
        <w:jc w:val="center"/>
      </w:pPr>
      <w:r>
        <w:rPr>
          <w:b/>
          <w:color w:val="2F5496"/>
          <w:sz w:val="30"/>
        </w:rPr>
        <w:t>CUSTOMS TAXPAYER RISK PROFILING MODEL</w:t>
      </w:r>
    </w:p>
    <w:p>
      <w:pPr>
        <w:spacing w:after="120"/>
        <w:jc w:val="center"/>
      </w:pPr>
      <w:r>
        <w:t>Data and Feature Catalogue</w:t>
      </w:r>
    </w:p>
    <w:p/>
    <w:p>
      <w:pPr>
        <w:jc w:val="center"/>
      </w:pPr>
      <w:r>
        <w:rPr>
          <w:b/>
          <w:sz w:val="18"/>
        </w:rPr>
        <w:t>VERSION 1.0, OCTOBER 2026</w:t>
      </w:r>
    </w:p>
    <w:p>
      <w:pPr>
        <w:sectPr>
          <w:footerReference w:type="default" r:id="rId11"/>
          <w:headerReference w:type="default" r:id="rId18"/>
          <w:pgSz w:w="11906" w:h="16838" w:code="9"/>
          <w:pgMar w:top="1440" w:right="1077" w:bottom="1440" w:left="1077" w:header="706" w:footer="706" w:gutter="0"/>
          <w:cols w:space="720"/>
          <w:docGrid w:linePitch="360"/>
        </w:sectPr>
      </w:pPr>
    </w:p>
    <w:p>
      <w:pPr>
        <w:pStyle w:val="Heading1"/>
      </w:pPr>
      <w:r>
        <w:t>Document Control &amp; Authority</w:t>
      </w:r>
    </w:p>
    <w:p>
      <w:pPr>
        <w:pStyle w:val="Caption"/>
      </w:pPr>
      <w:r>
        <w:t xml:space="preserve">Table </w:t>
      </w:r>
      <w:r>
        <w:fldChar w:fldCharType="begin"/>
      </w:r>
      <w:r>
        <w:instrText xml:space="preserve"> SEQ Table \* ARABIC </w:instrText>
      </w:r>
      <w:r>
        <w:fldChar w:fldCharType="separate"/>
      </w:r>
      <w:r>
        <w:t>1</w:t>
      </w:r>
      <w:r>
        <w:fldChar w:fldCharType="end"/>
      </w:r>
      <w:r>
        <w:t>: Document Information</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Field</w:t>
            </w:r>
          </w:p>
        </w:tc>
        <w:tc>
          <w:tcPr>
            <w:tcW w:type="dxa" w:w="7457"/>
            <w:shd w:val="clear" w:color="auto" w:fill="D9E2F3"/>
          </w:tcPr>
          <w:p>
            <w:pPr>
              <w:spacing w:after="20" w:before="20" w:line="240" w:lineRule="auto"/>
            </w:pPr>
            <w:r/>
            <w:r>
              <w:rPr>
                <w:b/>
                <w:sz w:val="18"/>
              </w:rPr>
              <w:t>Details</w:t>
            </w:r>
          </w:p>
        </w:tc>
      </w:tr>
      <w:tr>
        <w:tc>
          <w:tcPr>
            <w:tcW w:type="dxa" w:w="2294"/>
          </w:tcPr>
          <w:p>
            <w:pPr>
              <w:spacing w:after="20" w:before="20" w:line="240" w:lineRule="auto"/>
            </w:pPr>
            <w:r/>
            <w:r>
              <w:rPr>
                <w:sz w:val="18"/>
              </w:rPr>
              <w:t>Document Title</w:t>
            </w:r>
          </w:p>
        </w:tc>
        <w:tc>
          <w:tcPr>
            <w:tcW w:type="dxa" w:w="7457"/>
          </w:tcPr>
          <w:p>
            <w:pPr>
              <w:spacing w:after="20" w:before="20" w:line="240" w:lineRule="auto"/>
            </w:pPr>
            <w:r/>
            <w:r>
              <w:rPr>
                <w:sz w:val="18"/>
              </w:rPr>
              <w:t>Customs Taxpayer Risk Profiling Model: Data and Feature Catalogue</w:t>
            </w:r>
          </w:p>
        </w:tc>
      </w:tr>
      <w:tr>
        <w:tc>
          <w:tcPr>
            <w:tcW w:type="dxa" w:w="2294"/>
          </w:tcPr>
          <w:p>
            <w:pPr>
              <w:spacing w:after="20" w:before="20" w:line="240" w:lineRule="auto"/>
            </w:pPr>
            <w:r/>
            <w:r>
              <w:rPr>
                <w:sz w:val="18"/>
              </w:rPr>
              <w:t>Version</w:t>
            </w:r>
          </w:p>
        </w:tc>
        <w:tc>
          <w:tcPr>
            <w:tcW w:type="dxa" w:w="7457"/>
          </w:tcPr>
          <w:p>
            <w:pPr>
              <w:spacing w:after="20" w:before="20" w:line="240" w:lineRule="auto"/>
            </w:pPr>
            <w:r/>
            <w:r>
              <w:rPr>
                <w:sz w:val="18"/>
              </w:rPr>
              <w:t>1.0</w:t>
            </w:r>
          </w:p>
        </w:tc>
      </w:tr>
      <w:tr>
        <w:tc>
          <w:tcPr>
            <w:tcW w:type="dxa" w:w="2294"/>
          </w:tcPr>
          <w:p>
            <w:pPr>
              <w:spacing w:after="20" w:before="20" w:line="240" w:lineRule="auto"/>
            </w:pPr>
            <w:r/>
            <w:r>
              <w:rPr>
                <w:sz w:val="18"/>
              </w:rPr>
              <w:t>Classification</w:t>
            </w:r>
          </w:p>
        </w:tc>
        <w:tc>
          <w:tcPr>
            <w:tcW w:type="dxa" w:w="7457"/>
          </w:tcPr>
          <w:p>
            <w:pPr>
              <w:spacing w:after="20" w:before="20" w:line="240" w:lineRule="auto"/>
            </w:pPr>
            <w:r/>
            <w:r>
              <w:rPr>
                <w:sz w:val="18"/>
              </w:rPr>
              <w:t>Confidential</w:t>
            </w:r>
          </w:p>
        </w:tc>
      </w:tr>
      <w:tr>
        <w:tc>
          <w:tcPr>
            <w:tcW w:type="dxa" w:w="2294"/>
          </w:tcPr>
          <w:p>
            <w:pPr>
              <w:spacing w:after="20" w:before="20" w:line="240" w:lineRule="auto"/>
            </w:pPr>
            <w:r/>
            <w:r>
              <w:rPr>
                <w:sz w:val="18"/>
              </w:rPr>
              <w:t>Owner</w:t>
            </w:r>
          </w:p>
        </w:tc>
        <w:tc>
          <w:tcPr>
            <w:tcW w:type="dxa" w:w="7457"/>
          </w:tcPr>
          <w:p>
            <w:pPr>
              <w:spacing w:after="20" w:before="20" w:line="240" w:lineRule="auto"/>
            </w:pPr>
            <w:r/>
            <w:r>
              <w:rPr>
                <w:sz w:val="18"/>
              </w:rPr>
              <w:t>Data Science Section, Data, Innovations and Projects Division, ITID</w:t>
            </w:r>
          </w:p>
        </w:tc>
      </w:tr>
      <w:tr>
        <w:tc>
          <w:tcPr>
            <w:tcW w:type="dxa" w:w="2294"/>
          </w:tcPr>
          <w:p>
            <w:pPr>
              <w:spacing w:after="20" w:before="20" w:line="240" w:lineRule="auto"/>
            </w:pPr>
            <w:r/>
            <w:r>
              <w:rPr>
                <w:sz w:val="18"/>
              </w:rPr>
              <w:t>Model settings described</w:t>
            </w:r>
          </w:p>
        </w:tc>
        <w:tc>
          <w:tcPr>
            <w:tcW w:type="dxa" w:w="7457"/>
          </w:tcPr>
          <w:p>
            <w:pPr>
              <w:spacing w:after="20" w:before="20" w:line="240" w:lineRule="auto"/>
            </w:pPr>
            <w:r/>
            <w:r>
              <w:rPr>
                <w:sz w:val="18"/>
              </w:rPr>
              <w:t>1.0.0-dev5, version 3 data rules (entry key, no motor vehicles, no APC 483)</w:t>
            </w:r>
          </w:p>
        </w:tc>
      </w:tr>
    </w:tbl>
    <w:p>
      <w:pPr>
        <w:spacing w:after="40"/>
      </w:pPr>
    </w:p>
    <w:p>
      <w:pPr>
        <w:pStyle w:val="Caption"/>
      </w:pPr>
      <w:r>
        <w:t xml:space="preserve">Table </w:t>
      </w:r>
      <w:r>
        <w:fldChar w:fldCharType="begin"/>
      </w:r>
      <w:r>
        <w:instrText xml:space="preserve"> SEQ Table \* ARABIC </w:instrText>
      </w:r>
      <w:r>
        <w:fldChar w:fldCharType="separate"/>
      </w:r>
      <w:r>
        <w:t>2</w:t>
      </w:r>
      <w:r>
        <w:fldChar w:fldCharType="end"/>
      </w:r>
      <w:r>
        <w:t>: Document Version History</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860"/>
            <w:shd w:val="clear" w:color="auto" w:fill="D9E2F3"/>
          </w:tcPr>
          <w:p>
            <w:pPr>
              <w:spacing w:after="20" w:before="20" w:line="240" w:lineRule="auto"/>
            </w:pPr>
            <w:r/>
            <w:r>
              <w:rPr>
                <w:b/>
                <w:sz w:val="18"/>
              </w:rPr>
              <w:t>Version</w:t>
            </w:r>
          </w:p>
        </w:tc>
        <w:tc>
          <w:tcPr>
            <w:tcW w:type="dxa" w:w="1434"/>
            <w:shd w:val="clear" w:color="auto" w:fill="D9E2F3"/>
          </w:tcPr>
          <w:p>
            <w:pPr>
              <w:spacing w:after="20" w:before="20" w:line="240" w:lineRule="auto"/>
            </w:pPr>
            <w:r/>
            <w:r>
              <w:rPr>
                <w:b/>
                <w:sz w:val="18"/>
              </w:rPr>
              <w:t>Date</w:t>
            </w:r>
          </w:p>
        </w:tc>
        <w:tc>
          <w:tcPr>
            <w:tcW w:type="dxa" w:w="1721"/>
            <w:shd w:val="clear" w:color="auto" w:fill="D9E2F3"/>
          </w:tcPr>
          <w:p>
            <w:pPr>
              <w:spacing w:after="20" w:before="20" w:line="240" w:lineRule="auto"/>
            </w:pPr>
            <w:r/>
            <w:r>
              <w:rPr>
                <w:b/>
                <w:sz w:val="18"/>
              </w:rPr>
              <w:t>Author(s)</w:t>
            </w:r>
          </w:p>
        </w:tc>
        <w:tc>
          <w:tcPr>
            <w:tcW w:type="dxa" w:w="1721"/>
            <w:shd w:val="clear" w:color="auto" w:fill="D9E2F3"/>
          </w:tcPr>
          <w:p>
            <w:pPr>
              <w:spacing w:after="20" w:before="20" w:line="240" w:lineRule="auto"/>
            </w:pPr>
            <w:r/>
            <w:r>
              <w:rPr>
                <w:b/>
                <w:sz w:val="18"/>
              </w:rPr>
              <w:t>Role</w:t>
            </w:r>
          </w:p>
        </w:tc>
        <w:tc>
          <w:tcPr>
            <w:tcW w:type="dxa" w:w="4015"/>
            <w:shd w:val="clear" w:color="auto" w:fill="D9E2F3"/>
          </w:tcPr>
          <w:p>
            <w:pPr>
              <w:spacing w:after="20" w:before="20" w:line="240" w:lineRule="auto"/>
            </w:pPr>
            <w:r/>
            <w:r>
              <w:rPr>
                <w:b/>
                <w:sz w:val="18"/>
              </w:rPr>
              <w:t>Changes</w:t>
            </w:r>
          </w:p>
        </w:tc>
      </w:tr>
      <w:tr>
        <w:tc>
          <w:tcPr>
            <w:tcW w:type="dxa" w:w="860"/>
          </w:tcPr>
          <w:p>
            <w:pPr>
              <w:spacing w:after="20" w:before="20" w:line="240" w:lineRule="auto"/>
            </w:pPr>
            <w:r/>
            <w:r>
              <w:rPr>
                <w:sz w:val="18"/>
              </w:rPr>
              <w:t>1.0</w:t>
            </w:r>
          </w:p>
        </w:tc>
        <w:tc>
          <w:tcPr>
            <w:tcW w:type="dxa" w:w="1434"/>
          </w:tcPr>
          <w:p>
            <w:pPr>
              <w:spacing w:after="20" w:before="20" w:line="240" w:lineRule="auto"/>
            </w:pPr>
            <w:r/>
            <w:r>
              <w:rPr>
                <w:sz w:val="18"/>
              </w:rPr>
              <w:t>22 October 2026</w:t>
            </w:r>
          </w:p>
        </w:tc>
        <w:tc>
          <w:tcPr>
            <w:tcW w:type="dxa" w:w="1721"/>
          </w:tcPr>
          <w:p>
            <w:pPr>
              <w:spacing w:after="20" w:before="20" w:line="240" w:lineRule="auto"/>
            </w:pPr>
            <w:r/>
            <w:r>
              <w:rPr>
                <w:sz w:val="18"/>
              </w:rPr>
              <w:t>Ethan Mugire</w:t>
            </w:r>
          </w:p>
        </w:tc>
        <w:tc>
          <w:tcPr>
            <w:tcW w:type="dxa" w:w="1721"/>
          </w:tcPr>
          <w:p>
            <w:pPr>
              <w:spacing w:after="20" w:before="20" w:line="240" w:lineRule="auto"/>
            </w:pPr>
            <w:r/>
            <w:r>
              <w:rPr>
                <w:sz w:val="18"/>
              </w:rPr>
              <w:t>Officer, Data Science</w:t>
            </w:r>
          </w:p>
        </w:tc>
        <w:tc>
          <w:tcPr>
            <w:tcW w:type="dxa" w:w="4015"/>
          </w:tcPr>
          <w:p>
            <w:pPr>
              <w:spacing w:after="20" w:before="20" w:line="240" w:lineRule="auto"/>
            </w:pPr>
            <w:r/>
            <w:r>
              <w:rPr>
                <w:sz w:val="18"/>
              </w:rPr>
              <w:t>First issue: sources, features, lineage, quality rules and access controls.</w:t>
            </w:r>
          </w:p>
        </w:tc>
      </w:tr>
    </w:tbl>
    <w:p>
      <w:pPr>
        <w:spacing w:after="40"/>
      </w:pPr>
    </w:p>
    <w:p>
      <w:pPr>
        <w:pStyle w:val="Caption"/>
      </w:pPr>
      <w:r>
        <w:t xml:space="preserve">Table </w:t>
      </w:r>
      <w:r>
        <w:fldChar w:fldCharType="begin"/>
      </w:r>
      <w:r>
        <w:instrText xml:space="preserve"> SEQ Table \* ARABIC </w:instrText>
      </w:r>
      <w:r>
        <w:fldChar w:fldCharType="separate"/>
      </w:r>
      <w:r>
        <w:t>3</w:t>
      </w:r>
      <w:r>
        <w:fldChar w:fldCharType="end"/>
      </w:r>
      <w:r>
        <w:t>: Document Reviewers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868"/>
            <w:shd w:val="clear" w:color="auto" w:fill="D9E2F3"/>
          </w:tcPr>
          <w:p>
            <w:pPr>
              <w:spacing w:after="20" w:before="20" w:line="240" w:lineRule="auto"/>
            </w:pPr>
            <w:r/>
            <w:r>
              <w:rPr>
                <w:b/>
                <w:sz w:val="18"/>
              </w:rPr>
              <w:t>Name</w:t>
            </w:r>
          </w:p>
        </w:tc>
        <w:tc>
          <w:tcPr>
            <w:tcW w:type="dxa" w:w="4015"/>
            <w:shd w:val="clear" w:color="auto" w:fill="D9E2F3"/>
          </w:tcPr>
          <w:p>
            <w:pPr>
              <w:spacing w:after="20" w:before="20" w:line="240" w:lineRule="auto"/>
            </w:pPr>
            <w:r/>
            <w:r>
              <w:rPr>
                <w:b/>
                <w:sz w:val="18"/>
              </w:rPr>
              <w:t>Role</w:t>
            </w:r>
          </w:p>
        </w:tc>
        <w:tc>
          <w:tcPr>
            <w:tcW w:type="dxa" w:w="1721"/>
            <w:shd w:val="clear" w:color="auto" w:fill="D9E2F3"/>
          </w:tcPr>
          <w:p>
            <w:pPr>
              <w:spacing w:after="20" w:before="20" w:line="240" w:lineRule="auto"/>
            </w:pPr>
            <w:r/>
            <w:r>
              <w:rPr>
                <w:b/>
                <w:sz w:val="18"/>
              </w:rPr>
              <w:t>Signature</w:t>
            </w:r>
          </w:p>
        </w:tc>
        <w:tc>
          <w:tcPr>
            <w:tcW w:type="dxa" w:w="1147"/>
            <w:shd w:val="clear" w:color="auto" w:fill="D9E2F3"/>
          </w:tcPr>
          <w:p>
            <w:pPr>
              <w:spacing w:after="20" w:before="20" w:line="240" w:lineRule="auto"/>
            </w:pPr>
            <w:r/>
            <w:r>
              <w:rPr>
                <w:b/>
                <w:sz w:val="18"/>
              </w:rPr>
              <w:t>Date</w:t>
            </w:r>
          </w:p>
        </w:tc>
      </w:tr>
      <w:tr>
        <w:tc>
          <w:tcPr>
            <w:tcW w:type="dxa" w:w="2868"/>
          </w:tcPr>
          <w:p>
            <w:pPr>
              <w:spacing w:after="20" w:before="20" w:line="240" w:lineRule="auto"/>
            </w:pPr>
            <w:r/>
            <w:r>
              <w:rPr>
                <w:sz w:val="18"/>
              </w:rPr>
              <w:t>Stella Kwera Kisuze</w:t>
            </w:r>
          </w:p>
        </w:tc>
        <w:tc>
          <w:tcPr>
            <w:tcW w:type="dxa" w:w="4015"/>
          </w:tcPr>
          <w:p>
            <w:pPr>
              <w:spacing w:after="20" w:before="20" w:line="240" w:lineRule="auto"/>
            </w:pPr>
            <w:r/>
            <w:r>
              <w:rPr>
                <w:sz w:val="18"/>
              </w:rPr>
              <w:t>Supervisor, Data Science</w:t>
            </w:r>
          </w:p>
        </w:tc>
        <w:tc>
          <w:tcPr>
            <w:tcW w:type="dxa" w:w="1721"/>
          </w:tcPr>
          <w:p>
            <w:pPr>
              <w:spacing w:after="20" w:before="20" w:line="240" w:lineRule="auto"/>
            </w:pPr>
            <w:r/>
          </w:p>
        </w:tc>
        <w:tc>
          <w:tcPr>
            <w:tcW w:type="dxa" w:w="1147"/>
          </w:tcPr>
          <w:p>
            <w:pPr>
              <w:spacing w:after="20" w:before="20" w:line="240" w:lineRule="auto"/>
            </w:pPr>
            <w:r/>
          </w:p>
        </w:tc>
      </w:tr>
      <w:tr>
        <w:tc>
          <w:tcPr>
            <w:tcW w:type="dxa" w:w="2868"/>
          </w:tcPr>
          <w:p>
            <w:pPr>
              <w:spacing w:after="20" w:before="20" w:line="240" w:lineRule="auto"/>
            </w:pPr>
            <w:r/>
          </w:p>
        </w:tc>
        <w:tc>
          <w:tcPr>
            <w:tcW w:type="dxa" w:w="4015"/>
          </w:tcPr>
          <w:p>
            <w:pPr>
              <w:spacing w:after="20" w:before="20" w:line="240" w:lineRule="auto"/>
            </w:pPr>
            <w:r/>
            <w:r>
              <w:rPr>
                <w:sz w:val="18"/>
              </w:rPr>
              <w:t>Data Governance</w:t>
            </w:r>
          </w:p>
        </w:tc>
        <w:tc>
          <w:tcPr>
            <w:tcW w:type="dxa" w:w="1721"/>
          </w:tcPr>
          <w:p>
            <w:pPr>
              <w:spacing w:after="20" w:before="20" w:line="240" w:lineRule="auto"/>
            </w:pPr>
            <w:r/>
          </w:p>
        </w:tc>
        <w:tc>
          <w:tcPr>
            <w:tcW w:type="dxa" w:w="1147"/>
          </w:tcPr>
          <w:p>
            <w:pPr>
              <w:spacing w:after="20" w:before="20" w:line="240" w:lineRule="auto"/>
            </w:pPr>
            <w:r/>
          </w:p>
        </w:tc>
      </w:tr>
    </w:tbl>
    <w:p>
      <w:pPr>
        <w:spacing w:after="40"/>
      </w:pPr>
    </w:p>
    <w:p>
      <w:pPr>
        <w:pStyle w:val="Caption"/>
      </w:pPr>
      <w:r>
        <w:t xml:space="preserve">Table </w:t>
      </w:r>
      <w:r>
        <w:fldChar w:fldCharType="begin"/>
      </w:r>
      <w:r>
        <w:instrText xml:space="preserve"> SEQ Table \* ARABIC </w:instrText>
      </w:r>
      <w:r>
        <w:fldChar w:fldCharType="separate"/>
      </w:r>
      <w:r>
        <w:t>4</w:t>
      </w:r>
      <w:r>
        <w:fldChar w:fldCharType="end"/>
      </w:r>
      <w:r>
        <w:t>: Document Approvals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868"/>
            <w:shd w:val="clear" w:color="auto" w:fill="D9E2F3"/>
          </w:tcPr>
          <w:p>
            <w:pPr>
              <w:spacing w:after="20" w:before="20" w:line="240" w:lineRule="auto"/>
            </w:pPr>
            <w:r/>
            <w:r>
              <w:rPr>
                <w:b/>
                <w:sz w:val="18"/>
              </w:rPr>
              <w:t>Name</w:t>
            </w:r>
          </w:p>
        </w:tc>
        <w:tc>
          <w:tcPr>
            <w:tcW w:type="dxa" w:w="4015"/>
            <w:shd w:val="clear" w:color="auto" w:fill="D9E2F3"/>
          </w:tcPr>
          <w:p>
            <w:pPr>
              <w:spacing w:after="20" w:before="20" w:line="240" w:lineRule="auto"/>
            </w:pPr>
            <w:r/>
            <w:r>
              <w:rPr>
                <w:b/>
                <w:sz w:val="18"/>
              </w:rPr>
              <w:t>Role</w:t>
            </w:r>
          </w:p>
        </w:tc>
        <w:tc>
          <w:tcPr>
            <w:tcW w:type="dxa" w:w="1721"/>
            <w:shd w:val="clear" w:color="auto" w:fill="D9E2F3"/>
          </w:tcPr>
          <w:p>
            <w:pPr>
              <w:spacing w:after="20" w:before="20" w:line="240" w:lineRule="auto"/>
            </w:pPr>
            <w:r/>
            <w:r>
              <w:rPr>
                <w:b/>
                <w:sz w:val="18"/>
              </w:rPr>
              <w:t>Signature</w:t>
            </w:r>
          </w:p>
        </w:tc>
        <w:tc>
          <w:tcPr>
            <w:tcW w:type="dxa" w:w="1147"/>
            <w:shd w:val="clear" w:color="auto" w:fill="D9E2F3"/>
          </w:tcPr>
          <w:p>
            <w:pPr>
              <w:spacing w:after="20" w:before="20" w:line="240" w:lineRule="auto"/>
            </w:pPr>
            <w:r/>
            <w:r>
              <w:rPr>
                <w:b/>
                <w:sz w:val="18"/>
              </w:rPr>
              <w:t>Date</w:t>
            </w:r>
          </w:p>
        </w:tc>
      </w:tr>
      <w:tr>
        <w:tc>
          <w:tcPr>
            <w:tcW w:type="dxa" w:w="2868"/>
          </w:tcPr>
          <w:p>
            <w:pPr>
              <w:spacing w:after="20" w:before="20" w:line="240" w:lineRule="auto"/>
            </w:pPr>
            <w:r/>
            <w:r>
              <w:rPr>
                <w:sz w:val="18"/>
              </w:rPr>
              <w:t>Kevin Mugumya</w:t>
            </w:r>
          </w:p>
        </w:tc>
        <w:tc>
          <w:tcPr>
            <w:tcW w:type="dxa" w:w="4015"/>
          </w:tcPr>
          <w:p>
            <w:pPr>
              <w:spacing w:after="20" w:before="20" w:line="240" w:lineRule="auto"/>
            </w:pPr>
            <w:r/>
            <w:r>
              <w:rPr>
                <w:sz w:val="18"/>
              </w:rPr>
              <w:t>Manager, Data Science</w:t>
            </w:r>
          </w:p>
        </w:tc>
        <w:tc>
          <w:tcPr>
            <w:tcW w:type="dxa" w:w="1721"/>
          </w:tcPr>
          <w:p>
            <w:pPr>
              <w:spacing w:after="20" w:before="20" w:line="240" w:lineRule="auto"/>
            </w:pPr>
            <w:r/>
          </w:p>
        </w:tc>
        <w:tc>
          <w:tcPr>
            <w:tcW w:type="dxa" w:w="1147"/>
          </w:tcPr>
          <w:p>
            <w:pPr>
              <w:spacing w:after="20" w:before="20" w:line="240" w:lineRule="auto"/>
            </w:pPr>
            <w:r/>
          </w:p>
        </w:tc>
      </w:tr>
    </w:tbl>
    <w:p>
      <w:pPr>
        <w:spacing w:after="40"/>
      </w:pPr>
    </w:p>
    <w:p>
      <w:pPr>
        <w:pStyle w:val="Heading2"/>
      </w:pPr>
      <w:r>
        <w:t>Distribution</w:t>
      </w:r>
    </w:p>
    <w:p>
      <w:pPr>
        <w:pStyle w:val="Heading3"/>
      </w:pPr>
      <w:r>
        <w:t>Internal Distribution</w:t>
      </w:r>
    </w:p>
    <w:p>
      <w:pPr>
        <w:pStyle w:val="Caption"/>
      </w:pPr>
      <w:r>
        <w:t xml:space="preserve">Table </w:t>
      </w:r>
      <w:r>
        <w:fldChar w:fldCharType="begin"/>
      </w:r>
      <w:r>
        <w:instrText xml:space="preserve"> SEQ Table \* ARABIC </w:instrText>
      </w:r>
      <w:r>
        <w:fldChar w:fldCharType="separate"/>
      </w:r>
      <w:r>
        <w:t>5</w:t>
      </w:r>
      <w:r>
        <w:fldChar w:fldCharType="end"/>
      </w:r>
      <w:r>
        <w:t>: Internal Distribution Audience</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3442"/>
            <w:shd w:val="clear" w:color="auto" w:fill="D9E2F3"/>
          </w:tcPr>
          <w:p>
            <w:pPr>
              <w:spacing w:after="20" w:before="20" w:line="240" w:lineRule="auto"/>
            </w:pPr>
            <w:r/>
            <w:r>
              <w:rPr>
                <w:b/>
                <w:sz w:val="18"/>
              </w:rPr>
              <w:t>Recipient</w:t>
            </w:r>
          </w:p>
        </w:tc>
        <w:tc>
          <w:tcPr>
            <w:tcW w:type="dxa" w:w="6310"/>
            <w:shd w:val="clear" w:color="auto" w:fill="D9E2F3"/>
          </w:tcPr>
          <w:p>
            <w:pPr>
              <w:spacing w:after="20" w:before="20" w:line="240" w:lineRule="auto"/>
            </w:pPr>
            <w:r/>
            <w:r>
              <w:rPr>
                <w:b/>
                <w:sz w:val="18"/>
              </w:rPr>
              <w:t>Use</w:t>
            </w:r>
          </w:p>
        </w:tc>
      </w:tr>
      <w:tr>
        <w:tc>
          <w:tcPr>
            <w:tcW w:type="dxa" w:w="3442"/>
          </w:tcPr>
          <w:p>
            <w:pPr>
              <w:spacing w:after="20" w:before="20" w:line="240" w:lineRule="auto"/>
            </w:pPr>
            <w:r/>
            <w:r>
              <w:rPr>
                <w:sz w:val="18"/>
              </w:rPr>
              <w:t>Data Governance</w:t>
            </w:r>
          </w:p>
        </w:tc>
        <w:tc>
          <w:tcPr>
            <w:tcW w:type="dxa" w:w="6310"/>
          </w:tcPr>
          <w:p>
            <w:pPr>
              <w:spacing w:after="20" w:before="20" w:line="240" w:lineRule="auto"/>
            </w:pPr>
            <w:r/>
            <w:r>
              <w:rPr>
                <w:sz w:val="18"/>
              </w:rPr>
              <w:t>Review of the sources, definitions, lineage, quality rules and access controls</w:t>
            </w:r>
          </w:p>
        </w:tc>
      </w:tr>
      <w:tr>
        <w:tc>
          <w:tcPr>
            <w:tcW w:type="dxa" w:w="3442"/>
          </w:tcPr>
          <w:p>
            <w:pPr>
              <w:spacing w:after="20" w:before="20" w:line="240" w:lineRule="auto"/>
            </w:pPr>
            <w:r/>
            <w:r>
              <w:rPr>
                <w:sz w:val="18"/>
              </w:rPr>
              <w:t>Data Science</w:t>
            </w:r>
          </w:p>
        </w:tc>
        <w:tc>
          <w:tcPr>
            <w:tcW w:type="dxa" w:w="6310"/>
          </w:tcPr>
          <w:p>
            <w:pPr>
              <w:spacing w:after="20" w:before="20" w:line="240" w:lineRule="auto"/>
            </w:pPr>
            <w:r/>
            <w:r>
              <w:rPr>
                <w:sz w:val="18"/>
              </w:rPr>
              <w:t>Reference for building, checking and changing the features</w:t>
            </w:r>
          </w:p>
        </w:tc>
      </w:tr>
      <w:tr>
        <w:tc>
          <w:tcPr>
            <w:tcW w:type="dxa" w:w="3442"/>
          </w:tcPr>
          <w:p>
            <w:pPr>
              <w:spacing w:after="20" w:before="20" w:line="240" w:lineRule="auto"/>
            </w:pPr>
            <w:r/>
            <w:r>
              <w:rPr>
                <w:sz w:val="18"/>
              </w:rPr>
              <w:t>Data Engineering</w:t>
            </w:r>
          </w:p>
        </w:tc>
        <w:tc>
          <w:tcPr>
            <w:tcW w:type="dxa" w:w="6310"/>
          </w:tcPr>
          <w:p>
            <w:pPr>
              <w:spacing w:after="20" w:before="20" w:line="240" w:lineRule="auto"/>
            </w:pPr>
            <w:r/>
            <w:r>
              <w:rPr>
                <w:sz w:val="18"/>
              </w:rPr>
              <w:t>The view and source columns the model depends on (Part 2)</w:t>
            </w:r>
          </w:p>
        </w:tc>
      </w:tr>
      <w:tr>
        <w:tc>
          <w:tcPr>
            <w:tcW w:type="dxa" w:w="3442"/>
          </w:tcPr>
          <w:p>
            <w:pPr>
              <w:spacing w:after="20" w:before="20" w:line="240" w:lineRule="auto"/>
            </w:pPr>
            <w:r/>
            <w:r>
              <w:rPr>
                <w:sz w:val="18"/>
              </w:rPr>
              <w:t>Customs Risk Management and the National Targeting Centre</w:t>
            </w:r>
          </w:p>
        </w:tc>
        <w:tc>
          <w:tcPr>
            <w:tcW w:type="dxa" w:w="6310"/>
          </w:tcPr>
          <w:p>
            <w:pPr>
              <w:spacing w:after="20" w:before="20" w:line="240" w:lineRule="auto"/>
            </w:pPr>
            <w:r/>
            <w:r>
              <w:rPr>
                <w:sz w:val="18"/>
              </w:rPr>
              <w:t>What each feature means when it appears in a reason</w:t>
            </w:r>
          </w:p>
        </w:tc>
      </w:tr>
    </w:tbl>
    <w:p>
      <w:pPr>
        <w:spacing w:after="40"/>
      </w:pPr>
    </w:p>
    <w:p>
      <w:pPr>
        <w:pStyle w:val="Heading3"/>
      </w:pPr>
      <w:r>
        <w:t>External Distribution</w:t>
      </w:r>
    </w:p>
    <w:p>
      <w:pPr>
        <w:spacing w:after="120"/>
      </w:pPr>
      <w:r>
        <w:t>In line with URA's mandate, controlled parts of this document may be shared outside URA only under URA's data protection, confidentiality and security policies. No taxpayer data is included in this document.</w:t>
      </w:r>
    </w:p>
    <w:p>
      <w:r>
        <w:br w:type="page"/>
      </w:r>
    </w:p>
    <w:p>
      <w:pPr>
        <w:pStyle w:val="TOCHeading"/>
      </w:pPr>
      <w:r>
        <w:t>Table of Contents</w:t>
      </w:r>
    </w:p>
    <w:p>
      <w:r>
        <w:fldChar w:fldCharType="begin"/>
      </w:r>
      <w:r>
        <w:instrText xml:space="preserve"> TOC \o "1-3" \h \z \u </w:instrText>
      </w:r>
      <w:r>
        <w:fldChar w:fldCharType="separate"/>
      </w:r>
      <w:r>
        <w:t>Right-click here and choose Update Field to build the contents.</w:t>
      </w:r>
      <w:r>
        <w:fldChar w:fldCharType="end"/>
      </w:r>
    </w:p>
    <w:p>
      <w:r>
        <w:br w:type="page"/>
      </w:r>
    </w:p>
    <w:p>
      <w:pPr>
        <w:pStyle w:val="Heading1"/>
      </w:pPr>
      <w:r>
        <w:t>List of Tables</w:t>
      </w:r>
    </w:p>
    <w:p>
      <w:r>
        <w:fldChar w:fldCharType="begin"/>
      </w:r>
      <w:r>
        <w:instrText xml:space="preserve"> TOC \h \z \c "Table" </w:instrText>
      </w:r>
      <w:r>
        <w:fldChar w:fldCharType="separate"/>
      </w:r>
      <w:r>
        <w:t>Right-click here and choose Update Field to list the tables.</w:t>
      </w:r>
      <w:r>
        <w:fldChar w:fldCharType="end"/>
      </w:r>
    </w:p>
    <w:p>
      <w:pPr>
        <w:pStyle w:val="Heading1"/>
      </w:pPr>
      <w:r>
        <w:t>List of Figures</w:t>
      </w:r>
    </w:p>
    <w:p>
      <w:r>
        <w:fldChar w:fldCharType="begin"/>
      </w:r>
      <w:r>
        <w:instrText xml:space="preserve"> TOC \h \z \c "Figure" </w:instrText>
      </w:r>
      <w:r>
        <w:fldChar w:fldCharType="separate"/>
      </w:r>
      <w:r>
        <w:t>Right-click here and choose Update Field to list the figures.</w:t>
      </w:r>
      <w:r>
        <w:fldChar w:fldCharType="end"/>
      </w:r>
    </w:p>
    <w:p>
      <w:r>
        <w:br w:type="page"/>
      </w:r>
    </w:p>
    <w:p>
      <w:pPr>
        <w:pStyle w:val="Heading1"/>
      </w:pPr>
      <w:r>
        <w:t>List of Acronyms</w:t>
      </w:r>
    </w:p>
    <w:p>
      <w:pPr>
        <w:pStyle w:val="Caption"/>
      </w:pPr>
      <w:r>
        <w:t xml:space="preserve">Table </w:t>
      </w:r>
      <w:r>
        <w:fldChar w:fldCharType="begin"/>
      </w:r>
      <w:r>
        <w:instrText xml:space="preserve"> SEQ Table \* ARABIC </w:instrText>
      </w:r>
      <w:r>
        <w:fldChar w:fldCharType="separate"/>
      </w:r>
      <w:r>
        <w:t>6</w:t>
      </w:r>
      <w:r>
        <w:fldChar w:fldCharType="end"/>
      </w:r>
      <w:r>
        <w:t>: Acronyms and Terms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008"/>
            <w:shd w:val="clear" w:color="auto" w:fill="D9E2F3"/>
          </w:tcPr>
          <w:p>
            <w:pPr>
              <w:spacing w:after="20" w:before="20" w:line="240" w:lineRule="auto"/>
            </w:pPr>
            <w:r/>
            <w:r>
              <w:rPr>
                <w:b/>
                <w:sz w:val="18"/>
              </w:rPr>
              <w:t>Term</w:t>
            </w:r>
          </w:p>
        </w:tc>
        <w:tc>
          <w:tcPr>
            <w:tcW w:type="dxa" w:w="7744"/>
            <w:shd w:val="clear" w:color="auto" w:fill="D9E2F3"/>
          </w:tcPr>
          <w:p>
            <w:pPr>
              <w:spacing w:after="20" w:before="20" w:line="240" w:lineRule="auto"/>
            </w:pPr>
            <w:r/>
            <w:r>
              <w:rPr>
                <w:b/>
                <w:sz w:val="18"/>
              </w:rPr>
              <w:t>Meaning</w:t>
            </w:r>
          </w:p>
        </w:tc>
      </w:tr>
      <w:tr>
        <w:tc>
          <w:tcPr>
            <w:tcW w:type="dxa" w:w="2008"/>
          </w:tcPr>
          <w:p>
            <w:pPr>
              <w:spacing w:after="20" w:before="20" w:line="240" w:lineRule="auto"/>
            </w:pPr>
            <w:r/>
            <w:r>
              <w:rPr>
                <w:sz w:val="18"/>
              </w:rPr>
              <w:t>APC</w:t>
            </w:r>
          </w:p>
        </w:tc>
        <w:tc>
          <w:tcPr>
            <w:tcW w:type="dxa" w:w="7744"/>
          </w:tcPr>
          <w:p>
            <w:pPr>
              <w:spacing w:after="20" w:before="20" w:line="240" w:lineRule="auto"/>
            </w:pPr>
            <w:r/>
            <w:r>
              <w:rPr>
                <w:sz w:val="18"/>
              </w:rPr>
              <w:t>Additional Procedure Code: the last 3 digits of the CPC; claims an exemption or relief (000 = none)</w:t>
            </w:r>
          </w:p>
        </w:tc>
      </w:tr>
      <w:tr>
        <w:tc>
          <w:tcPr>
            <w:tcW w:type="dxa" w:w="2008"/>
          </w:tcPr>
          <w:p>
            <w:pPr>
              <w:spacing w:after="20" w:before="20" w:line="240" w:lineRule="auto"/>
            </w:pPr>
            <w:r/>
            <w:r>
              <w:rPr>
                <w:sz w:val="18"/>
              </w:rPr>
              <w:t>ASYCUDA</w:t>
            </w:r>
          </w:p>
        </w:tc>
        <w:tc>
          <w:tcPr>
            <w:tcW w:type="dxa" w:w="7744"/>
          </w:tcPr>
          <w:p>
            <w:pPr>
              <w:spacing w:after="20" w:before="20" w:line="240" w:lineRule="auto"/>
            </w:pPr>
            <w:r/>
            <w:r>
              <w:rPr>
                <w:sz w:val="18"/>
              </w:rPr>
              <w:t>Automated System for Customs Data: where declarations are lodged</w:t>
            </w:r>
          </w:p>
        </w:tc>
      </w:tr>
      <w:tr>
        <w:tc>
          <w:tcPr>
            <w:tcW w:type="dxa" w:w="2008"/>
          </w:tcPr>
          <w:p>
            <w:pPr>
              <w:spacing w:after="20" w:before="20" w:line="240" w:lineRule="auto"/>
            </w:pPr>
            <w:r/>
            <w:r>
              <w:rPr>
                <w:sz w:val="18"/>
              </w:rPr>
              <w:t>CPC</w:t>
            </w:r>
          </w:p>
        </w:tc>
        <w:tc>
          <w:tcPr>
            <w:tcW w:type="dxa" w:w="7744"/>
          </w:tcPr>
          <w:p>
            <w:pPr>
              <w:spacing w:after="20" w:before="20" w:line="240" w:lineRule="auto"/>
            </w:pPr>
            <w:r/>
            <w:r>
              <w:rPr>
                <w:sz w:val="18"/>
              </w:rPr>
              <w:t>Customs Procedure Code (EPC + APC)</w:t>
            </w:r>
          </w:p>
        </w:tc>
      </w:tr>
      <w:tr>
        <w:tc>
          <w:tcPr>
            <w:tcW w:type="dxa" w:w="2008"/>
          </w:tcPr>
          <w:p>
            <w:pPr>
              <w:spacing w:after="20" w:before="20" w:line="240" w:lineRule="auto"/>
            </w:pPr>
            <w:r/>
            <w:r>
              <w:rPr>
                <w:sz w:val="18"/>
              </w:rPr>
              <w:t>Declaration ID</w:t>
            </w:r>
          </w:p>
        </w:tc>
        <w:tc>
          <w:tcPr>
            <w:tcW w:type="dxa" w:w="7744"/>
          </w:tcPr>
          <w:p>
            <w:pPr>
              <w:spacing w:after="20" w:before="20" w:line="240" w:lineRule="auto"/>
            </w:pPr>
            <w:r/>
            <w:r>
              <w:rPr>
                <w:sz w:val="18"/>
              </w:rPr>
              <w:t>instance_id: the system's number for one declaration record; it joins the source tables</w:t>
            </w:r>
          </w:p>
        </w:tc>
      </w:tr>
      <w:tr>
        <w:tc>
          <w:tcPr>
            <w:tcW w:type="dxa" w:w="2008"/>
          </w:tcPr>
          <w:p>
            <w:pPr>
              <w:spacing w:after="20" w:before="20" w:line="240" w:lineRule="auto"/>
            </w:pPr>
            <w:r/>
            <w:r>
              <w:rPr>
                <w:sz w:val="18"/>
              </w:rPr>
              <w:t>Entry</w:t>
            </w:r>
          </w:p>
        </w:tc>
        <w:tc>
          <w:tcPr>
            <w:tcW w:type="dxa" w:w="7744"/>
          </w:tcPr>
          <w:p>
            <w:pPr>
              <w:spacing w:after="20" w:before="20" w:line="240" w:lineRule="auto"/>
            </w:pPr>
            <w:r/>
            <w:r>
              <w:rPr>
                <w:sz w:val="18"/>
              </w:rPr>
              <w:t>A declaration as officers know it: entry number + station + year</w:t>
            </w:r>
          </w:p>
        </w:tc>
      </w:tr>
      <w:tr>
        <w:tc>
          <w:tcPr>
            <w:tcW w:type="dxa" w:w="2008"/>
          </w:tcPr>
          <w:p>
            <w:pPr>
              <w:spacing w:after="20" w:before="20" w:line="240" w:lineRule="auto"/>
            </w:pPr>
            <w:r/>
            <w:r>
              <w:rPr>
                <w:sz w:val="18"/>
              </w:rPr>
              <w:t>EPC</w:t>
            </w:r>
          </w:p>
        </w:tc>
        <w:tc>
          <w:tcPr>
            <w:tcW w:type="dxa" w:w="7744"/>
          </w:tcPr>
          <w:p>
            <w:pPr>
              <w:spacing w:after="20" w:before="20" w:line="240" w:lineRule="auto"/>
            </w:pPr>
            <w:r/>
            <w:r>
              <w:rPr>
                <w:sz w:val="18"/>
              </w:rPr>
              <w:t>Extended Procedure Code: the first 4 digits of the CPC</w:t>
            </w:r>
          </w:p>
        </w:tc>
      </w:tr>
      <w:tr>
        <w:tc>
          <w:tcPr>
            <w:tcW w:type="dxa" w:w="2008"/>
          </w:tcPr>
          <w:p>
            <w:pPr>
              <w:spacing w:after="20" w:before="20" w:line="240" w:lineRule="auto"/>
            </w:pPr>
            <w:r/>
            <w:r>
              <w:rPr>
                <w:sz w:val="18"/>
              </w:rPr>
              <w:t>Extract</w:t>
            </w:r>
          </w:p>
        </w:tc>
        <w:tc>
          <w:tcPr>
            <w:tcW w:type="dxa" w:w="7744"/>
          </w:tcPr>
          <w:p>
            <w:pPr>
              <w:spacing w:after="20" w:before="20" w:line="240" w:lineRule="auto"/>
            </w:pPr>
            <w:r/>
            <w:r>
              <w:rPr>
                <w:sz w:val="18"/>
              </w:rPr>
              <w:t>The table the query produces: one row per taxpayer, the counts the features need</w:t>
            </w:r>
          </w:p>
        </w:tc>
      </w:tr>
      <w:tr>
        <w:tc>
          <w:tcPr>
            <w:tcW w:type="dxa" w:w="2008"/>
          </w:tcPr>
          <w:p>
            <w:pPr>
              <w:spacing w:after="20" w:before="20" w:line="240" w:lineRule="auto"/>
            </w:pPr>
            <w:r/>
            <w:r>
              <w:rPr>
                <w:sz w:val="18"/>
              </w:rPr>
              <w:t>Feature</w:t>
            </w:r>
          </w:p>
        </w:tc>
        <w:tc>
          <w:tcPr>
            <w:tcW w:type="dxa" w:w="7744"/>
          </w:tcPr>
          <w:p>
            <w:pPr>
              <w:spacing w:after="20" w:before="20" w:line="240" w:lineRule="auto"/>
            </w:pPr>
            <w:r/>
            <w:r>
              <w:rPr>
                <w:sz w:val="18"/>
              </w:rPr>
              <w:t>One measured fact about a taxpayer that the model reads, for example how often their tax was raised</w:t>
            </w:r>
          </w:p>
        </w:tc>
      </w:tr>
      <w:tr>
        <w:tc>
          <w:tcPr>
            <w:tcW w:type="dxa" w:w="2008"/>
          </w:tcPr>
          <w:p>
            <w:pPr>
              <w:spacing w:after="20" w:before="20" w:line="240" w:lineRule="auto"/>
            </w:pPr>
            <w:r/>
            <w:r>
              <w:rPr>
                <w:sz w:val="18"/>
              </w:rPr>
              <w:t>HS code</w:t>
            </w:r>
          </w:p>
        </w:tc>
        <w:tc>
          <w:tcPr>
            <w:tcW w:type="dxa" w:w="7744"/>
          </w:tcPr>
          <w:p>
            <w:pPr>
              <w:spacing w:after="20" w:before="20" w:line="240" w:lineRule="auto"/>
            </w:pPr>
            <w:r/>
            <w:r>
              <w:rPr>
                <w:sz w:val="18"/>
              </w:rPr>
              <w:t>Harmonized System code: the tariff code that says what the goods are</w:t>
            </w:r>
          </w:p>
        </w:tc>
      </w:tr>
      <w:tr>
        <w:tc>
          <w:tcPr>
            <w:tcW w:type="dxa" w:w="2008"/>
          </w:tcPr>
          <w:p>
            <w:pPr>
              <w:spacing w:after="20" w:before="20" w:line="240" w:lineRule="auto"/>
            </w:pPr>
            <w:r/>
            <w:r>
              <w:rPr>
                <w:sz w:val="18"/>
              </w:rPr>
              <w:t>IM4, IM7</w:t>
            </w:r>
          </w:p>
        </w:tc>
        <w:tc>
          <w:tcPr>
            <w:tcW w:type="dxa" w:w="7744"/>
          </w:tcPr>
          <w:p>
            <w:pPr>
              <w:spacing w:after="20" w:before="20" w:line="240" w:lineRule="auto"/>
            </w:pPr>
            <w:r/>
            <w:r>
              <w:rPr>
                <w:sz w:val="18"/>
              </w:rPr>
              <w:t>Import for home use; import into a bonded warehouse</w:t>
            </w:r>
          </w:p>
        </w:tc>
      </w:tr>
      <w:tr>
        <w:tc>
          <w:tcPr>
            <w:tcW w:type="dxa" w:w="2008"/>
          </w:tcPr>
          <w:p>
            <w:pPr>
              <w:spacing w:after="20" w:before="20" w:line="240" w:lineRule="auto"/>
            </w:pPr>
            <w:r/>
            <w:r>
              <w:rPr>
                <w:sz w:val="18"/>
              </w:rPr>
              <w:t>Peer group</w:t>
            </w:r>
          </w:p>
        </w:tc>
        <w:tc>
          <w:tcPr>
            <w:tcW w:type="dxa" w:w="7744"/>
          </w:tcPr>
          <w:p>
            <w:pPr>
              <w:spacing w:after="20" w:before="20" w:line="240" w:lineRule="auto"/>
            </w:pPr>
            <w:r/>
            <w:r>
              <w:rPr>
                <w:sz w:val="18"/>
              </w:rPr>
              <w:t>Importers of the same main goods (HS section) and similar size</w:t>
            </w:r>
          </w:p>
        </w:tc>
      </w:tr>
      <w:tr>
        <w:tc>
          <w:tcPr>
            <w:tcW w:type="dxa" w:w="2008"/>
          </w:tcPr>
          <w:p>
            <w:pPr>
              <w:spacing w:after="20" w:before="20" w:line="240" w:lineRule="auto"/>
            </w:pPr>
            <w:r/>
            <w:r>
              <w:rPr>
                <w:sz w:val="18"/>
              </w:rPr>
              <w:t>Snapshot</w:t>
            </w:r>
          </w:p>
        </w:tc>
        <w:tc>
          <w:tcPr>
            <w:tcW w:type="dxa" w:w="7744"/>
          </w:tcPr>
          <w:p>
            <w:pPr>
              <w:spacing w:after="20" w:before="20" w:line="240" w:lineRule="auto"/>
            </w:pPr>
            <w:r/>
            <w:r>
              <w:rPr>
                <w:sz w:val="18"/>
              </w:rPr>
              <w:t>The date the risk profile is made; features look back from it</w:t>
            </w:r>
          </w:p>
        </w:tc>
      </w:tr>
      <w:tr>
        <w:tc>
          <w:tcPr>
            <w:tcW w:type="dxa" w:w="2008"/>
          </w:tcPr>
          <w:p>
            <w:pPr>
              <w:spacing w:after="20" w:before="20" w:line="240" w:lineRule="auto"/>
            </w:pPr>
            <w:r/>
            <w:r>
              <w:rPr>
                <w:sz w:val="18"/>
              </w:rPr>
              <w:t>TIN</w:t>
            </w:r>
          </w:p>
        </w:tc>
        <w:tc>
          <w:tcPr>
            <w:tcW w:type="dxa" w:w="7744"/>
          </w:tcPr>
          <w:p>
            <w:pPr>
              <w:spacing w:after="20" w:before="20" w:line="240" w:lineRule="auto"/>
            </w:pPr>
            <w:r/>
            <w:r>
              <w:rPr>
                <w:sz w:val="18"/>
              </w:rPr>
              <w:t>Taxpayer Identification Number</w:t>
            </w:r>
          </w:p>
        </w:tc>
      </w:tr>
      <w:tr>
        <w:tc>
          <w:tcPr>
            <w:tcW w:type="dxa" w:w="2008"/>
          </w:tcPr>
          <w:p>
            <w:pPr>
              <w:spacing w:after="20" w:before="20" w:line="240" w:lineRule="auto"/>
            </w:pPr>
            <w:r/>
            <w:r>
              <w:rPr>
                <w:sz w:val="18"/>
              </w:rPr>
              <w:t>Top-up</w:t>
            </w:r>
          </w:p>
        </w:tc>
        <w:tc>
          <w:tcPr>
            <w:tcW w:type="dxa" w:w="7744"/>
          </w:tcPr>
          <w:p>
            <w:pPr>
              <w:spacing w:after="20" w:before="20" w:line="240" w:lineRule="auto"/>
            </w:pPr>
            <w:r/>
            <w:r>
              <w:rPr>
                <w:sz w:val="18"/>
              </w:rPr>
              <w:t>Tax raised by customs after the first assessment: top-up flag Y and final tax above the original tax</w:t>
            </w:r>
          </w:p>
        </w:tc>
      </w:tr>
      <w:tr>
        <w:tc>
          <w:tcPr>
            <w:tcW w:type="dxa" w:w="2008"/>
          </w:tcPr>
          <w:p>
            <w:pPr>
              <w:spacing w:after="20" w:before="20" w:line="240" w:lineRule="auto"/>
            </w:pPr>
            <w:r/>
            <w:r>
              <w:rPr>
                <w:sz w:val="18"/>
              </w:rPr>
              <w:t>Track A</w:t>
            </w:r>
          </w:p>
        </w:tc>
        <w:tc>
          <w:tcPr>
            <w:tcW w:type="dxa" w:w="7744"/>
          </w:tcPr>
          <w:p>
            <w:pPr>
              <w:spacing w:after="20" w:before="20" w:line="240" w:lineRule="auto"/>
            </w:pPr>
            <w:r/>
            <w:r>
              <w:rPr>
                <w:sz w:val="18"/>
              </w:rPr>
              <w:t>The compliance history scorecard: what customs has already found</w:t>
            </w:r>
          </w:p>
        </w:tc>
      </w:tr>
      <w:tr>
        <w:tc>
          <w:tcPr>
            <w:tcW w:type="dxa" w:w="2008"/>
          </w:tcPr>
          <w:p>
            <w:pPr>
              <w:spacing w:after="20" w:before="20" w:line="240" w:lineRule="auto"/>
            </w:pPr>
            <w:r/>
            <w:r>
              <w:rPr>
                <w:sz w:val="18"/>
              </w:rPr>
              <w:t>Track B</w:t>
            </w:r>
          </w:p>
        </w:tc>
        <w:tc>
          <w:tcPr>
            <w:tcW w:type="dxa" w:w="7744"/>
          </w:tcPr>
          <w:p>
            <w:pPr>
              <w:spacing w:after="20" w:before="20" w:line="240" w:lineRule="auto"/>
            </w:pPr>
            <w:r/>
            <w:r>
              <w:rPr>
                <w:sz w:val="18"/>
              </w:rPr>
              <w:t>The Risky Behaviour Flag: how the taxpayer declares, with nothing customs did</w:t>
            </w:r>
          </w:p>
        </w:tc>
      </w:tr>
      <w:tr>
        <w:tc>
          <w:tcPr>
            <w:tcW w:type="dxa" w:w="2008"/>
          </w:tcPr>
          <w:p>
            <w:pPr>
              <w:spacing w:after="20" w:before="20" w:line="240" w:lineRule="auto"/>
            </w:pPr>
            <w:r/>
            <w:r>
              <w:rPr>
                <w:sz w:val="18"/>
              </w:rPr>
              <w:t>UGX</w:t>
            </w:r>
          </w:p>
        </w:tc>
        <w:tc>
          <w:tcPr>
            <w:tcW w:type="dxa" w:w="7744"/>
          </w:tcPr>
          <w:p>
            <w:pPr>
              <w:spacing w:after="20" w:before="20" w:line="240" w:lineRule="auto"/>
            </w:pPr>
            <w:r/>
            <w:r>
              <w:rPr>
                <w:sz w:val="18"/>
              </w:rPr>
              <w:t>Uganda Shillings</w:t>
            </w:r>
          </w:p>
        </w:tc>
      </w:tr>
    </w:tbl>
    <w:p>
      <w:pPr>
        <w:spacing w:after="40"/>
      </w:pPr>
    </w:p>
    <w:p>
      <w:pPr>
        <w:sectPr>
          <w:footerReference w:type="default" r:id="rId21"/>
          <w:headerReference w:type="default" r:id="rId24"/>
          <w:pgSz w:w="11906" w:h="16838" w:code="9"/>
          <w:pgMar w:top="1440" w:right="1077" w:bottom="1440" w:left="1077" w:header="706" w:footer="706" w:gutter="0"/>
          <w:cols w:space="720"/>
          <w:docGrid w:linePitch="360"/>
          <w:pgNumType w:fmt="lowerRoman" w:start="1"/>
        </w:sectPr>
      </w:pPr>
    </w:p>
    <w:p/>
    <w:p/>
    <w:p/>
    <w:p/>
    <w:p/>
    <w:p/>
    <w:p>
      <w:pPr>
        <w:pStyle w:val="Heading1"/>
      </w:pPr>
      <w:r>
        <w:t>PART 1: OVERVIEW</w:t>
      </w:r>
    </w:p>
    <w:p>
      <w:pPr>
        <w:spacing w:after="120"/>
      </w:pPr>
      <w:r>
        <w:t>What the model does, what data it uses and how to read the catalogue. In short: the model looks at each importer's last 24 months of declarations and turns them into 25 features, which give a risk score.</w:t>
      </w:r>
    </w:p>
    <w:p>
      <w:r>
        <w:br w:type="page"/>
      </w:r>
    </w:p>
    <w:p>
      <w:pPr>
        <w:pStyle w:val="Heading2"/>
      </w:pPr>
      <w:r>
        <w:t>1.1 What the Model Does</w:t>
      </w:r>
    </w:p>
    <w:p>
      <w:pPr>
        <w:spacing w:after="120"/>
      </w:pPr>
      <w:r>
        <w:t>The Customs Taxpayer Risk Profiling Model ranks every importer by compliance risk. It has two parts:</w:t>
      </w:r>
    </w:p>
    <w:p>
      <w:pPr>
        <w:pStyle w:val="ListParagraph"/>
        <w:numPr>
          <w:ilvl w:val="0"/>
          <w:numId w:val="901"/>
        </w:numPr>
        <w:spacing w:after="60"/>
      </w:pPr>
      <w:r>
        <w:rPr>
          <w:b/>
        </w:rPr>
        <w:t>Track A, the compliance history scorecard (8 features):</w:t>
      </w:r>
      <w:r>
        <w:t xml:space="preserve"> how often customs has already had to raise the taxpayer's tax, and by how much. It answers: "has this taxpayer been caught before?"</w:t>
      </w:r>
    </w:p>
    <w:p>
      <w:pPr>
        <w:pStyle w:val="ListParagraph"/>
        <w:numPr>
          <w:ilvl w:val="0"/>
          <w:numId w:val="901"/>
        </w:numPr>
        <w:spacing w:after="60"/>
      </w:pPr>
      <w:r>
        <w:rPr>
          <w:b/>
        </w:rPr>
        <w:t>Track B, the Risky Behaviour Flag (17 features):</w:t>
      </w:r>
      <w:r>
        <w:t xml:space="preserve"> how the taxpayer declares (prices, duty rates, exemptions, splitting, new activity), using nothing customs did. It answers: "does this taxpayer behave like someone who has not been caught yet?"</w:t>
      </w:r>
    </w:p>
    <w:p>
      <w:pPr>
        <w:pStyle w:val="Heading2"/>
      </w:pPr>
      <w:r>
        <w:t>1.2 The Data in One Paragraph</w:t>
      </w:r>
    </w:p>
    <w:p>
      <w:pPr>
        <w:spacing w:after="120"/>
      </w:pPr>
      <w:r>
        <w:t>All data comes from ASYCUDA through the URA data lake. Data Engineering joins three tables into one view, dm_modeled_ura_datascience.vw_cstm_AEO_model, where one row is one item on one declaration. A query run in Hue cleans these rows and counts, for each taxpayer, what the features need. Python code turns the counts into the 25 features and the score.</w:t>
      </w:r>
    </w:p>
    <w:p>
      <w:pPr>
        <w:pStyle w:val="Heading2"/>
      </w:pPr>
      <w:r>
        <w:t>1.3 How to Read This Catalogue</w:t>
      </w:r>
    </w:p>
    <w:p>
      <w:pPr>
        <w:pStyle w:val="Caption"/>
      </w:pPr>
      <w:r>
        <w:t xml:space="preserve">Table </w:t>
      </w:r>
      <w:r>
        <w:fldChar w:fldCharType="begin"/>
      </w:r>
      <w:r>
        <w:instrText xml:space="preserve"> SEQ Table \* ARABIC </w:instrText>
      </w:r>
      <w:r>
        <w:fldChar w:fldCharType="separate"/>
      </w:r>
      <w:r>
        <w:t>7</w:t>
      </w:r>
      <w:r>
        <w:fldChar w:fldCharType="end"/>
      </w:r>
      <w:r>
        <w:t>: Where to Find What Data Governance Asks For</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Requirement</w:t>
            </w:r>
          </w:p>
        </w:tc>
        <w:tc>
          <w:tcPr>
            <w:tcW w:type="dxa" w:w="7457"/>
            <w:shd w:val="clear" w:color="auto" w:fill="D9E2F3"/>
          </w:tcPr>
          <w:p>
            <w:pPr>
              <w:spacing w:after="20" w:before="20" w:line="240" w:lineRule="auto"/>
            </w:pPr>
            <w:r/>
            <w:r>
              <w:rPr>
                <w:b/>
                <w:sz w:val="18"/>
              </w:rPr>
              <w:t>Where</w:t>
            </w:r>
          </w:p>
        </w:tc>
      </w:tr>
      <w:tr>
        <w:tc>
          <w:tcPr>
            <w:tcW w:type="dxa" w:w="2294"/>
          </w:tcPr>
          <w:p>
            <w:pPr>
              <w:spacing w:after="20" w:before="20" w:line="240" w:lineRule="auto"/>
            </w:pPr>
            <w:r/>
            <w:r>
              <w:rPr>
                <w:sz w:val="18"/>
              </w:rPr>
              <w:t>Sources</w:t>
            </w:r>
          </w:p>
        </w:tc>
        <w:tc>
          <w:tcPr>
            <w:tcW w:type="dxa" w:w="7457"/>
          </w:tcPr>
          <w:p>
            <w:pPr>
              <w:spacing w:after="20" w:before="20" w:line="240" w:lineRule="auto"/>
            </w:pPr>
            <w:r/>
            <w:r>
              <w:rPr>
                <w:sz w:val="18"/>
              </w:rPr>
              <w:t>Part 2: the view, its three source tables, and every column the model uses</w:t>
            </w:r>
          </w:p>
        </w:tc>
      </w:tr>
      <w:tr>
        <w:tc>
          <w:tcPr>
            <w:tcW w:type="dxa" w:w="2294"/>
          </w:tcPr>
          <w:p>
            <w:pPr>
              <w:spacing w:after="20" w:before="20" w:line="240" w:lineRule="auto"/>
            </w:pPr>
            <w:r/>
            <w:r>
              <w:rPr>
                <w:sz w:val="18"/>
              </w:rPr>
              <w:t>Lineage</w:t>
            </w:r>
          </w:p>
        </w:tc>
        <w:tc>
          <w:tcPr>
            <w:tcW w:type="dxa" w:w="7457"/>
          </w:tcPr>
          <w:p>
            <w:pPr>
              <w:spacing w:after="20" w:before="20" w:line="240" w:lineRule="auto"/>
            </w:pPr>
            <w:r/>
            <w:r>
              <w:rPr>
                <w:sz w:val="18"/>
              </w:rPr>
              <w:t>Part 3: each step from ASYCUDA to the score, who runs it and what it produces</w:t>
            </w:r>
          </w:p>
        </w:tc>
      </w:tr>
      <w:tr>
        <w:tc>
          <w:tcPr>
            <w:tcW w:type="dxa" w:w="2294"/>
          </w:tcPr>
          <w:p>
            <w:pPr>
              <w:spacing w:after="20" w:before="20" w:line="240" w:lineRule="auto"/>
            </w:pPr>
            <w:r/>
            <w:r>
              <w:rPr>
                <w:sz w:val="18"/>
              </w:rPr>
              <w:t>Definitions</w:t>
            </w:r>
          </w:p>
        </w:tc>
        <w:tc>
          <w:tcPr>
            <w:tcW w:type="dxa" w:w="7457"/>
          </w:tcPr>
          <w:p>
            <w:pPr>
              <w:spacing w:after="20" w:before="20" w:line="240" w:lineRule="auto"/>
            </w:pPr>
            <w:r/>
            <w:r>
              <w:rPr>
                <w:sz w:val="18"/>
              </w:rPr>
              <w:t>Part 4: every feature: what it measures, the columns it uses, its formula and why it is needed</w:t>
            </w:r>
          </w:p>
        </w:tc>
      </w:tr>
      <w:tr>
        <w:tc>
          <w:tcPr>
            <w:tcW w:type="dxa" w:w="2294"/>
          </w:tcPr>
          <w:p>
            <w:pPr>
              <w:spacing w:after="20" w:before="20" w:line="240" w:lineRule="auto"/>
            </w:pPr>
            <w:r/>
            <w:r>
              <w:rPr>
                <w:sz w:val="18"/>
              </w:rPr>
              <w:t>Quality rules</w:t>
            </w:r>
          </w:p>
        </w:tc>
        <w:tc>
          <w:tcPr>
            <w:tcW w:type="dxa" w:w="7457"/>
          </w:tcPr>
          <w:p>
            <w:pPr>
              <w:spacing w:after="20" w:before="20" w:line="240" w:lineRule="auto"/>
            </w:pPr>
            <w:r/>
            <w:r>
              <w:rPr>
                <w:sz w:val="18"/>
              </w:rPr>
              <w:t>Part 5: cleaning rules and reading rules</w:t>
            </w:r>
          </w:p>
        </w:tc>
      </w:tr>
      <w:tr>
        <w:tc>
          <w:tcPr>
            <w:tcW w:type="dxa" w:w="2294"/>
          </w:tcPr>
          <w:p>
            <w:pPr>
              <w:spacing w:after="20" w:before="20" w:line="240" w:lineRule="auto"/>
            </w:pPr>
            <w:r/>
            <w:r>
              <w:rPr>
                <w:sz w:val="18"/>
              </w:rPr>
              <w:t>Access controls</w:t>
            </w:r>
          </w:p>
        </w:tc>
        <w:tc>
          <w:tcPr>
            <w:tcW w:type="dxa" w:w="7457"/>
          </w:tcPr>
          <w:p>
            <w:pPr>
              <w:spacing w:after="20" w:before="20" w:line="240" w:lineRule="auto"/>
            </w:pPr>
            <w:r/>
            <w:r>
              <w:rPr>
                <w:sz w:val="18"/>
              </w:rPr>
              <w:t>Part 6: who can see each data asset and how it is protected</w:t>
            </w:r>
          </w:p>
        </w:tc>
      </w:tr>
    </w:tbl>
    <w:p>
      <w:pPr>
        <w:spacing w:after="40"/>
      </w:pPr>
    </w:p>
    <w:p>
      <w:r>
        <w:br w:type="page"/>
      </w:r>
    </w:p>
    <w:p/>
    <w:p/>
    <w:p/>
    <w:p/>
    <w:p/>
    <w:p/>
    <w:p>
      <w:pPr>
        <w:pStyle w:val="Heading1"/>
      </w:pPr>
      <w:r>
        <w:t>PART 2: DATA SOURCES</w:t>
      </w:r>
    </w:p>
    <w:p>
      <w:pPr>
        <w:spacing w:after="120"/>
      </w:pPr>
      <w:r>
        <w:t>One view, built by Data Engineering from three ASYCUDA tables in the data lake. The model reads 27 of its columns; each is listed below with what it means and what it is used for.</w:t>
      </w:r>
    </w:p>
    <w:p>
      <w:r>
        <w:br w:type="page"/>
      </w:r>
    </w:p>
    <w:p>
      <w:pPr>
        <w:pStyle w:val="Heading2"/>
      </w:pPr>
      <w:r>
        <w:t>2.1 The View</w:t>
      </w:r>
    </w:p>
    <w:p>
      <w:pPr>
        <w:pStyle w:val="Caption"/>
      </w:pPr>
      <w:r>
        <w:t xml:space="preserve">Table </w:t>
      </w:r>
      <w:r>
        <w:fldChar w:fldCharType="begin"/>
      </w:r>
      <w:r>
        <w:instrText xml:space="preserve"> SEQ Table \* ARABIC </w:instrText>
      </w:r>
      <w:r>
        <w:fldChar w:fldCharType="separate"/>
      </w:r>
      <w:r>
        <w:t>8</w:t>
      </w:r>
      <w:r>
        <w:fldChar w:fldCharType="end"/>
      </w:r>
      <w:r>
        <w:t>: The Source View</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294"/>
            <w:shd w:val="clear" w:color="auto" w:fill="D9E2F3"/>
          </w:tcPr>
          <w:p>
            <w:pPr>
              <w:spacing w:after="20" w:before="20" w:line="240" w:lineRule="auto"/>
            </w:pPr>
            <w:r/>
            <w:r>
              <w:rPr>
                <w:b/>
                <w:sz w:val="18"/>
              </w:rPr>
              <w:t>Field</w:t>
            </w:r>
          </w:p>
        </w:tc>
        <w:tc>
          <w:tcPr>
            <w:tcW w:type="dxa" w:w="7457"/>
            <w:shd w:val="clear" w:color="auto" w:fill="D9E2F3"/>
          </w:tcPr>
          <w:p>
            <w:pPr>
              <w:spacing w:after="20" w:before="20" w:line="240" w:lineRule="auto"/>
            </w:pPr>
            <w:r/>
            <w:r>
              <w:rPr>
                <w:b/>
                <w:sz w:val="18"/>
              </w:rPr>
              <w:t>Details</w:t>
            </w:r>
          </w:p>
        </w:tc>
      </w:tr>
      <w:tr>
        <w:tc>
          <w:tcPr>
            <w:tcW w:type="dxa" w:w="2294"/>
          </w:tcPr>
          <w:p>
            <w:pPr>
              <w:spacing w:after="20" w:before="20" w:line="240" w:lineRule="auto"/>
            </w:pPr>
            <w:r/>
            <w:r>
              <w:rPr>
                <w:sz w:val="18"/>
              </w:rPr>
              <w:t>Name</w:t>
            </w:r>
          </w:p>
        </w:tc>
        <w:tc>
          <w:tcPr>
            <w:tcW w:type="dxa" w:w="7457"/>
          </w:tcPr>
          <w:p>
            <w:pPr>
              <w:spacing w:after="20" w:before="20" w:line="240" w:lineRule="auto"/>
            </w:pPr>
            <w:r/>
            <w:r>
              <w:rPr>
                <w:sz w:val="18"/>
              </w:rPr>
              <w:t>dm_modeled_ura_datascience.vw_cstm_AEO_model</w:t>
            </w:r>
          </w:p>
        </w:tc>
      </w:tr>
      <w:tr>
        <w:tc>
          <w:tcPr>
            <w:tcW w:type="dxa" w:w="2294"/>
          </w:tcPr>
          <w:p>
            <w:pPr>
              <w:spacing w:after="20" w:before="20" w:line="240" w:lineRule="auto"/>
            </w:pPr>
            <w:r/>
            <w:r>
              <w:rPr>
                <w:sz w:val="18"/>
              </w:rPr>
              <w:t>Built by</w:t>
            </w:r>
          </w:p>
        </w:tc>
        <w:tc>
          <w:tcPr>
            <w:tcW w:type="dxa" w:w="7457"/>
          </w:tcPr>
          <w:p>
            <w:pPr>
              <w:spacing w:after="20" w:before="20" w:line="240" w:lineRule="auto"/>
            </w:pPr>
            <w:r/>
            <w:r>
              <w:rPr>
                <w:sz w:val="18"/>
              </w:rPr>
              <w:t>Data Engineering</w:t>
            </w:r>
          </w:p>
        </w:tc>
      </w:tr>
      <w:tr>
        <w:tc>
          <w:tcPr>
            <w:tcW w:type="dxa" w:w="2294"/>
          </w:tcPr>
          <w:p>
            <w:pPr>
              <w:spacing w:after="20" w:before="20" w:line="240" w:lineRule="auto"/>
            </w:pPr>
            <w:r/>
            <w:r>
              <w:rPr>
                <w:sz w:val="18"/>
              </w:rPr>
              <w:t>One row is</w:t>
            </w:r>
          </w:p>
        </w:tc>
        <w:tc>
          <w:tcPr>
            <w:tcW w:type="dxa" w:w="7457"/>
          </w:tcPr>
          <w:p>
            <w:pPr>
              <w:spacing w:after="20" w:before="20" w:line="240" w:lineRule="auto"/>
            </w:pPr>
            <w:r/>
            <w:r>
              <w:rPr>
                <w:sz w:val="18"/>
              </w:rPr>
              <w:t>One item on one declaration</w:t>
            </w:r>
          </w:p>
        </w:tc>
      </w:tr>
      <w:tr>
        <w:tc>
          <w:tcPr>
            <w:tcW w:type="dxa" w:w="2294"/>
          </w:tcPr>
          <w:p>
            <w:pPr>
              <w:spacing w:after="20" w:before="20" w:line="240" w:lineRule="auto"/>
            </w:pPr>
            <w:r/>
            <w:r>
              <w:rPr>
                <w:sz w:val="18"/>
              </w:rPr>
              <w:t>Joins</w:t>
            </w:r>
          </w:p>
        </w:tc>
        <w:tc>
          <w:tcPr>
            <w:tcW w:type="dxa" w:w="7457"/>
          </w:tcPr>
          <w:p>
            <w:pPr>
              <w:spacing w:after="20" w:before="20" w:line="240" w:lineRule="auto"/>
            </w:pPr>
            <w:r/>
            <w:r>
              <w:rPr>
                <w:sz w:val="18"/>
              </w:rPr>
              <w:t>Declaration header, items and inspection actions, on the declaration ID (instance_id)</w:t>
            </w:r>
          </w:p>
        </w:tc>
      </w:tr>
      <w:tr>
        <w:tc>
          <w:tcPr>
            <w:tcW w:type="dxa" w:w="2294"/>
          </w:tcPr>
          <w:p>
            <w:pPr>
              <w:spacing w:after="20" w:before="20" w:line="240" w:lineRule="auto"/>
            </w:pPr>
            <w:r/>
            <w:r>
              <w:rPr>
                <w:sz w:val="18"/>
              </w:rPr>
              <w:t>Read through</w:t>
            </w:r>
          </w:p>
        </w:tc>
        <w:tc>
          <w:tcPr>
            <w:tcW w:type="dxa" w:w="7457"/>
          </w:tcPr>
          <w:p>
            <w:pPr>
              <w:spacing w:after="20" w:before="20" w:line="240" w:lineRule="auto"/>
            </w:pPr>
            <w:r/>
            <w:r>
              <w:rPr>
                <w:sz w:val="18"/>
              </w:rPr>
              <w:t>Hue (Spark SQL), with the Data Science officer's own data lake login</w:t>
            </w:r>
          </w:p>
        </w:tc>
      </w:tr>
      <w:tr>
        <w:tc>
          <w:tcPr>
            <w:tcW w:type="dxa" w:w="2294"/>
          </w:tcPr>
          <w:p>
            <w:pPr>
              <w:spacing w:after="20" w:before="20" w:line="240" w:lineRule="auto"/>
            </w:pPr>
            <w:r/>
            <w:r>
              <w:rPr>
                <w:sz w:val="18"/>
              </w:rPr>
              <w:t>Period used</w:t>
            </w:r>
          </w:p>
        </w:tc>
        <w:tc>
          <w:tcPr>
            <w:tcW w:type="dxa" w:w="7457"/>
          </w:tcPr>
          <w:p>
            <w:pPr>
              <w:spacing w:after="20" w:before="20" w:line="240" w:lineRule="auto"/>
            </w:pPr>
            <w:r/>
            <w:r>
              <w:rPr>
                <w:sz w:val="18"/>
              </w:rPr>
              <w:t>Rolling: 24 months for features, 36 months for recency, 5 years for the new importer check</w:t>
            </w:r>
          </w:p>
        </w:tc>
      </w:tr>
    </w:tbl>
    <w:p>
      <w:pPr>
        <w:spacing w:after="40"/>
      </w:pPr>
    </w:p>
    <w:p>
      <w:pPr>
        <w:pStyle w:val="Heading2"/>
      </w:pPr>
      <w:r>
        <w:t>2.2 Declaration Header: dm_modeled_ura.ft_cstm_decl_hdr</w:t>
      </w:r>
    </w:p>
    <w:p>
      <w:pPr>
        <w:spacing w:after="120"/>
      </w:pPr>
      <w:r>
        <w:t>One record per declaration: who declared, where, when, under which regime, its status, its tax and its flags.</w:t>
      </w:r>
    </w:p>
    <w:p>
      <w:pPr>
        <w:pStyle w:val="Caption"/>
      </w:pPr>
      <w:r>
        <w:t xml:space="preserve">Table </w:t>
      </w:r>
      <w:r>
        <w:fldChar w:fldCharType="begin"/>
      </w:r>
      <w:r>
        <w:instrText xml:space="preserve"> SEQ Table \* ARABIC </w:instrText>
      </w:r>
      <w:r>
        <w:fldChar w:fldCharType="separate"/>
      </w:r>
      <w:r>
        <w:t>9</w:t>
      </w:r>
      <w:r>
        <w:fldChar w:fldCharType="end"/>
      </w:r>
      <w:r>
        <w:t>: Header Columns Used</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065"/>
            <w:shd w:val="clear" w:color="auto" w:fill="D9E2F3"/>
          </w:tcPr>
          <w:p>
            <w:pPr>
              <w:spacing w:after="20" w:before="20" w:line="240" w:lineRule="auto"/>
            </w:pPr>
            <w:r/>
            <w:r>
              <w:rPr>
                <w:b/>
                <w:sz w:val="16"/>
              </w:rPr>
              <w:t>Column</w:t>
            </w:r>
          </w:p>
        </w:tc>
        <w:tc>
          <w:tcPr>
            <w:tcW w:type="dxa" w:w="1491"/>
            <w:shd w:val="clear" w:color="auto" w:fill="D9E2F3"/>
          </w:tcPr>
          <w:p>
            <w:pPr>
              <w:spacing w:after="20" w:before="20" w:line="240" w:lineRule="auto"/>
            </w:pPr>
            <w:r/>
            <w:r>
              <w:rPr>
                <w:b/>
                <w:sz w:val="16"/>
              </w:rPr>
              <w:t>Type</w:t>
            </w:r>
          </w:p>
        </w:tc>
        <w:tc>
          <w:tcPr>
            <w:tcW w:type="dxa" w:w="3442"/>
            <w:shd w:val="clear" w:color="auto" w:fill="D9E2F3"/>
          </w:tcPr>
          <w:p>
            <w:pPr>
              <w:spacing w:after="20" w:before="20" w:line="240" w:lineRule="auto"/>
            </w:pPr>
            <w:r/>
            <w:r>
              <w:rPr>
                <w:b/>
                <w:sz w:val="16"/>
              </w:rPr>
              <w:t>What it means</w:t>
            </w:r>
          </w:p>
        </w:tc>
        <w:tc>
          <w:tcPr>
            <w:tcW w:type="dxa" w:w="2753"/>
            <w:shd w:val="clear" w:color="auto" w:fill="D9E2F3"/>
          </w:tcPr>
          <w:p>
            <w:pPr>
              <w:spacing w:after="20" w:before="20" w:line="240" w:lineRule="auto"/>
            </w:pPr>
            <w:r/>
            <w:r>
              <w:rPr>
                <w:b/>
                <w:sz w:val="16"/>
              </w:rPr>
              <w:t>Used for</w:t>
            </w:r>
          </w:p>
        </w:tc>
      </w:tr>
      <w:tr>
        <w:tc>
          <w:tcPr>
            <w:tcW w:type="dxa" w:w="2065"/>
          </w:tcPr>
          <w:p>
            <w:pPr>
              <w:spacing w:after="20" w:before="20" w:line="240" w:lineRule="auto"/>
            </w:pPr>
            <w:r/>
            <w:r>
              <w:rPr>
                <w:sz w:val="16"/>
              </w:rPr>
              <w:t>instance_id</w:t>
            </w:r>
          </w:p>
        </w:tc>
        <w:tc>
          <w:tcPr>
            <w:tcW w:type="dxa" w:w="1491"/>
          </w:tcPr>
          <w:p>
            <w:pPr>
              <w:spacing w:after="20" w:before="20" w:line="240" w:lineRule="auto"/>
            </w:pPr>
            <w:r/>
            <w:r>
              <w:rPr>
                <w:sz w:val="16"/>
              </w:rPr>
              <w:t>text</w:t>
            </w:r>
          </w:p>
        </w:tc>
        <w:tc>
          <w:tcPr>
            <w:tcW w:type="dxa" w:w="3442"/>
          </w:tcPr>
          <w:p>
            <w:pPr>
              <w:spacing w:after="20" w:before="20" w:line="240" w:lineRule="auto"/>
            </w:pPr>
            <w:r/>
            <w:r>
              <w:rPr>
                <w:sz w:val="16"/>
              </w:rPr>
              <w:t>Declaration ID: the system's number for the declaration</w:t>
            </w:r>
          </w:p>
        </w:tc>
        <w:tc>
          <w:tcPr>
            <w:tcW w:type="dxa" w:w="2753"/>
          </w:tcPr>
          <w:p>
            <w:pPr>
              <w:spacing w:after="20" w:before="20" w:line="240" w:lineRule="auto"/>
            </w:pPr>
            <w:r/>
            <w:r>
              <w:rPr>
                <w:sz w:val="16"/>
              </w:rPr>
              <w:t>Joining tables; keeping the latest ID per entry</w:t>
            </w:r>
          </w:p>
        </w:tc>
      </w:tr>
      <w:tr>
        <w:tc>
          <w:tcPr>
            <w:tcW w:type="dxa" w:w="2065"/>
          </w:tcPr>
          <w:p>
            <w:pPr>
              <w:spacing w:after="20" w:before="20" w:line="240" w:lineRule="auto"/>
            </w:pPr>
            <w:r/>
            <w:r>
              <w:rPr>
                <w:sz w:val="16"/>
              </w:rPr>
              <w:t>entry_num</w:t>
            </w:r>
          </w:p>
        </w:tc>
        <w:tc>
          <w:tcPr>
            <w:tcW w:type="dxa" w:w="1491"/>
          </w:tcPr>
          <w:p>
            <w:pPr>
              <w:spacing w:after="20" w:before="20" w:line="240" w:lineRule="auto"/>
            </w:pPr>
            <w:r/>
            <w:r>
              <w:rPr>
                <w:sz w:val="16"/>
              </w:rPr>
              <w:t>text</w:t>
            </w:r>
          </w:p>
        </w:tc>
        <w:tc>
          <w:tcPr>
            <w:tcW w:type="dxa" w:w="3442"/>
          </w:tcPr>
          <w:p>
            <w:pPr>
              <w:spacing w:after="20" w:before="20" w:line="240" w:lineRule="auto"/>
            </w:pPr>
            <w:r/>
            <w:r>
              <w:rPr>
                <w:sz w:val="16"/>
              </w:rPr>
              <w:t>Entry number officers see, for example C 12345</w:t>
            </w:r>
          </w:p>
        </w:tc>
        <w:tc>
          <w:tcPr>
            <w:tcW w:type="dxa" w:w="2753"/>
          </w:tcPr>
          <w:p>
            <w:pPr>
              <w:spacing w:after="20" w:before="20" w:line="240" w:lineRule="auto"/>
            </w:pPr>
            <w:r/>
            <w:r>
              <w:rPr>
                <w:sz w:val="16"/>
              </w:rPr>
              <w:t>Entry key</w:t>
            </w:r>
          </w:p>
        </w:tc>
      </w:tr>
      <w:tr>
        <w:tc>
          <w:tcPr>
            <w:tcW w:type="dxa" w:w="2065"/>
          </w:tcPr>
          <w:p>
            <w:pPr>
              <w:spacing w:after="20" w:before="20" w:line="240" w:lineRule="auto"/>
            </w:pPr>
            <w:r/>
            <w:r>
              <w:rPr>
                <w:sz w:val="16"/>
              </w:rPr>
              <w:t>clearance_station_cd</w:t>
            </w:r>
          </w:p>
        </w:tc>
        <w:tc>
          <w:tcPr>
            <w:tcW w:type="dxa" w:w="1491"/>
          </w:tcPr>
          <w:p>
            <w:pPr>
              <w:spacing w:after="20" w:before="20" w:line="240" w:lineRule="auto"/>
            </w:pPr>
            <w:r/>
            <w:r>
              <w:rPr>
                <w:sz w:val="16"/>
              </w:rPr>
              <w:t>text</w:t>
            </w:r>
          </w:p>
        </w:tc>
        <w:tc>
          <w:tcPr>
            <w:tcW w:type="dxa" w:w="3442"/>
          </w:tcPr>
          <w:p>
            <w:pPr>
              <w:spacing w:after="20" w:before="20" w:line="240" w:lineRule="auto"/>
            </w:pPr>
            <w:r/>
            <w:r>
              <w:rPr>
                <w:sz w:val="16"/>
              </w:rPr>
              <w:t>Customs station of clearance</w:t>
            </w:r>
          </w:p>
        </w:tc>
        <w:tc>
          <w:tcPr>
            <w:tcW w:type="dxa" w:w="2753"/>
          </w:tcPr>
          <w:p>
            <w:pPr>
              <w:spacing w:after="20" w:before="20" w:line="240" w:lineRule="auto"/>
            </w:pPr>
            <w:r/>
            <w:r>
              <w:rPr>
                <w:sz w:val="16"/>
              </w:rPr>
              <w:t>Entry key; station feature</w:t>
            </w:r>
          </w:p>
        </w:tc>
      </w:tr>
      <w:tr>
        <w:tc>
          <w:tcPr>
            <w:tcW w:type="dxa" w:w="2065"/>
          </w:tcPr>
          <w:p>
            <w:pPr>
              <w:spacing w:after="20" w:before="20" w:line="240" w:lineRule="auto"/>
            </w:pPr>
            <w:r/>
            <w:r>
              <w:rPr>
                <w:sz w:val="16"/>
              </w:rPr>
              <w:t>dec_ref_yer</w:t>
            </w:r>
          </w:p>
        </w:tc>
        <w:tc>
          <w:tcPr>
            <w:tcW w:type="dxa" w:w="1491"/>
          </w:tcPr>
          <w:p>
            <w:pPr>
              <w:spacing w:after="20" w:before="20" w:line="240" w:lineRule="auto"/>
            </w:pPr>
            <w:r/>
            <w:r>
              <w:rPr>
                <w:sz w:val="16"/>
              </w:rPr>
              <w:t>text</w:t>
            </w:r>
          </w:p>
        </w:tc>
        <w:tc>
          <w:tcPr>
            <w:tcW w:type="dxa" w:w="3442"/>
          </w:tcPr>
          <w:p>
            <w:pPr>
              <w:spacing w:after="20" w:before="20" w:line="240" w:lineRule="auto"/>
            </w:pPr>
            <w:r/>
            <w:r>
              <w:rPr>
                <w:sz w:val="16"/>
              </w:rPr>
              <w:t>Year of the declaration reference</w:t>
            </w:r>
          </w:p>
        </w:tc>
        <w:tc>
          <w:tcPr>
            <w:tcW w:type="dxa" w:w="2753"/>
          </w:tcPr>
          <w:p>
            <w:pPr>
              <w:spacing w:after="20" w:before="20" w:line="240" w:lineRule="auto"/>
            </w:pPr>
            <w:r/>
            <w:r>
              <w:rPr>
                <w:sz w:val="16"/>
              </w:rPr>
              <w:t>Entry key</w:t>
            </w:r>
          </w:p>
        </w:tc>
      </w:tr>
      <w:tr>
        <w:tc>
          <w:tcPr>
            <w:tcW w:type="dxa" w:w="2065"/>
          </w:tcPr>
          <w:p>
            <w:pPr>
              <w:spacing w:after="20" w:before="20" w:line="240" w:lineRule="auto"/>
            </w:pPr>
            <w:r/>
            <w:r>
              <w:rPr>
                <w:sz w:val="16"/>
              </w:rPr>
              <w:t>assessment_dt_wid</w:t>
            </w:r>
          </w:p>
        </w:tc>
        <w:tc>
          <w:tcPr>
            <w:tcW w:type="dxa" w:w="1491"/>
          </w:tcPr>
          <w:p>
            <w:pPr>
              <w:spacing w:after="20" w:before="20" w:line="240" w:lineRule="auto"/>
            </w:pPr>
            <w:r/>
            <w:r>
              <w:rPr>
                <w:sz w:val="16"/>
              </w:rPr>
              <w:t>text date (YYYYMMDD)</w:t>
            </w:r>
          </w:p>
        </w:tc>
        <w:tc>
          <w:tcPr>
            <w:tcW w:type="dxa" w:w="3442"/>
          </w:tcPr>
          <w:p>
            <w:pPr>
              <w:spacing w:after="20" w:before="20" w:line="240" w:lineRule="auto"/>
            </w:pPr>
            <w:r/>
            <w:r>
              <w:rPr>
                <w:sz w:val="16"/>
              </w:rPr>
              <w:t>Date the declaration was assessed</w:t>
            </w:r>
          </w:p>
        </w:tc>
        <w:tc>
          <w:tcPr>
            <w:tcW w:type="dxa" w:w="2753"/>
          </w:tcPr>
          <w:p>
            <w:pPr>
              <w:spacing w:after="20" w:before="20" w:line="240" w:lineRule="auto"/>
            </w:pPr>
            <w:r/>
            <w:r>
              <w:rPr>
                <w:sz w:val="16"/>
              </w:rPr>
              <w:t>Every time window</w:t>
            </w:r>
          </w:p>
        </w:tc>
      </w:tr>
      <w:tr>
        <w:tc>
          <w:tcPr>
            <w:tcW w:type="dxa" w:w="2065"/>
          </w:tcPr>
          <w:p>
            <w:pPr>
              <w:spacing w:after="20" w:before="20" w:line="240" w:lineRule="auto"/>
            </w:pPr>
            <w:r/>
            <w:r>
              <w:rPr>
                <w:sz w:val="16"/>
              </w:rPr>
              <w:t>taxpayer_tin</w:t>
            </w:r>
          </w:p>
        </w:tc>
        <w:tc>
          <w:tcPr>
            <w:tcW w:type="dxa" w:w="1491"/>
          </w:tcPr>
          <w:p>
            <w:pPr>
              <w:spacing w:after="20" w:before="20" w:line="240" w:lineRule="auto"/>
            </w:pPr>
            <w:r/>
            <w:r>
              <w:rPr>
                <w:sz w:val="16"/>
              </w:rPr>
              <w:t>text (10 digits)</w:t>
            </w:r>
          </w:p>
        </w:tc>
        <w:tc>
          <w:tcPr>
            <w:tcW w:type="dxa" w:w="3442"/>
          </w:tcPr>
          <w:p>
            <w:pPr>
              <w:spacing w:after="20" w:before="20" w:line="240" w:lineRule="auto"/>
            </w:pPr>
            <w:r/>
            <w:r>
              <w:rPr>
                <w:sz w:val="16"/>
              </w:rPr>
              <w:t>TIN of the importer</w:t>
            </w:r>
          </w:p>
        </w:tc>
        <w:tc>
          <w:tcPr>
            <w:tcW w:type="dxa" w:w="2753"/>
          </w:tcPr>
          <w:p>
            <w:pPr>
              <w:spacing w:after="20" w:before="20" w:line="240" w:lineRule="auto"/>
            </w:pPr>
            <w:r/>
            <w:r>
              <w:rPr>
                <w:sz w:val="16"/>
              </w:rPr>
              <w:t>Who the features describe</w:t>
            </w:r>
          </w:p>
        </w:tc>
      </w:tr>
      <w:tr>
        <w:tc>
          <w:tcPr>
            <w:tcW w:type="dxa" w:w="2065"/>
          </w:tcPr>
          <w:p>
            <w:pPr>
              <w:spacing w:after="20" w:before="20" w:line="240" w:lineRule="auto"/>
            </w:pPr>
            <w:r/>
            <w:r>
              <w:rPr>
                <w:sz w:val="16"/>
              </w:rPr>
              <w:t>taxpayer_nm</w:t>
            </w:r>
          </w:p>
        </w:tc>
        <w:tc>
          <w:tcPr>
            <w:tcW w:type="dxa" w:w="1491"/>
          </w:tcPr>
          <w:p>
            <w:pPr>
              <w:spacing w:after="20" w:before="20" w:line="240" w:lineRule="auto"/>
            </w:pPr>
            <w:r/>
            <w:r>
              <w:rPr>
                <w:sz w:val="16"/>
              </w:rPr>
              <w:t>text</w:t>
            </w:r>
          </w:p>
        </w:tc>
        <w:tc>
          <w:tcPr>
            <w:tcW w:type="dxa" w:w="3442"/>
          </w:tcPr>
          <w:p>
            <w:pPr>
              <w:spacing w:after="20" w:before="20" w:line="240" w:lineRule="auto"/>
            </w:pPr>
            <w:r/>
            <w:r>
              <w:rPr>
                <w:sz w:val="16"/>
              </w:rPr>
              <w:t>Name of the importer</w:t>
            </w:r>
          </w:p>
        </w:tc>
        <w:tc>
          <w:tcPr>
            <w:tcW w:type="dxa" w:w="2753"/>
          </w:tcPr>
          <w:p>
            <w:pPr>
              <w:spacing w:after="20" w:before="20" w:line="240" w:lineRule="auto"/>
            </w:pPr>
            <w:r/>
            <w:r>
              <w:rPr>
                <w:sz w:val="16"/>
              </w:rPr>
              <w:t>Display only, never a feature</w:t>
            </w:r>
          </w:p>
        </w:tc>
      </w:tr>
      <w:tr>
        <w:tc>
          <w:tcPr>
            <w:tcW w:type="dxa" w:w="2065"/>
          </w:tcPr>
          <w:p>
            <w:pPr>
              <w:spacing w:after="20" w:before="20" w:line="240" w:lineRule="auto"/>
            </w:pPr>
            <w:r/>
            <w:r>
              <w:rPr>
                <w:sz w:val="16"/>
              </w:rPr>
              <w:t>regime_cd</w:t>
            </w:r>
          </w:p>
        </w:tc>
        <w:tc>
          <w:tcPr>
            <w:tcW w:type="dxa" w:w="1491"/>
          </w:tcPr>
          <w:p>
            <w:pPr>
              <w:spacing w:after="20" w:before="20" w:line="240" w:lineRule="auto"/>
            </w:pPr>
            <w:r/>
            <w:r>
              <w:rPr>
                <w:sz w:val="16"/>
              </w:rPr>
              <w:t>text</w:t>
            </w:r>
          </w:p>
        </w:tc>
        <w:tc>
          <w:tcPr>
            <w:tcW w:type="dxa" w:w="3442"/>
          </w:tcPr>
          <w:p>
            <w:pPr>
              <w:spacing w:after="20" w:before="20" w:line="240" w:lineRule="auto"/>
            </w:pPr>
            <w:r/>
            <w:r>
              <w:rPr>
                <w:sz w:val="16"/>
              </w:rPr>
              <w:t>Customs regime, for example IM4, IM7, EX1</w:t>
            </w:r>
          </w:p>
        </w:tc>
        <w:tc>
          <w:tcPr>
            <w:tcW w:type="dxa" w:w="2753"/>
          </w:tcPr>
          <w:p>
            <w:pPr>
              <w:spacing w:after="20" w:before="20" w:line="240" w:lineRule="auto"/>
            </w:pPr>
            <w:r/>
            <w:r>
              <w:rPr>
                <w:sz w:val="16"/>
              </w:rPr>
              <w:t>Keeping imports only</w:t>
            </w:r>
          </w:p>
        </w:tc>
      </w:tr>
      <w:tr>
        <w:tc>
          <w:tcPr>
            <w:tcW w:type="dxa" w:w="2065"/>
          </w:tcPr>
          <w:p>
            <w:pPr>
              <w:spacing w:after="20" w:before="20" w:line="240" w:lineRule="auto"/>
            </w:pPr>
            <w:r/>
            <w:r>
              <w:rPr>
                <w:sz w:val="16"/>
              </w:rPr>
              <w:t>decl_status</w:t>
            </w:r>
          </w:p>
        </w:tc>
        <w:tc>
          <w:tcPr>
            <w:tcW w:type="dxa" w:w="1491"/>
          </w:tcPr>
          <w:p>
            <w:pPr>
              <w:spacing w:after="20" w:before="20" w:line="240" w:lineRule="auto"/>
            </w:pPr>
            <w:r/>
            <w:r>
              <w:rPr>
                <w:sz w:val="16"/>
              </w:rPr>
              <w:t>text</w:t>
            </w:r>
          </w:p>
        </w:tc>
        <w:tc>
          <w:tcPr>
            <w:tcW w:type="dxa" w:w="3442"/>
          </w:tcPr>
          <w:p>
            <w:pPr>
              <w:spacing w:after="20" w:before="20" w:line="240" w:lineRule="auto"/>
            </w:pPr>
            <w:r/>
            <w:r>
              <w:rPr>
                <w:sz w:val="16"/>
              </w:rPr>
              <w:t>Status, for example Paid, Totally exited, Cancelled</w:t>
            </w:r>
          </w:p>
        </w:tc>
        <w:tc>
          <w:tcPr>
            <w:tcW w:type="dxa" w:w="2753"/>
          </w:tcPr>
          <w:p>
            <w:pPr>
              <w:spacing w:after="20" w:before="20" w:line="240" w:lineRule="auto"/>
            </w:pPr>
            <w:r/>
            <w:r>
              <w:rPr>
                <w:sz w:val="16"/>
              </w:rPr>
              <w:t>Dropping cancelled declarations</w:t>
            </w:r>
          </w:p>
        </w:tc>
      </w:tr>
      <w:tr>
        <w:tc>
          <w:tcPr>
            <w:tcW w:type="dxa" w:w="2065"/>
          </w:tcPr>
          <w:p>
            <w:pPr>
              <w:spacing w:after="20" w:before="20" w:line="240" w:lineRule="auto"/>
            </w:pPr>
            <w:r/>
            <w:r>
              <w:rPr>
                <w:sz w:val="16"/>
              </w:rPr>
              <w:t>pay_status</w:t>
            </w:r>
          </w:p>
        </w:tc>
        <w:tc>
          <w:tcPr>
            <w:tcW w:type="dxa" w:w="1491"/>
          </w:tcPr>
          <w:p>
            <w:pPr>
              <w:spacing w:after="20" w:before="20" w:line="240" w:lineRule="auto"/>
            </w:pPr>
            <w:r/>
            <w:r>
              <w:rPr>
                <w:sz w:val="16"/>
              </w:rPr>
              <w:t>text</w:t>
            </w:r>
          </w:p>
        </w:tc>
        <w:tc>
          <w:tcPr>
            <w:tcW w:type="dxa" w:w="3442"/>
          </w:tcPr>
          <w:p>
            <w:pPr>
              <w:spacing w:after="20" w:before="20" w:line="240" w:lineRule="auto"/>
            </w:pPr>
            <w:r/>
            <w:r>
              <w:rPr>
                <w:sz w:val="16"/>
              </w:rPr>
              <w:t>Payment status, for example FULLY_PAID, NOT_PAID</w:t>
            </w:r>
          </w:p>
        </w:tc>
        <w:tc>
          <w:tcPr>
            <w:tcW w:type="dxa" w:w="2753"/>
          </w:tcPr>
          <w:p>
            <w:pPr>
              <w:spacing w:after="20" w:before="20" w:line="240" w:lineRule="auto"/>
            </w:pPr>
            <w:r/>
            <w:r>
              <w:rPr>
                <w:sz w:val="16"/>
              </w:rPr>
              <w:t>Unpaid tax feature</w:t>
            </w:r>
          </w:p>
        </w:tc>
      </w:tr>
      <w:tr>
        <w:tc>
          <w:tcPr>
            <w:tcW w:type="dxa" w:w="2065"/>
          </w:tcPr>
          <w:p>
            <w:pPr>
              <w:spacing w:after="20" w:before="20" w:line="240" w:lineRule="auto"/>
            </w:pPr>
            <w:r/>
            <w:r>
              <w:rPr>
                <w:sz w:val="16"/>
              </w:rPr>
              <w:t>original_tax_amt</w:t>
            </w:r>
          </w:p>
        </w:tc>
        <w:tc>
          <w:tcPr>
            <w:tcW w:type="dxa" w:w="1491"/>
          </w:tcPr>
          <w:p>
            <w:pPr>
              <w:spacing w:after="20" w:before="20" w:line="240" w:lineRule="auto"/>
            </w:pPr>
            <w:r/>
            <w:r>
              <w:rPr>
                <w:sz w:val="16"/>
              </w:rPr>
              <w:t>number (UGX)</w:t>
            </w:r>
          </w:p>
        </w:tc>
        <w:tc>
          <w:tcPr>
            <w:tcW w:type="dxa" w:w="3442"/>
          </w:tcPr>
          <w:p>
            <w:pPr>
              <w:spacing w:after="20" w:before="20" w:line="240" w:lineRule="auto"/>
            </w:pPr>
            <w:r/>
            <w:r>
              <w:rPr>
                <w:sz w:val="16"/>
              </w:rPr>
              <w:t>Tax at first assessment; blank when never changed</w:t>
            </w:r>
          </w:p>
        </w:tc>
        <w:tc>
          <w:tcPr>
            <w:tcW w:type="dxa" w:w="2753"/>
          </w:tcPr>
          <w:p>
            <w:pPr>
              <w:spacing w:after="20" w:before="20" w:line="240" w:lineRule="auto"/>
            </w:pPr>
            <w:r/>
            <w:r>
              <w:rPr>
                <w:sz w:val="16"/>
              </w:rPr>
              <w:t>Top-ups; tax reduced</w:t>
            </w:r>
          </w:p>
        </w:tc>
      </w:tr>
      <w:tr>
        <w:tc>
          <w:tcPr>
            <w:tcW w:type="dxa" w:w="2065"/>
          </w:tcPr>
          <w:p>
            <w:pPr>
              <w:spacing w:after="20" w:before="20" w:line="240" w:lineRule="auto"/>
            </w:pPr>
            <w:r/>
            <w:r>
              <w:rPr>
                <w:sz w:val="16"/>
              </w:rPr>
              <w:t>final_amt</w:t>
            </w:r>
          </w:p>
        </w:tc>
        <w:tc>
          <w:tcPr>
            <w:tcW w:type="dxa" w:w="1491"/>
          </w:tcPr>
          <w:p>
            <w:pPr>
              <w:spacing w:after="20" w:before="20" w:line="240" w:lineRule="auto"/>
            </w:pPr>
            <w:r/>
            <w:r>
              <w:rPr>
                <w:sz w:val="16"/>
              </w:rPr>
              <w:t>number (UGX)</w:t>
            </w:r>
          </w:p>
        </w:tc>
        <w:tc>
          <w:tcPr>
            <w:tcW w:type="dxa" w:w="3442"/>
          </w:tcPr>
          <w:p>
            <w:pPr>
              <w:spacing w:after="20" w:before="20" w:line="240" w:lineRule="auto"/>
            </w:pPr>
            <w:r/>
            <w:r>
              <w:rPr>
                <w:sz w:val="16"/>
              </w:rPr>
              <w:t>Tax after any change</w:t>
            </w:r>
          </w:p>
        </w:tc>
        <w:tc>
          <w:tcPr>
            <w:tcW w:type="dxa" w:w="2753"/>
          </w:tcPr>
          <w:p>
            <w:pPr>
              <w:spacing w:after="20" w:before="20" w:line="240" w:lineRule="auto"/>
            </w:pPr>
            <w:r/>
            <w:r>
              <w:rPr>
                <w:sz w:val="16"/>
              </w:rPr>
              <w:t>Top-ups; tax reduced; unpaid tax</w:t>
            </w:r>
          </w:p>
        </w:tc>
      </w:tr>
      <w:tr>
        <w:tc>
          <w:tcPr>
            <w:tcW w:type="dxa" w:w="2065"/>
          </w:tcPr>
          <w:p>
            <w:pPr>
              <w:spacing w:after="20" w:before="20" w:line="240" w:lineRule="auto"/>
            </w:pPr>
            <w:r/>
            <w:r>
              <w:rPr>
                <w:sz w:val="16"/>
              </w:rPr>
              <w:t>top_up_flg</w:t>
            </w:r>
          </w:p>
        </w:tc>
        <w:tc>
          <w:tcPr>
            <w:tcW w:type="dxa" w:w="1491"/>
          </w:tcPr>
          <w:p>
            <w:pPr>
              <w:spacing w:after="20" w:before="20" w:line="240" w:lineRule="auto"/>
            </w:pPr>
            <w:r/>
            <w:r>
              <w:rPr>
                <w:sz w:val="16"/>
              </w:rPr>
              <w:t>Y / N</w:t>
            </w:r>
          </w:p>
        </w:tc>
        <w:tc>
          <w:tcPr>
            <w:tcW w:type="dxa" w:w="3442"/>
          </w:tcPr>
          <w:p>
            <w:pPr>
              <w:spacing w:after="20" w:before="20" w:line="240" w:lineRule="auto"/>
            </w:pPr>
            <w:r/>
            <w:r>
              <w:rPr>
                <w:sz w:val="16"/>
              </w:rPr>
              <w:t>Customs marked the declaration as topped up</w:t>
            </w:r>
          </w:p>
        </w:tc>
        <w:tc>
          <w:tcPr>
            <w:tcW w:type="dxa" w:w="2753"/>
          </w:tcPr>
          <w:p>
            <w:pPr>
              <w:spacing w:after="20" w:before="20" w:line="240" w:lineRule="auto"/>
            </w:pPr>
            <w:r/>
            <w:r>
              <w:rPr>
                <w:sz w:val="16"/>
              </w:rPr>
              <w:t>Top-ups</w:t>
            </w:r>
          </w:p>
        </w:tc>
      </w:tr>
      <w:tr>
        <w:tc>
          <w:tcPr>
            <w:tcW w:type="dxa" w:w="2065"/>
          </w:tcPr>
          <w:p>
            <w:pPr>
              <w:spacing w:after="20" w:before="20" w:line="240" w:lineRule="auto"/>
            </w:pPr>
            <w:r/>
            <w:r>
              <w:rPr>
                <w:sz w:val="16"/>
              </w:rPr>
              <w:t>amendment_flg</w:t>
            </w:r>
          </w:p>
        </w:tc>
        <w:tc>
          <w:tcPr>
            <w:tcW w:type="dxa" w:w="1491"/>
          </w:tcPr>
          <w:p>
            <w:pPr>
              <w:spacing w:after="20" w:before="20" w:line="240" w:lineRule="auto"/>
            </w:pPr>
            <w:r/>
            <w:r>
              <w:rPr>
                <w:sz w:val="16"/>
              </w:rPr>
              <w:t>Y / N</w:t>
            </w:r>
          </w:p>
        </w:tc>
        <w:tc>
          <w:tcPr>
            <w:tcW w:type="dxa" w:w="3442"/>
          </w:tcPr>
          <w:p>
            <w:pPr>
              <w:spacing w:after="20" w:before="20" w:line="240" w:lineRule="auto"/>
            </w:pPr>
            <w:r/>
            <w:r>
              <w:rPr>
                <w:sz w:val="16"/>
              </w:rPr>
              <w:t>The declaration was amended after lodgement</w:t>
            </w:r>
          </w:p>
        </w:tc>
        <w:tc>
          <w:tcPr>
            <w:tcW w:type="dxa" w:w="2753"/>
          </w:tcPr>
          <w:p>
            <w:pPr>
              <w:spacing w:after="20" w:before="20" w:line="240" w:lineRule="auto"/>
            </w:pPr>
            <w:r/>
            <w:r>
              <w:rPr>
                <w:sz w:val="16"/>
              </w:rPr>
              <w:t>Amended features</w:t>
            </w:r>
          </w:p>
        </w:tc>
      </w:tr>
      <w:tr>
        <w:tc>
          <w:tcPr>
            <w:tcW w:type="dxa" w:w="2065"/>
          </w:tcPr>
          <w:p>
            <w:pPr>
              <w:spacing w:after="20" w:before="20" w:line="240" w:lineRule="auto"/>
            </w:pPr>
            <w:r/>
            <w:r>
              <w:rPr>
                <w:sz w:val="16"/>
              </w:rPr>
              <w:t>is_red_flg, is_yellow_flg</w:t>
            </w:r>
          </w:p>
        </w:tc>
        <w:tc>
          <w:tcPr>
            <w:tcW w:type="dxa" w:w="1491"/>
          </w:tcPr>
          <w:p>
            <w:pPr>
              <w:spacing w:after="20" w:before="20" w:line="240" w:lineRule="auto"/>
            </w:pPr>
            <w:r/>
            <w:r>
              <w:rPr>
                <w:sz w:val="16"/>
              </w:rPr>
              <w:t>1 / blank</w:t>
            </w:r>
          </w:p>
        </w:tc>
        <w:tc>
          <w:tcPr>
            <w:tcW w:type="dxa" w:w="3442"/>
          </w:tcPr>
          <w:p>
            <w:pPr>
              <w:spacing w:after="20" w:before="20" w:line="240" w:lineRule="auto"/>
            </w:pPr>
            <w:r/>
            <w:r>
              <w:rPr>
                <w:sz w:val="16"/>
              </w:rPr>
              <w:t>Lane: physical or documentary check</w:t>
            </w:r>
          </w:p>
        </w:tc>
        <w:tc>
          <w:tcPr>
            <w:tcW w:type="dxa" w:w="2753"/>
          </w:tcPr>
          <w:p>
            <w:pPr>
              <w:spacing w:after="20" w:before="20" w:line="240" w:lineRule="auto"/>
            </w:pPr>
            <w:r/>
            <w:r>
              <w:rPr>
                <w:sz w:val="16"/>
              </w:rPr>
              <w:t>Testing the model only (never a feature)</w:t>
            </w:r>
          </w:p>
        </w:tc>
      </w:tr>
      <w:tr>
        <w:tc>
          <w:tcPr>
            <w:tcW w:type="dxa" w:w="2065"/>
          </w:tcPr>
          <w:p>
            <w:pPr>
              <w:spacing w:after="20" w:before="20" w:line="240" w:lineRule="auto"/>
            </w:pPr>
            <w:r/>
            <w:r>
              <w:rPr>
                <w:sz w:val="16"/>
              </w:rPr>
              <w:t>top_up_amt</w:t>
            </w:r>
          </w:p>
        </w:tc>
        <w:tc>
          <w:tcPr>
            <w:tcW w:type="dxa" w:w="1491"/>
          </w:tcPr>
          <w:p>
            <w:pPr>
              <w:spacing w:after="20" w:before="20" w:line="240" w:lineRule="auto"/>
            </w:pPr>
            <w:r/>
            <w:r>
              <w:rPr>
                <w:sz w:val="16"/>
              </w:rPr>
              <w:t>number (UGX)</w:t>
            </w:r>
          </w:p>
        </w:tc>
        <w:tc>
          <w:tcPr>
            <w:tcW w:type="dxa" w:w="3442"/>
          </w:tcPr>
          <w:p>
            <w:pPr>
              <w:spacing w:after="20" w:before="20" w:line="240" w:lineRule="auto"/>
            </w:pPr>
            <w:r/>
            <w:r>
              <w:rPr>
                <w:sz w:val="16"/>
              </w:rPr>
              <w:t>Meant to hold the top-up, but holds the final tax on most declarations</w:t>
            </w:r>
          </w:p>
        </w:tc>
        <w:tc>
          <w:tcPr>
            <w:tcW w:type="dxa" w:w="2753"/>
          </w:tcPr>
          <w:p>
            <w:pPr>
              <w:spacing w:after="20" w:before="20" w:line="240" w:lineRule="auto"/>
            </w:pPr>
            <w:r/>
            <w:r>
              <w:rPr>
                <w:sz w:val="16"/>
              </w:rPr>
              <w:t>Not used (issue E09)</w:t>
            </w:r>
          </w:p>
        </w:tc>
      </w:tr>
    </w:tbl>
    <w:p>
      <w:pPr>
        <w:spacing w:after="40"/>
      </w:pPr>
    </w:p>
    <w:p>
      <w:pPr>
        <w:pStyle w:val="Heading2"/>
      </w:pPr>
      <w:r>
        <w:t>2.3 Items: dm_modeled_ura.ft_cstm_decl_item_tax</w:t>
      </w:r>
    </w:p>
    <w:p>
      <w:pPr>
        <w:spacing w:after="120"/>
      </w:pPr>
      <w:r>
        <w:t>One record per item (line) on a declaration: what the goods are, where they come from, their value, weight and tax.</w:t>
      </w:r>
    </w:p>
    <w:p>
      <w:pPr>
        <w:pStyle w:val="Caption"/>
      </w:pPr>
      <w:r>
        <w:t xml:space="preserve">Table </w:t>
      </w:r>
      <w:r>
        <w:fldChar w:fldCharType="begin"/>
      </w:r>
      <w:r>
        <w:instrText xml:space="preserve"> SEQ Table \* ARABIC </w:instrText>
      </w:r>
      <w:r>
        <w:fldChar w:fldCharType="separate"/>
      </w:r>
      <w:r>
        <w:t>10</w:t>
      </w:r>
      <w:r>
        <w:fldChar w:fldCharType="end"/>
      </w:r>
      <w:r>
        <w:t>: Item Columns Used</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065"/>
            <w:shd w:val="clear" w:color="auto" w:fill="D9E2F3"/>
          </w:tcPr>
          <w:p>
            <w:pPr>
              <w:spacing w:after="20" w:before="20" w:line="240" w:lineRule="auto"/>
            </w:pPr>
            <w:r/>
            <w:r>
              <w:rPr>
                <w:b/>
                <w:sz w:val="16"/>
              </w:rPr>
              <w:t>Column</w:t>
            </w:r>
          </w:p>
        </w:tc>
        <w:tc>
          <w:tcPr>
            <w:tcW w:type="dxa" w:w="1491"/>
            <w:shd w:val="clear" w:color="auto" w:fill="D9E2F3"/>
          </w:tcPr>
          <w:p>
            <w:pPr>
              <w:spacing w:after="20" w:before="20" w:line="240" w:lineRule="auto"/>
            </w:pPr>
            <w:r/>
            <w:r>
              <w:rPr>
                <w:b/>
                <w:sz w:val="16"/>
              </w:rPr>
              <w:t>Type</w:t>
            </w:r>
          </w:p>
        </w:tc>
        <w:tc>
          <w:tcPr>
            <w:tcW w:type="dxa" w:w="3442"/>
            <w:shd w:val="clear" w:color="auto" w:fill="D9E2F3"/>
          </w:tcPr>
          <w:p>
            <w:pPr>
              <w:spacing w:after="20" w:before="20" w:line="240" w:lineRule="auto"/>
            </w:pPr>
            <w:r/>
            <w:r>
              <w:rPr>
                <w:b/>
                <w:sz w:val="16"/>
              </w:rPr>
              <w:t>What it means</w:t>
            </w:r>
          </w:p>
        </w:tc>
        <w:tc>
          <w:tcPr>
            <w:tcW w:type="dxa" w:w="2753"/>
            <w:shd w:val="clear" w:color="auto" w:fill="D9E2F3"/>
          </w:tcPr>
          <w:p>
            <w:pPr>
              <w:spacing w:after="20" w:before="20" w:line="240" w:lineRule="auto"/>
            </w:pPr>
            <w:r/>
            <w:r>
              <w:rPr>
                <w:b/>
                <w:sz w:val="16"/>
              </w:rPr>
              <w:t>Used for</w:t>
            </w:r>
          </w:p>
        </w:tc>
      </w:tr>
      <w:tr>
        <w:tc>
          <w:tcPr>
            <w:tcW w:type="dxa" w:w="2065"/>
          </w:tcPr>
          <w:p>
            <w:pPr>
              <w:spacing w:after="20" w:before="20" w:line="240" w:lineRule="auto"/>
            </w:pPr>
            <w:r/>
            <w:r>
              <w:rPr>
                <w:sz w:val="16"/>
              </w:rPr>
              <w:t>key_itm_nbr</w:t>
            </w:r>
          </w:p>
        </w:tc>
        <w:tc>
          <w:tcPr>
            <w:tcW w:type="dxa" w:w="1491"/>
          </w:tcPr>
          <w:p>
            <w:pPr>
              <w:spacing w:after="20" w:before="20" w:line="240" w:lineRule="auto"/>
            </w:pPr>
            <w:r/>
            <w:r>
              <w:rPr>
                <w:sz w:val="16"/>
              </w:rPr>
              <w:t>text</w:t>
            </w:r>
          </w:p>
        </w:tc>
        <w:tc>
          <w:tcPr>
            <w:tcW w:type="dxa" w:w="3442"/>
          </w:tcPr>
          <w:p>
            <w:pPr>
              <w:spacing w:after="20" w:before="20" w:line="240" w:lineRule="auto"/>
            </w:pPr>
            <w:r/>
            <w:r>
              <w:rPr>
                <w:sz w:val="16"/>
              </w:rPr>
              <w:t>Item number on the declaration</w:t>
            </w:r>
          </w:p>
        </w:tc>
        <w:tc>
          <w:tcPr>
            <w:tcW w:type="dxa" w:w="2753"/>
          </w:tcPr>
          <w:p>
            <w:pPr>
              <w:spacing w:after="20" w:before="20" w:line="240" w:lineRule="auto"/>
            </w:pPr>
            <w:r/>
            <w:r>
              <w:rPr>
                <w:sz w:val="16"/>
              </w:rPr>
              <w:t>Keeping each item once</w:t>
            </w:r>
          </w:p>
        </w:tc>
      </w:tr>
      <w:tr>
        <w:tc>
          <w:tcPr>
            <w:tcW w:type="dxa" w:w="2065"/>
          </w:tcPr>
          <w:p>
            <w:pPr>
              <w:spacing w:after="20" w:before="20" w:line="240" w:lineRule="auto"/>
            </w:pPr>
            <w:r/>
            <w:r>
              <w:rPr>
                <w:sz w:val="16"/>
              </w:rPr>
              <w:t>hsc_cd</w:t>
            </w:r>
          </w:p>
        </w:tc>
        <w:tc>
          <w:tcPr>
            <w:tcW w:type="dxa" w:w="1491"/>
          </w:tcPr>
          <w:p>
            <w:pPr>
              <w:spacing w:after="20" w:before="20" w:line="240" w:lineRule="auto"/>
            </w:pPr>
            <w:r/>
            <w:r>
              <w:rPr>
                <w:sz w:val="16"/>
              </w:rPr>
              <w:t>text (11 digits)</w:t>
            </w:r>
          </w:p>
        </w:tc>
        <w:tc>
          <w:tcPr>
            <w:tcW w:type="dxa" w:w="3442"/>
          </w:tcPr>
          <w:p>
            <w:pPr>
              <w:spacing w:after="20" w:before="20" w:line="240" w:lineRule="auto"/>
            </w:pPr>
            <w:r/>
            <w:r>
              <w:rPr>
                <w:sz w:val="16"/>
              </w:rPr>
              <w:t>HS code: what the goods are</w:t>
            </w:r>
          </w:p>
        </w:tc>
        <w:tc>
          <w:tcPr>
            <w:tcW w:type="dxa" w:w="2753"/>
          </w:tcPr>
          <w:p>
            <w:pPr>
              <w:spacing w:after="20" w:before="20" w:line="240" w:lineRule="auto"/>
            </w:pPr>
            <w:r/>
            <w:r>
              <w:rPr>
                <w:sz w:val="16"/>
              </w:rPr>
              <w:t>Price and duty comparisons; goods spread; motor vehicles</w:t>
            </w:r>
          </w:p>
        </w:tc>
      </w:tr>
      <w:tr>
        <w:tc>
          <w:tcPr>
            <w:tcW w:type="dxa" w:w="2065"/>
          </w:tcPr>
          <w:p>
            <w:pPr>
              <w:spacing w:after="20" w:before="20" w:line="240" w:lineRule="auto"/>
            </w:pPr>
            <w:r/>
            <w:r>
              <w:rPr>
                <w:sz w:val="16"/>
              </w:rPr>
              <w:t>gds_org_cty</w:t>
            </w:r>
          </w:p>
        </w:tc>
        <w:tc>
          <w:tcPr>
            <w:tcW w:type="dxa" w:w="1491"/>
          </w:tcPr>
          <w:p>
            <w:pPr>
              <w:spacing w:after="20" w:before="20" w:line="240" w:lineRule="auto"/>
            </w:pPr>
            <w:r/>
            <w:r>
              <w:rPr>
                <w:sz w:val="16"/>
              </w:rPr>
              <w:t>text</w:t>
            </w:r>
          </w:p>
        </w:tc>
        <w:tc>
          <w:tcPr>
            <w:tcW w:type="dxa" w:w="3442"/>
          </w:tcPr>
          <w:p>
            <w:pPr>
              <w:spacing w:after="20" w:before="20" w:line="240" w:lineRule="auto"/>
            </w:pPr>
            <w:r/>
            <w:r>
              <w:rPr>
                <w:sz w:val="16"/>
              </w:rPr>
              <w:t>Country of origin</w:t>
            </w:r>
          </w:p>
        </w:tc>
        <w:tc>
          <w:tcPr>
            <w:tcW w:type="dxa" w:w="2753"/>
          </w:tcPr>
          <w:p>
            <w:pPr>
              <w:spacing w:after="20" w:before="20" w:line="240" w:lineRule="auto"/>
            </w:pPr>
            <w:r/>
            <w:r>
              <w:rPr>
                <w:sz w:val="16"/>
              </w:rPr>
              <w:t>Comparing prices with goods of the same origin</w:t>
            </w:r>
          </w:p>
        </w:tc>
      </w:tr>
      <w:tr>
        <w:tc>
          <w:tcPr>
            <w:tcW w:type="dxa" w:w="2065"/>
          </w:tcPr>
          <w:p>
            <w:pPr>
              <w:spacing w:after="20" w:before="20" w:line="240" w:lineRule="auto"/>
            </w:pPr>
            <w:r/>
            <w:r>
              <w:rPr>
                <w:sz w:val="16"/>
              </w:rPr>
              <w:t>cpc_cd</w:t>
            </w:r>
          </w:p>
        </w:tc>
        <w:tc>
          <w:tcPr>
            <w:tcW w:type="dxa" w:w="1491"/>
          </w:tcPr>
          <w:p>
            <w:pPr>
              <w:spacing w:after="20" w:before="20" w:line="240" w:lineRule="auto"/>
            </w:pPr>
            <w:r/>
            <w:r>
              <w:rPr>
                <w:sz w:val="16"/>
              </w:rPr>
              <w:t>text (3 digits)</w:t>
            </w:r>
          </w:p>
        </w:tc>
        <w:tc>
          <w:tcPr>
            <w:tcW w:type="dxa" w:w="3442"/>
          </w:tcPr>
          <w:p>
            <w:pPr>
              <w:spacing w:after="20" w:before="20" w:line="240" w:lineRule="auto"/>
            </w:pPr>
            <w:r/>
            <w:r>
              <w:rPr>
                <w:sz w:val="16"/>
              </w:rPr>
              <w:t>APC: exemption or relief claimed (000 = none)</w:t>
            </w:r>
          </w:p>
        </w:tc>
        <w:tc>
          <w:tcPr>
            <w:tcW w:type="dxa" w:w="2753"/>
          </w:tcPr>
          <w:p>
            <w:pPr>
              <w:spacing w:after="20" w:before="20" w:line="240" w:lineRule="auto"/>
            </w:pPr>
            <w:r/>
            <w:r>
              <w:rPr>
                <w:sz w:val="16"/>
              </w:rPr>
              <w:t>Exemption features; dropping APC 483</w:t>
            </w:r>
          </w:p>
        </w:tc>
      </w:tr>
      <w:tr>
        <w:tc>
          <w:tcPr>
            <w:tcW w:type="dxa" w:w="2065"/>
          </w:tcPr>
          <w:p>
            <w:pPr>
              <w:spacing w:after="20" w:before="20" w:line="240" w:lineRule="auto"/>
            </w:pPr>
            <w:r/>
            <w:r>
              <w:rPr>
                <w:sz w:val="16"/>
              </w:rPr>
              <w:t>extended_proc_cd</w:t>
            </w:r>
          </w:p>
        </w:tc>
        <w:tc>
          <w:tcPr>
            <w:tcW w:type="dxa" w:w="1491"/>
          </w:tcPr>
          <w:p>
            <w:pPr>
              <w:spacing w:after="20" w:before="20" w:line="240" w:lineRule="auto"/>
            </w:pPr>
            <w:r/>
            <w:r>
              <w:rPr>
                <w:sz w:val="16"/>
              </w:rPr>
              <w:t>text (4 digits)</w:t>
            </w:r>
          </w:p>
        </w:tc>
        <w:tc>
          <w:tcPr>
            <w:tcW w:type="dxa" w:w="3442"/>
          </w:tcPr>
          <w:p>
            <w:pPr>
              <w:spacing w:after="20" w:before="20" w:line="240" w:lineRule="auto"/>
            </w:pPr>
            <w:r/>
            <w:r>
              <w:rPr>
                <w:sz w:val="16"/>
              </w:rPr>
              <w:t>EPC: the procedure (for example 4000 home use)</w:t>
            </w:r>
          </w:p>
        </w:tc>
        <w:tc>
          <w:tcPr>
            <w:tcW w:type="dxa" w:w="2753"/>
          </w:tcPr>
          <w:p>
            <w:pPr>
              <w:spacing w:after="20" w:before="20" w:line="240" w:lineRule="auto"/>
            </w:pPr>
            <w:r/>
            <w:r>
              <w:rPr>
                <w:sz w:val="16"/>
              </w:rPr>
              <w:t>Leaving fuel transit out of splitting</w:t>
            </w:r>
          </w:p>
        </w:tc>
      </w:tr>
      <w:tr>
        <w:tc>
          <w:tcPr>
            <w:tcW w:type="dxa" w:w="2065"/>
          </w:tcPr>
          <w:p>
            <w:pPr>
              <w:spacing w:after="20" w:before="20" w:line="240" w:lineRule="auto"/>
            </w:pPr>
            <w:r/>
            <w:r>
              <w:rPr>
                <w:sz w:val="16"/>
              </w:rPr>
              <w:t>customs_value</w:t>
            </w:r>
          </w:p>
        </w:tc>
        <w:tc>
          <w:tcPr>
            <w:tcW w:type="dxa" w:w="1491"/>
          </w:tcPr>
          <w:p>
            <w:pPr>
              <w:spacing w:after="20" w:before="20" w:line="240" w:lineRule="auto"/>
            </w:pPr>
            <w:r/>
            <w:r>
              <w:rPr>
                <w:sz w:val="16"/>
              </w:rPr>
              <w:t>number (UGX)</w:t>
            </w:r>
          </w:p>
        </w:tc>
        <w:tc>
          <w:tcPr>
            <w:tcW w:type="dxa" w:w="3442"/>
          </w:tcPr>
          <w:p>
            <w:pPr>
              <w:spacing w:after="20" w:before="20" w:line="240" w:lineRule="auto"/>
            </w:pPr>
            <w:r/>
            <w:r>
              <w:rPr>
                <w:sz w:val="16"/>
              </w:rPr>
              <w:t>Customs value of the item</w:t>
            </w:r>
          </w:p>
        </w:tc>
        <w:tc>
          <w:tcPr>
            <w:tcW w:type="dxa" w:w="2753"/>
          </w:tcPr>
          <w:p>
            <w:pPr>
              <w:spacing w:after="20" w:before="20" w:line="240" w:lineRule="auto"/>
            </w:pPr>
            <w:r/>
            <w:r>
              <w:rPr>
                <w:sz w:val="16"/>
              </w:rPr>
              <w:t>Values; prices; duty rate</w:t>
            </w:r>
          </w:p>
        </w:tc>
      </w:tr>
      <w:tr>
        <w:tc>
          <w:tcPr>
            <w:tcW w:type="dxa" w:w="2065"/>
          </w:tcPr>
          <w:p>
            <w:pPr>
              <w:spacing w:after="20" w:before="20" w:line="240" w:lineRule="auto"/>
            </w:pPr>
            <w:r/>
            <w:r>
              <w:rPr>
                <w:sz w:val="16"/>
              </w:rPr>
              <w:t>net_weight</w:t>
            </w:r>
          </w:p>
        </w:tc>
        <w:tc>
          <w:tcPr>
            <w:tcW w:type="dxa" w:w="1491"/>
          </w:tcPr>
          <w:p>
            <w:pPr>
              <w:spacing w:after="20" w:before="20" w:line="240" w:lineRule="auto"/>
            </w:pPr>
            <w:r/>
            <w:r>
              <w:rPr>
                <w:sz w:val="16"/>
              </w:rPr>
              <w:t>number (kg)</w:t>
            </w:r>
          </w:p>
        </w:tc>
        <w:tc>
          <w:tcPr>
            <w:tcW w:type="dxa" w:w="3442"/>
          </w:tcPr>
          <w:p>
            <w:pPr>
              <w:spacing w:after="20" w:before="20" w:line="240" w:lineRule="auto"/>
            </w:pPr>
            <w:r/>
            <w:r>
              <w:rPr>
                <w:sz w:val="16"/>
              </w:rPr>
              <w:t>Net weight of the item</w:t>
            </w:r>
          </w:p>
        </w:tc>
        <w:tc>
          <w:tcPr>
            <w:tcW w:type="dxa" w:w="2753"/>
          </w:tcPr>
          <w:p>
            <w:pPr>
              <w:spacing w:after="20" w:before="20" w:line="240" w:lineRule="auto"/>
            </w:pPr>
            <w:r/>
            <w:r>
              <w:rPr>
                <w:sz w:val="16"/>
              </w:rPr>
              <w:t>Price per kg</w:t>
            </w:r>
          </w:p>
        </w:tc>
      </w:tr>
      <w:tr>
        <w:tc>
          <w:tcPr>
            <w:tcW w:type="dxa" w:w="2065"/>
          </w:tcPr>
          <w:p>
            <w:pPr>
              <w:spacing w:after="20" w:before="20" w:line="240" w:lineRule="auto"/>
            </w:pPr>
            <w:r/>
            <w:r>
              <w:rPr>
                <w:sz w:val="16"/>
              </w:rPr>
              <w:t>supplementary_qnty</w:t>
            </w:r>
          </w:p>
        </w:tc>
        <w:tc>
          <w:tcPr>
            <w:tcW w:type="dxa" w:w="1491"/>
          </w:tcPr>
          <w:p>
            <w:pPr>
              <w:spacing w:after="20" w:before="20" w:line="240" w:lineRule="auto"/>
            </w:pPr>
            <w:r/>
            <w:r>
              <w:rPr>
                <w:sz w:val="16"/>
              </w:rPr>
              <w:t>number</w:t>
            </w:r>
          </w:p>
        </w:tc>
        <w:tc>
          <w:tcPr>
            <w:tcW w:type="dxa" w:w="3442"/>
          </w:tcPr>
          <w:p>
            <w:pPr>
              <w:spacing w:after="20" w:before="20" w:line="240" w:lineRule="auto"/>
            </w:pPr>
            <w:r/>
            <w:r>
              <w:rPr>
                <w:sz w:val="16"/>
              </w:rPr>
              <w:t>Quantity in units (pieces, litres, ...)</w:t>
            </w:r>
          </w:p>
        </w:tc>
        <w:tc>
          <w:tcPr>
            <w:tcW w:type="dxa" w:w="2753"/>
          </w:tcPr>
          <w:p>
            <w:pPr>
              <w:spacing w:after="20" w:before="20" w:line="240" w:lineRule="auto"/>
            </w:pPr>
            <w:r/>
            <w:r>
              <w:rPr>
                <w:sz w:val="16"/>
              </w:rPr>
              <w:t>Price per unit</w:t>
            </w:r>
          </w:p>
        </w:tc>
      </w:tr>
      <w:tr>
        <w:tc>
          <w:tcPr>
            <w:tcW w:type="dxa" w:w="2065"/>
          </w:tcPr>
          <w:p>
            <w:pPr>
              <w:spacing w:after="20" w:before="20" w:line="240" w:lineRule="auto"/>
            </w:pPr>
            <w:r/>
            <w:r>
              <w:rPr>
                <w:sz w:val="16"/>
              </w:rPr>
              <w:t>tax_assessed</w:t>
            </w:r>
          </w:p>
        </w:tc>
        <w:tc>
          <w:tcPr>
            <w:tcW w:type="dxa" w:w="1491"/>
          </w:tcPr>
          <w:p>
            <w:pPr>
              <w:spacing w:after="20" w:before="20" w:line="240" w:lineRule="auto"/>
            </w:pPr>
            <w:r/>
            <w:r>
              <w:rPr>
                <w:sz w:val="16"/>
              </w:rPr>
              <w:t>number (UGX)</w:t>
            </w:r>
          </w:p>
        </w:tc>
        <w:tc>
          <w:tcPr>
            <w:tcW w:type="dxa" w:w="3442"/>
          </w:tcPr>
          <w:p>
            <w:pPr>
              <w:spacing w:after="20" w:before="20" w:line="240" w:lineRule="auto"/>
            </w:pPr>
            <w:r/>
            <w:r>
              <w:rPr>
                <w:sz w:val="16"/>
              </w:rPr>
              <w:t>Tax assessed on the item</w:t>
            </w:r>
          </w:p>
        </w:tc>
        <w:tc>
          <w:tcPr>
            <w:tcW w:type="dxa" w:w="2753"/>
          </w:tcPr>
          <w:p>
            <w:pPr>
              <w:spacing w:after="20" w:before="20" w:line="240" w:lineRule="auto"/>
            </w:pPr>
            <w:r/>
            <w:r>
              <w:rPr>
                <w:sz w:val="16"/>
              </w:rPr>
              <w:t>Duty rate against peers</w:t>
            </w:r>
          </w:p>
        </w:tc>
      </w:tr>
      <w:tr>
        <w:tc>
          <w:tcPr>
            <w:tcW w:type="dxa" w:w="2065"/>
          </w:tcPr>
          <w:p>
            <w:pPr>
              <w:spacing w:after="20" w:before="20" w:line="240" w:lineRule="auto"/>
            </w:pPr>
            <w:r/>
            <w:r>
              <w:rPr>
                <w:sz w:val="16"/>
              </w:rPr>
              <w:t>preferential_treatment_flag</w:t>
            </w:r>
          </w:p>
        </w:tc>
        <w:tc>
          <w:tcPr>
            <w:tcW w:type="dxa" w:w="1491"/>
          </w:tcPr>
          <w:p>
            <w:pPr>
              <w:spacing w:after="20" w:before="20" w:line="240" w:lineRule="auto"/>
            </w:pPr>
            <w:r/>
            <w:r>
              <w:rPr>
                <w:sz w:val="16"/>
              </w:rPr>
              <w:t>Y / N</w:t>
            </w:r>
          </w:p>
        </w:tc>
        <w:tc>
          <w:tcPr>
            <w:tcW w:type="dxa" w:w="3442"/>
          </w:tcPr>
          <w:p>
            <w:pPr>
              <w:spacing w:after="20" w:before="20" w:line="240" w:lineRule="auto"/>
            </w:pPr>
            <w:r/>
            <w:r>
              <w:rPr>
                <w:sz w:val="16"/>
              </w:rPr>
              <w:t>A trade preference (lower duty for the origin) was claimed</w:t>
            </w:r>
          </w:p>
        </w:tc>
        <w:tc>
          <w:tcPr>
            <w:tcW w:type="dxa" w:w="2753"/>
          </w:tcPr>
          <w:p>
            <w:pPr>
              <w:spacing w:after="20" w:before="20" w:line="240" w:lineRule="auto"/>
            </w:pPr>
            <w:r/>
            <w:r>
              <w:rPr>
                <w:sz w:val="16"/>
              </w:rPr>
              <w:t>Preference feature</w:t>
            </w:r>
          </w:p>
        </w:tc>
      </w:tr>
    </w:tbl>
    <w:p>
      <w:pPr>
        <w:spacing w:after="40"/>
      </w:pPr>
    </w:p>
    <w:p>
      <w:pPr>
        <w:pStyle w:val="Heading2"/>
      </w:pPr>
      <w:r>
        <w:t>2.4 Inspection Actions: awunadm.insp_act_tab_t</w:t>
      </w:r>
    </w:p>
    <w:p>
      <w:pPr>
        <w:spacing w:after="120"/>
      </w:pPr>
      <w:r>
        <w:t>What was done at inspection. The view joins it, but no feature uses its columns. It was checked as a possible cause of repeated rows and ruled out (EDA report, issue E02).</w:t>
      </w:r>
    </w:p>
    <w:p>
      <w:r>
        <w:br w:type="page"/>
      </w:r>
    </w:p>
    <w:p/>
    <w:p/>
    <w:p/>
    <w:p/>
    <w:p/>
    <w:p/>
    <w:p>
      <w:pPr>
        <w:pStyle w:val="Heading1"/>
      </w:pPr>
      <w:r>
        <w:t>PART 3: LINEAGE</w:t>
      </w:r>
    </w:p>
    <w:p>
      <w:pPr>
        <w:spacing w:after="120"/>
      </w:pPr>
      <w:r>
        <w:t>The path from a declaration in ASYCUDA to a taxpayer's score, in six steps. Every step is written down as code or a query, so the same data always gives the same result.</w:t>
      </w:r>
    </w:p>
    <w:p>
      <w:r>
        <w:br w:type="page"/>
      </w:r>
    </w:p>
    <w:p>
      <w:pPr>
        <w:pStyle w:val="Heading2"/>
      </w:pPr>
      <w:r>
        <w:t>3.1 From ASYCUDA to the Score</w:t>
      </w:r>
    </w:p>
    <w:p>
      <w:pPr>
        <w:pStyle w:val="Caption"/>
      </w:pPr>
      <w:r>
        <w:t xml:space="preserve">Table </w:t>
      </w:r>
      <w:r>
        <w:fldChar w:fldCharType="begin"/>
      </w:r>
      <w:r>
        <w:instrText xml:space="preserve"> SEQ Table \* ARABIC </w:instrText>
      </w:r>
      <w:r>
        <w:fldChar w:fldCharType="separate"/>
      </w:r>
      <w:r>
        <w:t>11</w:t>
      </w:r>
      <w:r>
        <w:fldChar w:fldCharType="end"/>
      </w:r>
      <w:r>
        <w:t>: Lineage, Step by Step</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574"/>
            <w:shd w:val="clear" w:color="auto" w:fill="D9E2F3"/>
          </w:tcPr>
          <w:p>
            <w:pPr>
              <w:spacing w:after="20" w:before="20" w:line="240" w:lineRule="auto"/>
            </w:pPr>
            <w:r/>
            <w:r>
              <w:rPr>
                <w:b/>
                <w:sz w:val="16"/>
              </w:rPr>
              <w:t>Step</w:t>
            </w:r>
          </w:p>
        </w:tc>
        <w:tc>
          <w:tcPr>
            <w:tcW w:type="dxa" w:w="2581"/>
            <w:shd w:val="clear" w:color="auto" w:fill="D9E2F3"/>
          </w:tcPr>
          <w:p>
            <w:pPr>
              <w:spacing w:after="20" w:before="20" w:line="240" w:lineRule="auto"/>
            </w:pPr>
            <w:r/>
            <w:r>
              <w:rPr>
                <w:b/>
                <w:sz w:val="16"/>
              </w:rPr>
              <w:t>What happens</w:t>
            </w:r>
          </w:p>
        </w:tc>
        <w:tc>
          <w:tcPr>
            <w:tcW w:type="dxa" w:w="1606"/>
            <w:shd w:val="clear" w:color="auto" w:fill="D9E2F3"/>
          </w:tcPr>
          <w:p>
            <w:pPr>
              <w:spacing w:after="20" w:before="20" w:line="240" w:lineRule="auto"/>
            </w:pPr>
            <w:r/>
            <w:r>
              <w:rPr>
                <w:b/>
                <w:sz w:val="16"/>
              </w:rPr>
              <w:t>Run by</w:t>
            </w:r>
          </w:p>
        </w:tc>
        <w:tc>
          <w:tcPr>
            <w:tcW w:type="dxa" w:w="2868"/>
            <w:shd w:val="clear" w:color="auto" w:fill="D9E2F3"/>
          </w:tcPr>
          <w:p>
            <w:pPr>
              <w:spacing w:after="20" w:before="20" w:line="240" w:lineRule="auto"/>
            </w:pPr>
            <w:r/>
            <w:r>
              <w:rPr>
                <w:b/>
                <w:sz w:val="16"/>
              </w:rPr>
              <w:t>Where it is defined</w:t>
            </w:r>
          </w:p>
        </w:tc>
        <w:tc>
          <w:tcPr>
            <w:tcW w:type="dxa" w:w="2122"/>
            <w:shd w:val="clear" w:color="auto" w:fill="D9E2F3"/>
          </w:tcPr>
          <w:p>
            <w:pPr>
              <w:spacing w:after="20" w:before="20" w:line="240" w:lineRule="auto"/>
            </w:pPr>
            <w:r/>
            <w:r>
              <w:rPr>
                <w:b/>
                <w:sz w:val="16"/>
              </w:rPr>
              <w:t>Output</w:t>
            </w:r>
          </w:p>
        </w:tc>
      </w:tr>
      <w:tr>
        <w:tc>
          <w:tcPr>
            <w:tcW w:type="dxa" w:w="574"/>
          </w:tcPr>
          <w:p>
            <w:pPr>
              <w:spacing w:after="20" w:before="20" w:line="240" w:lineRule="auto"/>
            </w:pPr>
            <w:r/>
            <w:r>
              <w:rPr>
                <w:sz w:val="16"/>
              </w:rPr>
              <w:t>1</w:t>
            </w:r>
          </w:p>
        </w:tc>
        <w:tc>
          <w:tcPr>
            <w:tcW w:type="dxa" w:w="2581"/>
          </w:tcPr>
          <w:p>
            <w:pPr>
              <w:spacing w:after="20" w:before="20" w:line="240" w:lineRule="auto"/>
            </w:pPr>
            <w:r/>
            <w:r>
              <w:rPr>
                <w:sz w:val="16"/>
              </w:rPr>
              <w:t>Declarations are lodged and assessed</w:t>
            </w:r>
          </w:p>
        </w:tc>
        <w:tc>
          <w:tcPr>
            <w:tcW w:type="dxa" w:w="1606"/>
          </w:tcPr>
          <w:p>
            <w:pPr>
              <w:spacing w:after="20" w:before="20" w:line="240" w:lineRule="auto"/>
            </w:pPr>
            <w:r/>
            <w:r>
              <w:rPr>
                <w:sz w:val="16"/>
              </w:rPr>
              <w:t>Traders, agents, officers</w:t>
            </w:r>
          </w:p>
        </w:tc>
        <w:tc>
          <w:tcPr>
            <w:tcW w:type="dxa" w:w="2868"/>
          </w:tcPr>
          <w:p>
            <w:pPr>
              <w:spacing w:after="20" w:before="20" w:line="240" w:lineRule="auto"/>
            </w:pPr>
            <w:r/>
            <w:r>
              <w:rPr>
                <w:sz w:val="16"/>
              </w:rPr>
              <w:t>ASYCUDA</w:t>
            </w:r>
          </w:p>
        </w:tc>
        <w:tc>
          <w:tcPr>
            <w:tcW w:type="dxa" w:w="2122"/>
          </w:tcPr>
          <w:p>
            <w:pPr>
              <w:spacing w:after="20" w:before="20" w:line="240" w:lineRule="auto"/>
            </w:pPr>
            <w:r/>
            <w:r>
              <w:rPr>
                <w:sz w:val="16"/>
              </w:rPr>
              <w:t>ASYCUDA records</w:t>
            </w:r>
          </w:p>
        </w:tc>
      </w:tr>
      <w:tr>
        <w:tc>
          <w:tcPr>
            <w:tcW w:type="dxa" w:w="574"/>
          </w:tcPr>
          <w:p>
            <w:pPr>
              <w:spacing w:after="20" w:before="20" w:line="240" w:lineRule="auto"/>
            </w:pPr>
            <w:r/>
            <w:r>
              <w:rPr>
                <w:sz w:val="16"/>
              </w:rPr>
              <w:t>2</w:t>
            </w:r>
          </w:p>
        </w:tc>
        <w:tc>
          <w:tcPr>
            <w:tcW w:type="dxa" w:w="2581"/>
          </w:tcPr>
          <w:p>
            <w:pPr>
              <w:spacing w:after="20" w:before="20" w:line="240" w:lineRule="auto"/>
            </w:pPr>
            <w:r/>
            <w:r>
              <w:rPr>
                <w:sz w:val="16"/>
              </w:rPr>
              <w:t>Records are copied into the data lake tables of Part 2</w:t>
            </w:r>
          </w:p>
        </w:tc>
        <w:tc>
          <w:tcPr>
            <w:tcW w:type="dxa" w:w="1606"/>
          </w:tcPr>
          <w:p>
            <w:pPr>
              <w:spacing w:after="20" w:before="20" w:line="240" w:lineRule="auto"/>
            </w:pPr>
            <w:r/>
            <w:r>
              <w:rPr>
                <w:sz w:val="16"/>
              </w:rPr>
              <w:t>Data Engineering</w:t>
            </w:r>
          </w:p>
        </w:tc>
        <w:tc>
          <w:tcPr>
            <w:tcW w:type="dxa" w:w="2868"/>
          </w:tcPr>
          <w:p>
            <w:pPr>
              <w:spacing w:after="20" w:before="20" w:line="240" w:lineRule="auto"/>
            </w:pPr>
            <w:r/>
            <w:r>
              <w:rPr>
                <w:sz w:val="16"/>
              </w:rPr>
              <w:t>Data lake loads</w:t>
            </w:r>
          </w:p>
        </w:tc>
        <w:tc>
          <w:tcPr>
            <w:tcW w:type="dxa" w:w="2122"/>
          </w:tcPr>
          <w:p>
            <w:pPr>
              <w:spacing w:after="20" w:before="20" w:line="240" w:lineRule="auto"/>
            </w:pPr>
            <w:r/>
            <w:r>
              <w:rPr>
                <w:sz w:val="16"/>
              </w:rPr>
              <w:t>Header, item and inspection tables</w:t>
            </w:r>
          </w:p>
        </w:tc>
      </w:tr>
      <w:tr>
        <w:tc>
          <w:tcPr>
            <w:tcW w:type="dxa" w:w="574"/>
          </w:tcPr>
          <w:p>
            <w:pPr>
              <w:spacing w:after="20" w:before="20" w:line="240" w:lineRule="auto"/>
            </w:pPr>
            <w:r/>
            <w:r>
              <w:rPr>
                <w:sz w:val="16"/>
              </w:rPr>
              <w:t>3</w:t>
            </w:r>
          </w:p>
        </w:tc>
        <w:tc>
          <w:tcPr>
            <w:tcW w:type="dxa" w:w="2581"/>
          </w:tcPr>
          <w:p>
            <w:pPr>
              <w:spacing w:after="20" w:before="20" w:line="240" w:lineRule="auto"/>
            </w:pPr>
            <w:r/>
            <w:r>
              <w:rPr>
                <w:sz w:val="16"/>
              </w:rPr>
              <w:t>The three tables are joined into one view</w:t>
            </w:r>
          </w:p>
        </w:tc>
        <w:tc>
          <w:tcPr>
            <w:tcW w:type="dxa" w:w="1606"/>
          </w:tcPr>
          <w:p>
            <w:pPr>
              <w:spacing w:after="20" w:before="20" w:line="240" w:lineRule="auto"/>
            </w:pPr>
            <w:r/>
            <w:r>
              <w:rPr>
                <w:sz w:val="16"/>
              </w:rPr>
              <w:t>Data Engineering</w:t>
            </w:r>
          </w:p>
        </w:tc>
        <w:tc>
          <w:tcPr>
            <w:tcW w:type="dxa" w:w="2868"/>
          </w:tcPr>
          <w:p>
            <w:pPr>
              <w:spacing w:after="20" w:before="20" w:line="240" w:lineRule="auto"/>
            </w:pPr>
            <w:r/>
            <w:r>
              <w:rPr>
                <w:sz w:val="16"/>
              </w:rPr>
              <w:t>dm_modeled_ura_datascience.vw_cstm_AEO_model</w:t>
            </w:r>
          </w:p>
        </w:tc>
        <w:tc>
          <w:tcPr>
            <w:tcW w:type="dxa" w:w="2122"/>
          </w:tcPr>
          <w:p>
            <w:pPr>
              <w:spacing w:after="20" w:before="20" w:line="240" w:lineRule="auto"/>
            </w:pPr>
            <w:r/>
            <w:r>
              <w:rPr>
                <w:sz w:val="16"/>
              </w:rPr>
              <w:t>One row per item per declaration</w:t>
            </w:r>
          </w:p>
        </w:tc>
      </w:tr>
      <w:tr>
        <w:tc>
          <w:tcPr>
            <w:tcW w:type="dxa" w:w="574"/>
          </w:tcPr>
          <w:p>
            <w:pPr>
              <w:spacing w:after="20" w:before="20" w:line="240" w:lineRule="auto"/>
            </w:pPr>
            <w:r/>
            <w:r>
              <w:rPr>
                <w:sz w:val="16"/>
              </w:rPr>
              <w:t>4</w:t>
            </w:r>
          </w:p>
        </w:tc>
        <w:tc>
          <w:tcPr>
            <w:tcW w:type="dxa" w:w="2581"/>
          </w:tcPr>
          <w:p>
            <w:pPr>
              <w:spacing w:after="20" w:before="20" w:line="240" w:lineRule="auto"/>
            </w:pPr>
            <w:r/>
            <w:r>
              <w:rPr>
                <w:sz w:val="16"/>
              </w:rPr>
              <w:t>The rows are cleaned (Part 5) and counted per taxpayer</w:t>
            </w:r>
          </w:p>
        </w:tc>
        <w:tc>
          <w:tcPr>
            <w:tcW w:type="dxa" w:w="1606"/>
          </w:tcPr>
          <w:p>
            <w:pPr>
              <w:spacing w:after="20" w:before="20" w:line="240" w:lineRule="auto"/>
            </w:pPr>
            <w:r/>
            <w:r>
              <w:rPr>
                <w:sz w:val="16"/>
              </w:rPr>
              <w:t>Data Science, in Hue</w:t>
            </w:r>
          </w:p>
        </w:tc>
        <w:tc>
          <w:tcPr>
            <w:tcW w:type="dxa" w:w="2868"/>
          </w:tcPr>
          <w:p>
            <w:pPr>
              <w:spacing w:after="20" w:before="20" w:line="240" w:lineRule="auto"/>
            </w:pPr>
            <w:r/>
            <w:r>
              <w:rPr>
                <w:sz w:val="16"/>
              </w:rPr>
              <w:t>sql/bt_&lt;date&gt;.sql, sql/live_&lt;date&gt;.sql, made from one template (src/ctrp/sql/features_outcomes.sql); only the dates change</w:t>
            </w:r>
          </w:p>
        </w:tc>
        <w:tc>
          <w:tcPr>
            <w:tcW w:type="dxa" w:w="2122"/>
          </w:tcPr>
          <w:p>
            <w:pPr>
              <w:spacing w:after="20" w:before="20" w:line="240" w:lineRule="auto"/>
            </w:pPr>
            <w:r/>
            <w:r>
              <w:rPr>
                <w:sz w:val="16"/>
              </w:rPr>
              <w:t>Extract: one row per taxpayer, 79 columns (data/&lt;name&gt;.csv)</w:t>
            </w:r>
          </w:p>
        </w:tc>
      </w:tr>
      <w:tr>
        <w:tc>
          <w:tcPr>
            <w:tcW w:type="dxa" w:w="574"/>
          </w:tcPr>
          <w:p>
            <w:pPr>
              <w:spacing w:after="20" w:before="20" w:line="240" w:lineRule="auto"/>
            </w:pPr>
            <w:r/>
            <w:r>
              <w:rPr>
                <w:sz w:val="16"/>
              </w:rPr>
              <w:t>5</w:t>
            </w:r>
          </w:p>
        </w:tc>
        <w:tc>
          <w:tcPr>
            <w:tcW w:type="dxa" w:w="2581"/>
          </w:tcPr>
          <w:p>
            <w:pPr>
              <w:spacing w:after="20" w:before="20" w:line="240" w:lineRule="auto"/>
            </w:pPr>
            <w:r/>
            <w:r>
              <w:rPr>
                <w:sz w:val="16"/>
              </w:rPr>
              <w:t>Every extract is checked for cut-off downloads, repeated TINs and impossible values</w:t>
            </w:r>
          </w:p>
        </w:tc>
        <w:tc>
          <w:tcPr>
            <w:tcW w:type="dxa" w:w="1606"/>
          </w:tcPr>
          <w:p>
            <w:pPr>
              <w:spacing w:after="20" w:before="20" w:line="240" w:lineRule="auto"/>
            </w:pPr>
            <w:r/>
            <w:r>
              <w:rPr>
                <w:sz w:val="16"/>
              </w:rPr>
              <w:t>Data Science</w:t>
            </w:r>
          </w:p>
        </w:tc>
        <w:tc>
          <w:tcPr>
            <w:tcW w:type="dxa" w:w="2868"/>
          </w:tcPr>
          <w:p>
            <w:pPr>
              <w:spacing w:after="20" w:before="20" w:line="240" w:lineRule="auto"/>
            </w:pPr>
            <w:r/>
            <w:r>
              <w:rPr>
                <w:sz w:val="16"/>
              </w:rPr>
              <w:t>python main.py check</w:t>
            </w:r>
          </w:p>
        </w:tc>
        <w:tc>
          <w:tcPr>
            <w:tcW w:type="dxa" w:w="2122"/>
          </w:tcPr>
          <w:p>
            <w:pPr>
              <w:spacing w:after="20" w:before="20" w:line="240" w:lineRule="auto"/>
            </w:pPr>
            <w:r/>
            <w:r>
              <w:rPr>
                <w:sz w:val="16"/>
              </w:rPr>
              <w:t>PASS / CHECK per test</w:t>
            </w:r>
          </w:p>
        </w:tc>
      </w:tr>
      <w:tr>
        <w:tc>
          <w:tcPr>
            <w:tcW w:type="dxa" w:w="574"/>
          </w:tcPr>
          <w:p>
            <w:pPr>
              <w:spacing w:after="20" w:before="20" w:line="240" w:lineRule="auto"/>
            </w:pPr>
            <w:r/>
            <w:r>
              <w:rPr>
                <w:sz w:val="16"/>
              </w:rPr>
              <w:t>6</w:t>
            </w:r>
          </w:p>
        </w:tc>
        <w:tc>
          <w:tcPr>
            <w:tcW w:type="dxa" w:w="2581"/>
          </w:tcPr>
          <w:p>
            <w:pPr>
              <w:spacing w:after="20" w:before="20" w:line="240" w:lineRule="auto"/>
            </w:pPr>
            <w:r/>
            <w:r>
              <w:rPr>
                <w:sz w:val="16"/>
              </w:rPr>
              <w:t>Counts become the 25 features, then the score</w:t>
            </w:r>
          </w:p>
        </w:tc>
        <w:tc>
          <w:tcPr>
            <w:tcW w:type="dxa" w:w="1606"/>
          </w:tcPr>
          <w:p>
            <w:pPr>
              <w:spacing w:after="20" w:before="20" w:line="240" w:lineRule="auto"/>
            </w:pPr>
            <w:r/>
            <w:r>
              <w:rPr>
                <w:sz w:val="16"/>
              </w:rPr>
              <w:t>Data Science</w:t>
            </w:r>
          </w:p>
        </w:tc>
        <w:tc>
          <w:tcPr>
            <w:tcW w:type="dxa" w:w="2868"/>
          </w:tcPr>
          <w:p>
            <w:pPr>
              <w:spacing w:after="20" w:before="20" w:line="240" w:lineRule="auto"/>
            </w:pPr>
            <w:r/>
            <w:r>
              <w:rPr>
                <w:sz w:val="16"/>
              </w:rPr>
              <w:t>src/ctrp/core.py (Track A), src/ctrp/discovery.py (Track B)</w:t>
            </w:r>
          </w:p>
        </w:tc>
        <w:tc>
          <w:tcPr>
            <w:tcW w:type="dxa" w:w="2122"/>
          </w:tcPr>
          <w:p>
            <w:pPr>
              <w:spacing w:after="20" w:before="20" w:line="240" w:lineRule="auto"/>
            </w:pPr>
            <w:r/>
            <w:r>
              <w:rPr>
                <w:sz w:val="16"/>
              </w:rPr>
              <w:t>Final dataset and score workbook (results/)</w:t>
            </w:r>
          </w:p>
        </w:tc>
      </w:tr>
    </w:tbl>
    <w:p>
      <w:pPr>
        <w:spacing w:after="40"/>
      </w:pPr>
    </w:p>
    <w:p>
      <w:pPr>
        <w:pStyle w:val="Heading2"/>
      </w:pPr>
      <w:r>
        <w:t>3.2 Time Windows</w:t>
      </w:r>
    </w:p>
    <w:p>
      <w:pPr>
        <w:pStyle w:val="Caption"/>
      </w:pPr>
      <w:r>
        <w:t xml:space="preserve">Table </w:t>
      </w:r>
      <w:r>
        <w:fldChar w:fldCharType="begin"/>
      </w:r>
      <w:r>
        <w:instrText xml:space="preserve"> SEQ Table \* ARABIC </w:instrText>
      </w:r>
      <w:r>
        <w:fldChar w:fldCharType="separate"/>
      </w:r>
      <w:r>
        <w:t>12</w:t>
      </w:r>
      <w:r>
        <w:fldChar w:fldCharType="end"/>
      </w:r>
      <w:r>
        <w:t>: How Far Back Each Measure Looks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4015"/>
            <w:shd w:val="clear" w:color="auto" w:fill="D9E2F3"/>
          </w:tcPr>
          <w:p>
            <w:pPr>
              <w:spacing w:after="20" w:before="20" w:line="240" w:lineRule="auto"/>
            </w:pPr>
            <w:r/>
            <w:r>
              <w:rPr>
                <w:b/>
                <w:sz w:val="18"/>
              </w:rPr>
              <w:t>Window</w:t>
            </w:r>
          </w:p>
        </w:tc>
        <w:tc>
          <w:tcPr>
            <w:tcW w:type="dxa" w:w="5736"/>
            <w:shd w:val="clear" w:color="auto" w:fill="D9E2F3"/>
          </w:tcPr>
          <w:p>
            <w:pPr>
              <w:spacing w:after="20" w:before="20" w:line="240" w:lineRule="auto"/>
            </w:pPr>
            <w:r/>
            <w:r>
              <w:rPr>
                <w:b/>
                <w:sz w:val="18"/>
              </w:rPr>
              <w:t>Used for</w:t>
            </w:r>
          </w:p>
        </w:tc>
      </w:tr>
      <w:tr>
        <w:tc>
          <w:tcPr>
            <w:tcW w:type="dxa" w:w="4015"/>
          </w:tcPr>
          <w:p>
            <w:pPr>
              <w:spacing w:after="20" w:before="20" w:line="240" w:lineRule="auto"/>
            </w:pPr>
            <w:r/>
            <w:r>
              <w:rPr>
                <w:sz w:val="18"/>
              </w:rPr>
              <w:t>24 months before the snapshot</w:t>
            </w:r>
          </w:p>
        </w:tc>
        <w:tc>
          <w:tcPr>
            <w:tcW w:type="dxa" w:w="5736"/>
          </w:tcPr>
          <w:p>
            <w:pPr>
              <w:spacing w:after="20" w:before="20" w:line="240" w:lineRule="auto"/>
            </w:pPr>
            <w:r/>
            <w:r>
              <w:rPr>
                <w:sz w:val="18"/>
              </w:rPr>
              <w:t>Most features; the declaration count; size; peer groups</w:t>
            </w:r>
          </w:p>
        </w:tc>
      </w:tr>
      <w:tr>
        <w:tc>
          <w:tcPr>
            <w:tcW w:type="dxa" w:w="4015"/>
          </w:tcPr>
          <w:p>
            <w:pPr>
              <w:spacing w:after="20" w:before="20" w:line="240" w:lineRule="auto"/>
            </w:pPr>
            <w:r/>
            <w:r>
              <w:rPr>
                <w:sz w:val="18"/>
              </w:rPr>
              <w:t>36 months before the snapshot, recent years counting more</w:t>
            </w:r>
          </w:p>
        </w:tc>
        <w:tc>
          <w:tcPr>
            <w:tcW w:type="dxa" w:w="5736"/>
          </w:tcPr>
          <w:p>
            <w:pPr>
              <w:spacing w:after="20" w:before="20" w:line="240" w:lineRule="auto"/>
            </w:pPr>
            <w:r/>
            <w:r>
              <w:rPr>
                <w:sz w:val="18"/>
              </w:rPr>
              <w:t>Five Track A history rates (recency: 1, 0.5, 0.25 by year)</w:t>
            </w:r>
          </w:p>
        </w:tc>
      </w:tr>
      <w:tr>
        <w:tc>
          <w:tcPr>
            <w:tcW w:type="dxa" w:w="4015"/>
          </w:tcPr>
          <w:p>
            <w:pPr>
              <w:spacing w:after="20" w:before="20" w:line="240" w:lineRule="auto"/>
            </w:pPr>
            <w:r/>
            <w:r>
              <w:rPr>
                <w:sz w:val="18"/>
              </w:rPr>
              <w:t>The 3 years before those 24 months</w:t>
            </w:r>
          </w:p>
        </w:tc>
        <w:tc>
          <w:tcPr>
            <w:tcW w:type="dxa" w:w="5736"/>
          </w:tcPr>
          <w:p>
            <w:pPr>
              <w:spacing w:after="20" w:before="20" w:line="240" w:lineRule="auto"/>
            </w:pPr>
            <w:r/>
            <w:r>
              <w:rPr>
                <w:sz w:val="18"/>
              </w:rPr>
              <w:t>Only to tell whether a taxpayer is a new importer</w:t>
            </w:r>
          </w:p>
        </w:tc>
      </w:tr>
      <w:tr>
        <w:tc>
          <w:tcPr>
            <w:tcW w:type="dxa" w:w="4015"/>
          </w:tcPr>
          <w:p>
            <w:pPr>
              <w:spacing w:after="20" w:before="20" w:line="240" w:lineRule="auto"/>
            </w:pPr>
            <w:r/>
            <w:r>
              <w:rPr>
                <w:sz w:val="18"/>
              </w:rPr>
              <w:t>6 months and 90 days before the snapshot</w:t>
            </w:r>
          </w:p>
        </w:tc>
        <w:tc>
          <w:tcPr>
            <w:tcW w:type="dxa" w:w="5736"/>
          </w:tcPr>
          <w:p>
            <w:pPr>
              <w:spacing w:after="20" w:before="20" w:line="240" w:lineRule="auto"/>
            </w:pPr>
            <w:r/>
            <w:r>
              <w:rPr>
                <w:sz w:val="18"/>
              </w:rPr>
              <w:t>Own price drop; declaration surge</w:t>
            </w:r>
          </w:p>
        </w:tc>
      </w:tr>
      <w:tr>
        <w:tc>
          <w:tcPr>
            <w:tcW w:type="dxa" w:w="4015"/>
          </w:tcPr>
          <w:p>
            <w:pPr>
              <w:spacing w:after="20" w:before="20" w:line="240" w:lineRule="auto"/>
            </w:pPr>
            <w:r/>
            <w:r>
              <w:rPr>
                <w:sz w:val="18"/>
              </w:rPr>
              <w:t>6 months after the snapshot</w:t>
            </w:r>
          </w:p>
        </w:tc>
        <w:tc>
          <w:tcPr>
            <w:tcW w:type="dxa" w:w="5736"/>
          </w:tcPr>
          <w:p>
            <w:pPr>
              <w:spacing w:after="20" w:before="20" w:line="240" w:lineRule="auto"/>
            </w:pPr>
            <w:r/>
            <w:r>
              <w:rPr>
                <w:sz w:val="18"/>
              </w:rPr>
              <w:t>Outcomes, to test the model on past dates only; never a feature</w:t>
            </w:r>
          </w:p>
        </w:tc>
      </w:tr>
    </w:tbl>
    <w:p>
      <w:pPr>
        <w:spacing w:after="40"/>
      </w:pPr>
    </w:p>
    <w:p>
      <w:pPr>
        <w:pStyle w:val="Heading2"/>
      </w:pPr>
      <w:r>
        <w:t>3.3 Traceability</w:t>
      </w:r>
    </w:p>
    <w:p>
      <w:pPr>
        <w:pStyle w:val="ListParagraph"/>
        <w:numPr>
          <w:ilvl w:val="0"/>
          <w:numId w:val="902"/>
        </w:numPr>
        <w:spacing w:after="60"/>
      </w:pPr>
      <w:r>
        <w:t>Every score workbook carries the model version and a fingerprint of all its settings, so any score can be traced to the exact rules that made it.</w:t>
      </w:r>
    </w:p>
    <w:p>
      <w:pPr>
        <w:pStyle w:val="ListParagraph"/>
        <w:numPr>
          <w:ilvl w:val="0"/>
          <w:numId w:val="902"/>
        </w:numPr>
        <w:spacing w:after="60"/>
      </w:pPr>
      <w:r>
        <w:t>Every design decision, with its evidence, is numbered in the decision log kept with the code (docs/DECISIONS.md).</w:t>
      </w:r>
    </w:p>
    <w:p>
      <w:pPr>
        <w:pStyle w:val="ListParagraph"/>
        <w:numPr>
          <w:ilvl w:val="0"/>
          <w:numId w:val="902"/>
        </w:numPr>
        <w:spacing w:after="60"/>
      </w:pPr>
      <w:r>
        <w:t>The working notebook (notebooks/CTRP_EDA_report.ipynb) rebuilds the features step by step from an extract and confirms they equal the production code: all 64 columns match.</w:t>
      </w:r>
    </w:p>
    <w:p>
      <w:r>
        <w:br w:type="page"/>
      </w:r>
    </w:p>
    <w:p/>
    <w:p/>
    <w:p/>
    <w:p/>
    <w:p/>
    <w:p/>
    <w:p>
      <w:pPr>
        <w:pStyle w:val="Heading1"/>
      </w:pPr>
      <w:r>
        <w:t>PART 4: FEATURE CATALOGUE</w:t>
      </w:r>
    </w:p>
    <w:p>
      <w:pPr>
        <w:spacing w:after="120"/>
      </w:pPr>
      <w:r>
        <w:t>Every feature the model reads: its name, what it measures, the columns it comes from, its formula and why it is needed. 8 features in Track A and 17 in Track B; three measures appear in both.</w:t>
      </w:r>
    </w:p>
    <w:p>
      <w:r>
        <w:br w:type="page"/>
      </w:r>
    </w:p>
    <w:p>
      <w:pPr>
        <w:pStyle w:val="Heading2"/>
      </w:pPr>
      <w:r>
        <w:t>4.1 How the Names Work</w:t>
      </w:r>
    </w:p>
    <w:p>
      <w:pPr>
        <w:spacing w:after="120"/>
      </w:pPr>
      <w:r>
        <w:t xml:space="preserve">Each name says </w:t>
      </w:r>
      <w:r>
        <w:rPr>
          <w:b/>
        </w:rPr>
        <w:t>what</w:t>
      </w:r>
      <w:r>
        <w:t xml:space="preserve"> is measured, </w:t>
      </w:r>
      <w:r>
        <w:rPr>
          <w:b/>
        </w:rPr>
        <w:t>per what</w:t>
      </w:r>
      <w:r>
        <w:t xml:space="preserve">, </w:t>
      </w:r>
      <w:r>
        <w:rPr>
          <w:b/>
        </w:rPr>
        <w:t>over which window</w:t>
      </w:r>
      <w:r>
        <w:t xml:space="preserve">, and ends with the </w:t>
      </w:r>
      <w:r>
        <w:rPr>
          <w:b/>
        </w:rPr>
        <w:t>unit</w:t>
      </w:r>
      <w:r>
        <w:t xml:space="preserve">. For example </w:t>
      </w:r>
      <w:r>
        <w:rPr>
          <w:b/>
        </w:rPr>
        <w:t>topped_up_per_decl_3y_rate</w:t>
      </w:r>
      <w:r>
        <w:t xml:space="preserve"> = declarations topped up, per declaration, over 3 years, as a rate (0 to 1).</w:t>
      </w:r>
    </w:p>
    <w:p>
      <w:pPr>
        <w:pStyle w:val="Caption"/>
      </w:pPr>
      <w:r>
        <w:t xml:space="preserve">Table </w:t>
      </w:r>
      <w:r>
        <w:fldChar w:fldCharType="begin"/>
      </w:r>
      <w:r>
        <w:instrText xml:space="preserve"> SEQ Table \* ARABIC </w:instrText>
      </w:r>
      <w:r>
        <w:fldChar w:fldCharType="separate"/>
      </w:r>
      <w:r>
        <w:t>13</w:t>
      </w:r>
      <w:r>
        <w:fldChar w:fldCharType="end"/>
      </w:r>
      <w:r>
        <w:t>: Short Forms Used in Names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4876"/>
        <w:gridCol w:w="4876"/>
      </w:tblGrid>
      <w:tr>
        <w:trPr>
          <w:tblHeader w:val="true"/>
        </w:trPr>
        <w:tc>
          <w:tcPr>
            <w:tcW w:type="dxa" w:w="2008"/>
            <w:shd w:val="clear" w:color="auto" w:fill="D9E2F3"/>
          </w:tcPr>
          <w:p>
            <w:pPr>
              <w:spacing w:after="20" w:before="20" w:line="240" w:lineRule="auto"/>
            </w:pPr>
            <w:r/>
            <w:r>
              <w:rPr>
                <w:b/>
                <w:sz w:val="16"/>
              </w:rPr>
              <w:t>Short form</w:t>
            </w:r>
          </w:p>
        </w:tc>
        <w:tc>
          <w:tcPr>
            <w:tcW w:type="dxa" w:w="7744"/>
            <w:shd w:val="clear" w:color="auto" w:fill="D9E2F3"/>
          </w:tcPr>
          <w:p>
            <w:pPr>
              <w:spacing w:after="20" w:before="20" w:line="240" w:lineRule="auto"/>
            </w:pPr>
            <w:r/>
            <w:r>
              <w:rPr>
                <w:b/>
                <w:sz w:val="16"/>
              </w:rPr>
              <w:t>Meaning</w:t>
            </w:r>
          </w:p>
        </w:tc>
      </w:tr>
      <w:tr>
        <w:tc>
          <w:tcPr>
            <w:tcW w:type="dxa" w:w="2008"/>
          </w:tcPr>
          <w:p>
            <w:pPr>
              <w:spacing w:after="20" w:before="20" w:line="240" w:lineRule="auto"/>
            </w:pPr>
            <w:r/>
            <w:r>
              <w:rPr>
                <w:sz w:val="16"/>
              </w:rPr>
              <w:t>decl</w:t>
            </w:r>
          </w:p>
        </w:tc>
        <w:tc>
          <w:tcPr>
            <w:tcW w:type="dxa" w:w="7744"/>
          </w:tcPr>
          <w:p>
            <w:pPr>
              <w:spacing w:after="20" w:before="20" w:line="240" w:lineRule="auto"/>
            </w:pPr>
            <w:r/>
            <w:r>
              <w:rPr>
                <w:sz w:val="16"/>
              </w:rPr>
              <w:t>declaration</w:t>
            </w:r>
          </w:p>
        </w:tc>
      </w:tr>
      <w:tr>
        <w:tc>
          <w:tcPr>
            <w:tcW w:type="dxa" w:w="2008"/>
          </w:tcPr>
          <w:p>
            <w:pPr>
              <w:spacing w:after="20" w:before="20" w:line="240" w:lineRule="auto"/>
            </w:pPr>
            <w:r/>
            <w:r>
              <w:rPr>
                <w:sz w:val="16"/>
              </w:rPr>
              <w:t>item</w:t>
            </w:r>
          </w:p>
        </w:tc>
        <w:tc>
          <w:tcPr>
            <w:tcW w:type="dxa" w:w="7744"/>
          </w:tcPr>
          <w:p>
            <w:pPr>
              <w:spacing w:after="20" w:before="20" w:line="240" w:lineRule="auto"/>
            </w:pPr>
            <w:r/>
            <w:r>
              <w:rPr>
                <w:sz w:val="16"/>
              </w:rPr>
              <w:t>one item (line) on a declaration</w:t>
            </w:r>
          </w:p>
        </w:tc>
      </w:tr>
      <w:tr>
        <w:tc>
          <w:tcPr>
            <w:tcW w:type="dxa" w:w="2008"/>
          </w:tcPr>
          <w:p>
            <w:pPr>
              <w:spacing w:after="20" w:before="20" w:line="240" w:lineRule="auto"/>
            </w:pPr>
            <w:r/>
            <w:r>
              <w:rPr>
                <w:sz w:val="16"/>
              </w:rPr>
              <w:t>peer</w:t>
            </w:r>
          </w:p>
        </w:tc>
        <w:tc>
          <w:tcPr>
            <w:tcW w:type="dxa" w:w="7744"/>
          </w:tcPr>
          <w:p>
            <w:pPr>
              <w:spacing w:after="20" w:before="20" w:line="240" w:lineRule="auto"/>
            </w:pPr>
            <w:r/>
            <w:r>
              <w:rPr>
                <w:sz w:val="16"/>
              </w:rPr>
              <w:t>the middle price or duty rate of other importers of the same goods</w:t>
            </w:r>
          </w:p>
        </w:tc>
      </w:tr>
      <w:tr>
        <w:tc>
          <w:tcPr>
            <w:tcW w:type="dxa" w:w="2008"/>
          </w:tcPr>
          <w:p>
            <w:pPr>
              <w:spacing w:after="20" w:before="20" w:line="240" w:lineRule="auto"/>
            </w:pPr>
            <w:r/>
            <w:r>
              <w:rPr>
                <w:sz w:val="16"/>
              </w:rPr>
              <w:t>coo</w:t>
            </w:r>
          </w:p>
        </w:tc>
        <w:tc>
          <w:tcPr>
            <w:tcW w:type="dxa" w:w="7744"/>
          </w:tcPr>
          <w:p>
            <w:pPr>
              <w:spacing w:after="20" w:before="20" w:line="240" w:lineRule="auto"/>
            </w:pPr>
            <w:r/>
            <w:r>
              <w:rPr>
                <w:sz w:val="16"/>
              </w:rPr>
              <w:t>country of origin</w:t>
            </w:r>
          </w:p>
        </w:tc>
      </w:tr>
      <w:tr>
        <w:tc>
          <w:tcPr>
            <w:tcW w:type="dxa" w:w="2008"/>
          </w:tcPr>
          <w:p>
            <w:pPr>
              <w:spacing w:after="20" w:before="20" w:line="240" w:lineRule="auto"/>
            </w:pPr>
            <w:r/>
            <w:r>
              <w:rPr>
                <w:sz w:val="16"/>
              </w:rPr>
              <w:t>hs4</w:t>
            </w:r>
          </w:p>
        </w:tc>
        <w:tc>
          <w:tcPr>
            <w:tcW w:type="dxa" w:w="7744"/>
          </w:tcPr>
          <w:p>
            <w:pPr>
              <w:spacing w:after="20" w:before="20" w:line="240" w:lineRule="auto"/>
            </w:pPr>
            <w:r/>
            <w:r>
              <w:rPr>
                <w:sz w:val="16"/>
              </w:rPr>
              <w:t>HS heading (first 4 digits of the tariff code)</w:t>
            </w:r>
          </w:p>
        </w:tc>
      </w:tr>
      <w:tr>
        <w:tc>
          <w:tcPr>
            <w:tcW w:type="dxa" w:w="2008"/>
          </w:tcPr>
          <w:p>
            <w:pPr>
              <w:spacing w:after="20" w:before="20" w:line="240" w:lineRule="auto"/>
            </w:pPr>
            <w:r/>
            <w:r>
              <w:rPr>
                <w:sz w:val="16"/>
              </w:rPr>
              <w:t>apc</w:t>
            </w:r>
          </w:p>
        </w:tc>
        <w:tc>
          <w:tcPr>
            <w:tcW w:type="dxa" w:w="7744"/>
          </w:tcPr>
          <w:p>
            <w:pPr>
              <w:spacing w:after="20" w:before="20" w:line="240" w:lineRule="auto"/>
            </w:pPr>
            <w:r/>
            <w:r>
              <w:rPr>
                <w:sz w:val="16"/>
              </w:rPr>
              <w:t>additional procedure code</w:t>
            </w:r>
          </w:p>
        </w:tc>
      </w:tr>
      <w:tr>
        <w:tc>
          <w:tcPr>
            <w:tcW w:type="dxa" w:w="2008"/>
          </w:tcPr>
          <w:p>
            <w:pPr>
              <w:spacing w:after="20" w:before="20" w:line="240" w:lineRule="auto"/>
            </w:pPr>
            <w:r/>
            <w:r>
              <w:rPr>
                <w:sz w:val="16"/>
              </w:rPr>
              <w:t>exempt</w:t>
            </w:r>
          </w:p>
        </w:tc>
        <w:tc>
          <w:tcPr>
            <w:tcW w:type="dxa" w:w="7744"/>
          </w:tcPr>
          <w:p>
            <w:pPr>
              <w:spacing w:after="20" w:before="20" w:line="240" w:lineRule="auto"/>
            </w:pPr>
            <w:r/>
            <w:r>
              <w:rPr>
                <w:sz w:val="16"/>
              </w:rPr>
              <w:t>exemption</w:t>
            </w:r>
          </w:p>
        </w:tc>
      </w:tr>
      <w:tr>
        <w:tc>
          <w:tcPr>
            <w:tcW w:type="dxa" w:w="2008"/>
          </w:tcPr>
          <w:p>
            <w:pPr>
              <w:spacing w:after="20" w:before="20" w:line="240" w:lineRule="auto"/>
            </w:pPr>
            <w:r/>
            <w:r>
              <w:rPr>
                <w:sz w:val="16"/>
              </w:rPr>
              <w:t>pref</w:t>
            </w:r>
          </w:p>
        </w:tc>
        <w:tc>
          <w:tcPr>
            <w:tcW w:type="dxa" w:w="7744"/>
          </w:tcPr>
          <w:p>
            <w:pPr>
              <w:spacing w:after="20" w:before="20" w:line="240" w:lineRule="auto"/>
            </w:pPr>
            <w:r/>
            <w:r>
              <w:rPr>
                <w:sz w:val="16"/>
              </w:rPr>
              <w:t>preferential treatment</w:t>
            </w:r>
          </w:p>
        </w:tc>
      </w:tr>
      <w:tr>
        <w:tc>
          <w:tcPr>
            <w:tcW w:type="dxa" w:w="2008"/>
          </w:tcPr>
          <w:p>
            <w:pPr>
              <w:spacing w:after="20" w:before="20" w:line="240" w:lineRule="auto"/>
            </w:pPr>
            <w:r/>
            <w:r>
              <w:rPr>
                <w:sz w:val="16"/>
              </w:rPr>
              <w:t>dev</w:t>
            </w:r>
          </w:p>
        </w:tc>
        <w:tc>
          <w:tcPr>
            <w:tcW w:type="dxa" w:w="7744"/>
          </w:tcPr>
          <w:p>
            <w:pPr>
              <w:spacing w:after="20" w:before="20" w:line="240" w:lineRule="auto"/>
            </w:pPr>
            <w:r/>
            <w:r>
              <w:rPr>
                <w:sz w:val="16"/>
              </w:rPr>
              <w:t>deviation (distance)</w:t>
            </w:r>
          </w:p>
        </w:tc>
      </w:tr>
      <w:tr>
        <w:tc>
          <w:tcPr>
            <w:tcW w:type="dxa" w:w="2008"/>
          </w:tcPr>
          <w:p>
            <w:pPr>
              <w:spacing w:after="20" w:before="20" w:line="240" w:lineRule="auto"/>
            </w:pPr>
            <w:r/>
            <w:r>
              <w:rPr>
                <w:sz w:val="16"/>
              </w:rPr>
              <w:t>avg</w:t>
            </w:r>
          </w:p>
        </w:tc>
        <w:tc>
          <w:tcPr>
            <w:tcW w:type="dxa" w:w="7744"/>
          </w:tcPr>
          <w:p>
            <w:pPr>
              <w:spacing w:after="20" w:before="20" w:line="240" w:lineRule="auto"/>
            </w:pPr>
            <w:r/>
            <w:r>
              <w:rPr>
                <w:sz w:val="16"/>
              </w:rPr>
              <w:t>average</w:t>
            </w:r>
          </w:p>
        </w:tc>
      </w:tr>
      <w:tr>
        <w:tc>
          <w:tcPr>
            <w:tcW w:type="dxa" w:w="2008"/>
          </w:tcPr>
          <w:p>
            <w:pPr>
              <w:spacing w:after="20" w:before="20" w:line="240" w:lineRule="auto"/>
            </w:pPr>
            <w:r/>
            <w:r>
              <w:rPr>
                <w:sz w:val="16"/>
              </w:rPr>
              <w:t>qtr</w:t>
            </w:r>
          </w:p>
        </w:tc>
        <w:tc>
          <w:tcPr>
            <w:tcW w:type="dxa" w:w="7744"/>
          </w:tcPr>
          <w:p>
            <w:pPr>
              <w:spacing w:after="20" w:before="20" w:line="240" w:lineRule="auto"/>
            </w:pPr>
            <w:r/>
            <w:r>
              <w:rPr>
                <w:sz w:val="16"/>
              </w:rPr>
              <w:t>quarter (3 months)</w:t>
            </w:r>
          </w:p>
        </w:tc>
      </w:tr>
      <w:tr>
        <w:tc>
          <w:tcPr>
            <w:tcW w:type="dxa" w:w="2008"/>
          </w:tcPr>
          <w:p>
            <w:pPr>
              <w:spacing w:after="20" w:before="20" w:line="240" w:lineRule="auto"/>
            </w:pPr>
            <w:r/>
            <w:r>
              <w:rPr>
                <w:sz w:val="16"/>
              </w:rPr>
              <w:t>original_tax</w:t>
            </w:r>
          </w:p>
        </w:tc>
        <w:tc>
          <w:tcPr>
            <w:tcW w:type="dxa" w:w="7744"/>
          </w:tcPr>
          <w:p>
            <w:pPr>
              <w:spacing w:after="20" w:before="20" w:line="240" w:lineRule="auto"/>
            </w:pPr>
            <w:r/>
            <w:r>
              <w:rPr>
                <w:sz w:val="16"/>
              </w:rPr>
              <w:t>the tax first assessed</w:t>
            </w:r>
          </w:p>
        </w:tc>
      </w:tr>
      <w:tr>
        <w:tc>
          <w:tcPr>
            <w:tcW w:type="dxa" w:w="2008"/>
          </w:tcPr>
          <w:p>
            <w:pPr>
              <w:spacing w:after="20" w:before="20" w:line="240" w:lineRule="auto"/>
            </w:pPr>
            <w:r/>
            <w:r>
              <w:rPr>
                <w:sz w:val="16"/>
              </w:rPr>
              <w:t>ugx</w:t>
            </w:r>
          </w:p>
        </w:tc>
        <w:tc>
          <w:tcPr>
            <w:tcW w:type="dxa" w:w="7744"/>
          </w:tcPr>
          <w:p>
            <w:pPr>
              <w:spacing w:after="20" w:before="20" w:line="240" w:lineRule="auto"/>
            </w:pPr>
            <w:r/>
            <w:r>
              <w:rPr>
                <w:sz w:val="16"/>
              </w:rPr>
              <w:t>Uganda shillings</w:t>
            </w:r>
          </w:p>
        </w:tc>
      </w:tr>
      <w:tr>
        <w:tc>
          <w:tcPr>
            <w:tcW w:type="dxa" w:w="2008"/>
          </w:tcPr>
          <w:p>
            <w:pPr>
              <w:spacing w:after="20" w:before="20" w:line="240" w:lineRule="auto"/>
            </w:pPr>
            <w:r/>
            <w:r>
              <w:rPr>
                <w:sz w:val="16"/>
              </w:rPr>
              <w:t>3y</w:t>
            </w:r>
          </w:p>
        </w:tc>
        <w:tc>
          <w:tcPr>
            <w:tcW w:type="dxa" w:w="7744"/>
          </w:tcPr>
          <w:p>
            <w:pPr>
              <w:spacing w:after="20" w:before="20" w:line="240" w:lineRule="auto"/>
            </w:pPr>
            <w:r/>
            <w:r>
              <w:rPr>
                <w:sz w:val="16"/>
              </w:rPr>
              <w:t>the 3 years before the snapshot, recent years counting more (1, 0.5, 0.25)</w:t>
            </w:r>
          </w:p>
        </w:tc>
      </w:tr>
      <w:tr>
        <w:tc>
          <w:tcPr>
            <w:tcW w:type="dxa" w:w="2008"/>
          </w:tcPr>
          <w:p>
            <w:pPr>
              <w:spacing w:after="20" w:before="20" w:line="240" w:lineRule="auto"/>
            </w:pPr>
            <w:r/>
            <w:r>
              <w:rPr>
                <w:sz w:val="16"/>
              </w:rPr>
              <w:t>24m</w:t>
            </w:r>
          </w:p>
        </w:tc>
        <w:tc>
          <w:tcPr>
            <w:tcW w:type="dxa" w:w="7744"/>
          </w:tcPr>
          <w:p>
            <w:pPr>
              <w:spacing w:after="20" w:before="20" w:line="240" w:lineRule="auto"/>
            </w:pPr>
            <w:r/>
            <w:r>
              <w:rPr>
                <w:sz w:val="16"/>
              </w:rPr>
              <w:t>the 24 months before the snapshot</w:t>
            </w:r>
          </w:p>
        </w:tc>
      </w:tr>
      <w:tr>
        <w:tc>
          <w:tcPr>
            <w:tcW w:type="dxa" w:w="2008"/>
          </w:tcPr>
          <w:p>
            <w:pPr>
              <w:spacing w:after="20" w:before="20" w:line="240" w:lineRule="auto"/>
            </w:pPr>
            <w:r/>
            <w:r>
              <w:rPr>
                <w:sz w:val="16"/>
              </w:rPr>
              <w:t>6m</w:t>
            </w:r>
          </w:p>
        </w:tc>
        <w:tc>
          <w:tcPr>
            <w:tcW w:type="dxa" w:w="7744"/>
          </w:tcPr>
          <w:p>
            <w:pPr>
              <w:spacing w:after="20" w:before="20" w:line="240" w:lineRule="auto"/>
            </w:pPr>
            <w:r/>
            <w:r>
              <w:rPr>
                <w:sz w:val="16"/>
              </w:rPr>
              <w:t>the 6 months before the snapshot</w:t>
            </w:r>
          </w:p>
        </w:tc>
      </w:tr>
      <w:tr>
        <w:tc>
          <w:tcPr>
            <w:tcW w:type="dxa" w:w="2008"/>
          </w:tcPr>
          <w:p>
            <w:pPr>
              <w:spacing w:after="20" w:before="20" w:line="240" w:lineRule="auto"/>
            </w:pPr>
            <w:r/>
            <w:r>
              <w:rPr>
                <w:sz w:val="16"/>
              </w:rPr>
              <w:t>90d, 180d</w:t>
            </w:r>
          </w:p>
        </w:tc>
        <w:tc>
          <w:tcPr>
            <w:tcW w:type="dxa" w:w="7744"/>
          </w:tcPr>
          <w:p>
            <w:pPr>
              <w:spacing w:after="20" w:before="20" w:line="240" w:lineRule="auto"/>
            </w:pPr>
            <w:r/>
            <w:r>
              <w:rPr>
                <w:sz w:val="16"/>
              </w:rPr>
              <w:t>the 90 or 180 days before the snapshot</w:t>
            </w:r>
          </w:p>
        </w:tc>
      </w:tr>
      <w:tr>
        <w:tc>
          <w:tcPr>
            <w:tcW w:type="dxa" w:w="2008"/>
          </w:tcPr>
          <w:p>
            <w:pPr>
              <w:spacing w:after="20" w:before="20" w:line="240" w:lineRule="auto"/>
            </w:pPr>
            <w:r/>
            <w:r>
              <w:rPr>
                <w:sz w:val="16"/>
              </w:rPr>
              <w:t>rate</w:t>
            </w:r>
          </w:p>
        </w:tc>
        <w:tc>
          <w:tcPr>
            <w:tcW w:type="dxa" w:w="7744"/>
          </w:tcPr>
          <w:p>
            <w:pPr>
              <w:spacing w:after="20" w:before="20" w:line="240" w:lineRule="auto"/>
            </w:pPr>
            <w:r/>
            <w:r>
              <w:rPr>
                <w:sz w:val="16"/>
              </w:rPr>
              <w:t>unit: cases divided by the base named after "per" (0 to 1; the shortfall can go above 1)</w:t>
            </w:r>
          </w:p>
        </w:tc>
      </w:tr>
      <w:tr>
        <w:tc>
          <w:tcPr>
            <w:tcW w:type="dxa" w:w="2008"/>
          </w:tcPr>
          <w:p>
            <w:pPr>
              <w:spacing w:after="20" w:before="20" w:line="240" w:lineRule="auto"/>
            </w:pPr>
            <w:r/>
            <w:r>
              <w:rPr>
                <w:sz w:val="16"/>
              </w:rPr>
              <w:t>flag</w:t>
            </w:r>
          </w:p>
        </w:tc>
        <w:tc>
          <w:tcPr>
            <w:tcW w:type="dxa" w:w="7744"/>
          </w:tcPr>
          <w:p>
            <w:pPr>
              <w:spacing w:after="20" w:before="20" w:line="240" w:lineRule="auto"/>
            </w:pPr>
            <w:r/>
            <w:r>
              <w:rPr>
                <w:sz w:val="16"/>
              </w:rPr>
              <w:t>unit: 1 = yes, 0 = no</w:t>
            </w:r>
          </w:p>
        </w:tc>
      </w:tr>
      <w:tr>
        <w:tc>
          <w:tcPr>
            <w:tcW w:type="dxa" w:w="2008"/>
          </w:tcPr>
          <w:p>
            <w:pPr>
              <w:spacing w:after="20" w:before="20" w:line="240" w:lineRule="auto"/>
            </w:pPr>
            <w:r/>
            <w:r>
              <w:rPr>
                <w:sz w:val="16"/>
              </w:rPr>
              <w:t>log</w:t>
            </w:r>
          </w:p>
        </w:tc>
        <w:tc>
          <w:tcPr>
            <w:tcW w:type="dxa" w:w="7744"/>
          </w:tcPr>
          <w:p>
            <w:pPr>
              <w:spacing w:after="20" w:before="20" w:line="240" w:lineRule="auto"/>
            </w:pPr>
            <w:r/>
            <w:r>
              <w:rPr>
                <w:sz w:val="16"/>
              </w:rPr>
              <w:t>unit: a log ratio (0 = the same, above 0 = higher)</w:t>
            </w:r>
          </w:p>
        </w:tc>
      </w:tr>
      <w:tr>
        <w:tc>
          <w:tcPr>
            <w:tcW w:type="dxa" w:w="2008"/>
          </w:tcPr>
          <w:p>
            <w:pPr>
              <w:spacing w:after="20" w:before="20" w:line="240" w:lineRule="auto"/>
            </w:pPr>
            <w:r/>
            <w:r>
              <w:rPr>
                <w:sz w:val="16"/>
              </w:rPr>
              <w:t>ratio</w:t>
            </w:r>
          </w:p>
        </w:tc>
        <w:tc>
          <w:tcPr>
            <w:tcW w:type="dxa" w:w="7744"/>
          </w:tcPr>
          <w:p>
            <w:pPr>
              <w:spacing w:after="20" w:before="20" w:line="240" w:lineRule="auto"/>
            </w:pPr>
            <w:r/>
            <w:r>
              <w:rPr>
                <w:sz w:val="16"/>
              </w:rPr>
              <w:t>unit: one count divided by another</w:t>
            </w:r>
          </w:p>
        </w:tc>
      </w:tr>
      <w:tr>
        <w:tc>
          <w:tcPr>
            <w:tcW w:type="dxa" w:w="2008"/>
          </w:tcPr>
          <w:p>
            <w:pPr>
              <w:spacing w:after="20" w:before="20" w:line="240" w:lineRule="auto"/>
            </w:pPr>
            <w:r/>
            <w:r>
              <w:rPr>
                <w:sz w:val="16"/>
              </w:rPr>
              <w:t>diff</w:t>
            </w:r>
          </w:p>
        </w:tc>
        <w:tc>
          <w:tcPr>
            <w:tcW w:type="dxa" w:w="7744"/>
          </w:tcPr>
          <w:p>
            <w:pPr>
              <w:spacing w:after="20" w:before="20" w:line="240" w:lineRule="auto"/>
            </w:pPr>
            <w:r/>
            <w:r>
              <w:rPr>
                <w:sz w:val="16"/>
              </w:rPr>
              <w:t>unit: a rate minus the norm for the same goods</w:t>
            </w:r>
          </w:p>
        </w:tc>
      </w:tr>
      <w:tr>
        <w:tc>
          <w:tcPr>
            <w:tcW w:type="dxa" w:w="2008"/>
          </w:tcPr>
          <w:p>
            <w:pPr>
              <w:spacing w:after="20" w:before="20" w:line="240" w:lineRule="auto"/>
            </w:pPr>
            <w:r/>
            <w:r>
              <w:rPr>
                <w:sz w:val="16"/>
              </w:rPr>
              <w:t>score</w:t>
            </w:r>
          </w:p>
        </w:tc>
        <w:tc>
          <w:tcPr>
            <w:tcW w:type="dxa" w:w="7744"/>
          </w:tcPr>
          <w:p>
            <w:pPr>
              <w:spacing w:after="20" w:before="20" w:line="240" w:lineRule="auto"/>
            </w:pPr>
            <w:r/>
            <w:r>
              <w:rPr>
                <w:sz w:val="16"/>
              </w:rPr>
              <w:t>unit: a made-up score; only its order matters</w:t>
            </w:r>
          </w:p>
        </w:tc>
      </w:tr>
      <w:tr>
        <w:tc>
          <w:tcPr>
            <w:tcW w:type="dxa" w:w="2008"/>
          </w:tcPr>
          <w:p>
            <w:pPr>
              <w:spacing w:after="20" w:before="20" w:line="240" w:lineRule="auto"/>
            </w:pPr>
            <w:r/>
            <w:r>
              <w:rPr>
                <w:sz w:val="16"/>
              </w:rPr>
              <w:t>count</w:t>
            </w:r>
          </w:p>
        </w:tc>
        <w:tc>
          <w:tcPr>
            <w:tcW w:type="dxa" w:w="7744"/>
          </w:tcPr>
          <w:p>
            <w:pPr>
              <w:spacing w:after="20" w:before="20" w:line="240" w:lineRule="auto"/>
            </w:pPr>
            <w:r/>
            <w:r>
              <w:rPr>
                <w:sz w:val="16"/>
              </w:rPr>
              <w:t>unit: a number of things</w:t>
            </w:r>
          </w:p>
        </w:tc>
      </w:tr>
      <w:tr>
        <w:tc>
          <w:tcPr>
            <w:tcW w:type="dxa" w:w="2008"/>
          </w:tcPr>
          <w:p>
            <w:pPr>
              <w:spacing w:after="20" w:before="20" w:line="240" w:lineRule="auto"/>
            </w:pPr>
            <w:r/>
            <w:r>
              <w:rPr>
                <w:sz w:val="16"/>
              </w:rPr>
              <w:t>pct</w:t>
            </w:r>
          </w:p>
        </w:tc>
        <w:tc>
          <w:tcPr>
            <w:tcW w:type="dxa" w:w="7744"/>
          </w:tcPr>
          <w:p>
            <w:pPr>
              <w:spacing w:after="20" w:before="20" w:line="240" w:lineRule="auto"/>
            </w:pPr>
            <w:r/>
            <w:r>
              <w:rPr>
                <w:sz w:val="16"/>
              </w:rPr>
              <w:t>percentile within the peer group (0 to 1): what the Track B model reads</w:t>
            </w:r>
          </w:p>
        </w:tc>
      </w:tr>
      <w:tr>
        <w:tc>
          <w:tcPr>
            <w:tcW w:type="dxa" w:w="2008"/>
          </w:tcPr>
          <w:p>
            <w:pPr>
              <w:spacing w:after="20" w:before="20" w:line="240" w:lineRule="auto"/>
            </w:pPr>
            <w:r/>
            <w:r>
              <w:rPr>
                <w:sz w:val="16"/>
              </w:rPr>
              <w:t>b_</w:t>
            </w:r>
          </w:p>
        </w:tc>
        <w:tc>
          <w:tcPr>
            <w:tcW w:type="dxa" w:w="7744"/>
          </w:tcPr>
          <w:p>
            <w:pPr>
              <w:spacing w:after="20" w:before="20" w:line="240" w:lineRule="auto"/>
            </w:pPr>
            <w:r/>
            <w:r>
              <w:rPr>
                <w:sz w:val="16"/>
              </w:rPr>
              <w:t>start of every Track B column</w:t>
            </w:r>
          </w:p>
        </w:tc>
      </w:tr>
      <w:tr>
        <w:tc>
          <w:tcPr>
            <w:tcW w:type="dxa" w:w="2008"/>
          </w:tcPr>
          <w:p>
            <w:pPr>
              <w:spacing w:after="20" w:before="20" w:line="240" w:lineRule="auto"/>
            </w:pPr>
            <w:r/>
            <w:r>
              <w:rPr>
                <w:sz w:val="16"/>
              </w:rPr>
              <w:t>raw_</w:t>
            </w:r>
          </w:p>
        </w:tc>
        <w:tc>
          <w:tcPr>
            <w:tcW w:type="dxa" w:w="7744"/>
          </w:tcPr>
          <w:p>
            <w:pPr>
              <w:spacing w:after="20" w:before="20" w:line="240" w:lineRule="auto"/>
            </w:pPr>
            <w:r/>
            <w:r>
              <w:rPr>
                <w:sz w:val="16"/>
              </w:rPr>
              <w:t>a Track A value before the small-numbers step</w:t>
            </w:r>
          </w:p>
        </w:tc>
      </w:tr>
    </w:tbl>
    <w:p>
      <w:pPr>
        <w:spacing w:after="40"/>
      </w:pPr>
    </w:p>
    <w:p>
      <w:pPr>
        <w:pStyle w:val="Heading2"/>
      </w:pPr>
      <w:r>
        <w:t>4.2 Two Steps Applied after the Formulas</w:t>
      </w:r>
    </w:p>
    <w:p>
      <w:pPr>
        <w:pStyle w:val="ListParagraph"/>
        <w:numPr>
          <w:ilvl w:val="0"/>
          <w:numId w:val="903"/>
        </w:numPr>
        <w:spacing w:after="60"/>
      </w:pPr>
      <w:r>
        <w:rPr>
          <w:b/>
        </w:rPr>
        <w:t>Small numbers (both tracks):</w:t>
      </w:r>
      <w:r>
        <w:t xml:space="preserve"> a rate from few declarations says little (1 top-up in 2 declarations is 50%). The rate is pulled towards everyone's average with the weight n ÷ (n + 10), where n is the number of declarations (items compared, for price rates). It can only lower a rate, never raise it. Track A keeps the value before this step as raw_&lt;name&gt;.</w:t>
      </w:r>
    </w:p>
    <w:p>
      <w:pPr>
        <w:pStyle w:val="ListParagraph"/>
        <w:numPr>
          <w:ilvl w:val="0"/>
          <w:numId w:val="903"/>
        </w:numPr>
        <w:spacing w:after="60"/>
      </w:pPr>
      <w:r>
        <w:rPr>
          <w:b/>
        </w:rPr>
        <w:t>Peer percentile (Track B):</w:t>
      </w:r>
      <w:r>
        <w:t xml:space="preserve"> each Track B feature becomes its rank among importers of the same main goods and size, from 0 to 1 (column ending _pct). A blank sits in the middle (0.5).</w:t>
      </w:r>
    </w:p>
    <w:p>
      <w:pPr>
        <w:pStyle w:val="Heading2"/>
      </w:pPr>
      <w:r>
        <w:t>4.3 Track A: Compliance History Scorecard</w:t>
      </w:r>
    </w:p>
    <w:p>
      <w:pPr>
        <w:spacing w:after="120"/>
      </w:pPr>
      <w:r>
        <w:t>Shorthand used in the formulas:</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752"/>
      </w:tblGrid>
      <w:tr>
        <w:tc>
          <w:tcPr>
            <w:tcW w:type="dxa" w:w="9752"/>
            <w:shd w:val="clear" w:color="auto" w:fill="F3F3F3"/>
          </w:tcPr>
          <w:p>
            <w:pPr>
              <w:spacing w:after="0" w:line="240" w:lineRule="auto"/>
            </w:pPr>
            <w:r/>
            <w:r>
              <w:rPr>
                <w:rFonts w:ascii="Consolas" w:hAnsi="Consolas"/>
                <w:sz w:val="18"/>
              </w:rPr>
              <w:t>original_tax = original_tax_amt, or final_amt when blank</w:t>
            </w:r>
          </w:p>
          <w:p>
            <w:pPr>
              <w:spacing w:after="0" w:line="240" w:lineRule="auto"/>
            </w:pPr>
            <w:r>
              <w:rPr>
                <w:rFonts w:ascii="Consolas" w:hAnsi="Consolas"/>
                <w:sz w:val="18"/>
              </w:rPr>
              <w:t>topped_up    = top_up_flg = Y  AND  final_amt &gt; original_tax</w:t>
            </w:r>
          </w:p>
          <w:p>
            <w:pPr>
              <w:spacing w:after="0" w:line="240" w:lineRule="auto"/>
            </w:pPr>
            <w:r>
              <w:rPr>
                <w:rFonts w:ascii="Consolas" w:hAnsi="Consolas"/>
                <w:sz w:val="18"/>
              </w:rPr>
              <w:t>top_up_ugx   = final_amt - original_tax, when topped_up (else 0)</w:t>
            </w:r>
          </w:p>
          <w:p>
            <w:pPr>
              <w:spacing w:after="0" w:line="240" w:lineRule="auto"/>
            </w:pPr>
            <w:r>
              <w:rPr>
                <w:rFonts w:ascii="Consolas" w:hAnsi="Consolas"/>
                <w:sz w:val="18"/>
              </w:rPr>
              <w:t>severe       = topped_up  AND  top_up_ugx &gt;= 0.30 x final_amt</w:t>
            </w:r>
          </w:p>
          <w:p>
            <w:pPr>
              <w:spacing w:after="0" w:line="240" w:lineRule="auto"/>
            </w:pPr>
            <w:r>
              <w:rPr>
                <w:rFonts w:ascii="Consolas" w:hAnsi="Consolas"/>
                <w:sz w:val="18"/>
              </w:rPr>
              <w:t>W(x)         = 1 x x(latest year) + 0.5 x x(year before) + 0.25 x x(year before that)</w:t>
            </w:r>
          </w:p>
          <w:p>
            <w:pPr>
              <w:spacing w:after="0" w:line="240" w:lineRule="auto"/>
            </w:pPr>
            <w:r>
              <w:rPr>
                <w:rFonts w:ascii="Consolas" w:hAnsi="Consolas"/>
                <w:sz w:val="18"/>
              </w:rPr>
              <w:t>decl         = number of declarations</w:t>
            </w:r>
          </w:p>
        </w:tc>
      </w:tr>
    </w:tbl>
    <w:p>
      <w:pPr>
        <w:spacing w:after="40"/>
      </w:pPr>
    </w:p>
    <w:p>
      <w:pPr>
        <w:pStyle w:val="Caption"/>
      </w:pPr>
      <w:r>
        <w:t xml:space="preserve">Table </w:t>
      </w:r>
      <w:r>
        <w:fldChar w:fldCharType="begin"/>
      </w:r>
      <w:r>
        <w:instrText xml:space="preserve"> SEQ Table \* ARABIC </w:instrText>
      </w:r>
      <w:r>
        <w:fldChar w:fldCharType="separate"/>
      </w:r>
      <w:r>
        <w:t>14</w:t>
      </w:r>
      <w:r>
        <w:fldChar w:fldCharType="end"/>
      </w:r>
      <w:r>
        <w:t>: Track A Features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1032"/>
            <w:shd w:val="clear" w:color="auto" w:fill="D9E2F3"/>
          </w:tcPr>
          <w:p>
            <w:pPr>
              <w:spacing w:after="20" w:before="20" w:line="240" w:lineRule="auto"/>
            </w:pPr>
            <w:r/>
            <w:r>
              <w:rPr>
                <w:b/>
                <w:sz w:val="16"/>
              </w:rPr>
              <w:t>Parameter</w:t>
            </w:r>
          </w:p>
        </w:tc>
        <w:tc>
          <w:tcPr>
            <w:tcW w:type="dxa" w:w="2294"/>
            <w:shd w:val="clear" w:color="auto" w:fill="D9E2F3"/>
          </w:tcPr>
          <w:p>
            <w:pPr>
              <w:spacing w:after="20" w:before="20" w:line="240" w:lineRule="auto"/>
            </w:pPr>
            <w:r/>
            <w:r>
              <w:rPr>
                <w:b/>
                <w:sz w:val="16"/>
              </w:rPr>
              <w:t>Feature</w:t>
            </w:r>
          </w:p>
        </w:tc>
        <w:tc>
          <w:tcPr>
            <w:tcW w:type="dxa" w:w="1893"/>
            <w:shd w:val="clear" w:color="auto" w:fill="D9E2F3"/>
          </w:tcPr>
          <w:p>
            <w:pPr>
              <w:spacing w:after="20" w:before="20" w:line="240" w:lineRule="auto"/>
            </w:pPr>
            <w:r/>
            <w:r>
              <w:rPr>
                <w:b/>
                <w:sz w:val="16"/>
              </w:rPr>
              <w:t>Columns used</w:t>
            </w:r>
          </w:p>
        </w:tc>
        <w:tc>
          <w:tcPr>
            <w:tcW w:type="dxa" w:w="2581"/>
            <w:shd w:val="clear" w:color="auto" w:fill="D9E2F3"/>
          </w:tcPr>
          <w:p>
            <w:pPr>
              <w:spacing w:after="20" w:before="20" w:line="240" w:lineRule="auto"/>
            </w:pPr>
            <w:r/>
            <w:r>
              <w:rPr>
                <w:b/>
                <w:sz w:val="16"/>
              </w:rPr>
              <w:t>Formula</w:t>
            </w:r>
          </w:p>
        </w:tc>
        <w:tc>
          <w:tcPr>
            <w:tcW w:type="dxa" w:w="1950"/>
            <w:shd w:val="clear" w:color="auto" w:fill="D9E2F3"/>
          </w:tcPr>
          <w:p>
            <w:pPr>
              <w:spacing w:after="20" w:before="20" w:line="240" w:lineRule="auto"/>
            </w:pPr>
            <w:r/>
            <w:r>
              <w:rPr>
                <w:b/>
                <w:sz w:val="16"/>
              </w:rPr>
              <w:t>Why it is needed</w:t>
            </w:r>
          </w:p>
        </w:tc>
      </w:tr>
      <w:tr>
        <w:tc>
          <w:tcPr>
            <w:tcW w:type="dxa" w:w="1032"/>
          </w:tcPr>
          <w:p>
            <w:pPr>
              <w:spacing w:after="20" w:before="20" w:line="240" w:lineRule="auto"/>
            </w:pPr>
            <w:r/>
            <w:r>
              <w:rPr>
                <w:sz w:val="16"/>
              </w:rPr>
              <w:t>PAR_045T</w:t>
            </w:r>
          </w:p>
        </w:tc>
        <w:tc>
          <w:tcPr>
            <w:tcW w:type="dxa" w:w="2294"/>
          </w:tcPr>
          <w:p>
            <w:pPr>
              <w:spacing w:after="20" w:before="20" w:line="240" w:lineRule="auto"/>
            </w:pPr>
            <w:r/>
            <w:r>
              <w:rPr>
                <w:sz w:val="16"/>
              </w:rPr>
              <w:t>topped_up_per_decl_3y_rate</w:t>
            </w:r>
          </w:p>
        </w:tc>
        <w:tc>
          <w:tcPr>
            <w:tcW w:type="dxa" w:w="1893"/>
          </w:tcPr>
          <w:p>
            <w:pPr>
              <w:spacing w:after="20" w:before="20" w:line="240" w:lineRule="auto"/>
            </w:pPr>
            <w:r/>
            <w:r>
              <w:rPr>
                <w:sz w:val="16"/>
              </w:rPr>
              <w:t>top_up_flg, original_tax_amt, final_amt</w:t>
            </w:r>
          </w:p>
        </w:tc>
        <w:tc>
          <w:tcPr>
            <w:tcW w:type="dxa" w:w="2581"/>
          </w:tcPr>
          <w:p>
            <w:pPr>
              <w:spacing w:after="20" w:before="20" w:line="240" w:lineRule="auto"/>
            </w:pPr>
            <w:r/>
            <w:r>
              <w:rPr>
                <w:sz w:val="16"/>
              </w:rPr>
              <w:t>W(topped_up) ÷ W(decl)</w:t>
            </w:r>
          </w:p>
        </w:tc>
        <w:tc>
          <w:tcPr>
            <w:tcW w:type="dxa" w:w="1950"/>
          </w:tcPr>
          <w:p>
            <w:pPr>
              <w:spacing w:after="20" w:before="20" w:line="240" w:lineRule="auto"/>
            </w:pPr>
            <w:r/>
            <w:r>
              <w:rPr>
                <w:sz w:val="16"/>
              </w:rPr>
              <w:t>A taxpayer often found under-declaring is likely to be found again</w:t>
            </w:r>
          </w:p>
        </w:tc>
      </w:tr>
      <w:tr>
        <w:tc>
          <w:tcPr>
            <w:tcW w:type="dxa" w:w="1032"/>
          </w:tcPr>
          <w:p>
            <w:pPr>
              <w:spacing w:after="20" w:before="20" w:line="240" w:lineRule="auto"/>
            </w:pPr>
            <w:r/>
            <w:r>
              <w:rPr>
                <w:sz w:val="16"/>
              </w:rPr>
              <w:t>PAR_077</w:t>
            </w:r>
          </w:p>
        </w:tc>
        <w:tc>
          <w:tcPr>
            <w:tcW w:type="dxa" w:w="2294"/>
          </w:tcPr>
          <w:p>
            <w:pPr>
              <w:spacing w:after="20" w:before="20" w:line="240" w:lineRule="auto"/>
            </w:pPr>
            <w:r/>
            <w:r>
              <w:rPr>
                <w:sz w:val="16"/>
              </w:rPr>
              <w:t>severe_top_up_per_decl_3y_rate</w:t>
            </w:r>
          </w:p>
        </w:tc>
        <w:tc>
          <w:tcPr>
            <w:tcW w:type="dxa" w:w="1893"/>
          </w:tcPr>
          <w:p>
            <w:pPr>
              <w:spacing w:after="20" w:before="20" w:line="240" w:lineRule="auto"/>
            </w:pPr>
            <w:r/>
            <w:r>
              <w:rPr>
                <w:sz w:val="16"/>
              </w:rPr>
              <w:t>top_up_flg, original_tax_amt, final_amt</w:t>
            </w:r>
          </w:p>
        </w:tc>
        <w:tc>
          <w:tcPr>
            <w:tcW w:type="dxa" w:w="2581"/>
          </w:tcPr>
          <w:p>
            <w:pPr>
              <w:spacing w:after="20" w:before="20" w:line="240" w:lineRule="auto"/>
            </w:pPr>
            <w:r/>
            <w:r>
              <w:rPr>
                <w:sz w:val="16"/>
              </w:rPr>
              <w:t>W(severe) ÷ W(decl)</w:t>
            </w:r>
          </w:p>
        </w:tc>
        <w:tc>
          <w:tcPr>
            <w:tcW w:type="dxa" w:w="1950"/>
          </w:tcPr>
          <w:p>
            <w:pPr>
              <w:spacing w:after="20" w:before="20" w:line="240" w:lineRule="auto"/>
            </w:pPr>
            <w:r/>
            <w:r>
              <w:rPr>
                <w:sz w:val="16"/>
              </w:rPr>
              <w:t>A large correction says more about intent than a small one</w:t>
            </w:r>
          </w:p>
        </w:tc>
      </w:tr>
      <w:tr>
        <w:tc>
          <w:tcPr>
            <w:tcW w:type="dxa" w:w="1032"/>
          </w:tcPr>
          <w:p>
            <w:pPr>
              <w:spacing w:after="20" w:before="20" w:line="240" w:lineRule="auto"/>
            </w:pPr>
            <w:r/>
            <w:r>
              <w:rPr>
                <w:sz w:val="16"/>
              </w:rPr>
              <w:t>PAR_045</w:t>
            </w:r>
          </w:p>
        </w:tc>
        <w:tc>
          <w:tcPr>
            <w:tcW w:type="dxa" w:w="2294"/>
          </w:tcPr>
          <w:p>
            <w:pPr>
              <w:spacing w:after="20" w:before="20" w:line="240" w:lineRule="auto"/>
            </w:pPr>
            <w:r/>
            <w:r>
              <w:rPr>
                <w:sz w:val="16"/>
              </w:rPr>
              <w:t>amended_per_decl_3y_rate</w:t>
            </w:r>
          </w:p>
        </w:tc>
        <w:tc>
          <w:tcPr>
            <w:tcW w:type="dxa" w:w="1893"/>
          </w:tcPr>
          <w:p>
            <w:pPr>
              <w:spacing w:after="20" w:before="20" w:line="240" w:lineRule="auto"/>
            </w:pPr>
            <w:r/>
            <w:r>
              <w:rPr>
                <w:sz w:val="16"/>
              </w:rPr>
              <w:t>amendment_flg</w:t>
            </w:r>
          </w:p>
        </w:tc>
        <w:tc>
          <w:tcPr>
            <w:tcW w:type="dxa" w:w="2581"/>
          </w:tcPr>
          <w:p>
            <w:pPr>
              <w:spacing w:after="20" w:before="20" w:line="240" w:lineRule="auto"/>
            </w:pPr>
            <w:r/>
            <w:r>
              <w:rPr>
                <w:sz w:val="16"/>
              </w:rPr>
              <w:t>W(amendment_flg = Y) ÷ W(decl)</w:t>
            </w:r>
          </w:p>
        </w:tc>
        <w:tc>
          <w:tcPr>
            <w:tcW w:type="dxa" w:w="1950"/>
          </w:tcPr>
          <w:p>
            <w:pPr>
              <w:spacing w:after="20" w:before="20" w:line="240" w:lineRule="auto"/>
            </w:pPr>
            <w:r/>
            <w:r>
              <w:rPr>
                <w:sz w:val="16"/>
              </w:rPr>
              <w:t>Declarations that are often wrong the first time</w:t>
            </w:r>
          </w:p>
        </w:tc>
      </w:tr>
      <w:tr>
        <w:tc>
          <w:tcPr>
            <w:tcW w:type="dxa" w:w="1032"/>
          </w:tcPr>
          <w:p>
            <w:pPr>
              <w:spacing w:after="20" w:before="20" w:line="240" w:lineRule="auto"/>
            </w:pPr>
            <w:r/>
            <w:r>
              <w:rPr>
                <w:sz w:val="16"/>
              </w:rPr>
              <w:t>PAR_048</w:t>
            </w:r>
          </w:p>
        </w:tc>
        <w:tc>
          <w:tcPr>
            <w:tcW w:type="dxa" w:w="2294"/>
          </w:tcPr>
          <w:p>
            <w:pPr>
              <w:spacing w:after="20" w:before="20" w:line="240" w:lineRule="auto"/>
            </w:pPr>
            <w:r/>
            <w:r>
              <w:rPr>
                <w:sz w:val="16"/>
              </w:rPr>
              <w:t>top_up_per_final_tax_3y_rate</w:t>
            </w:r>
          </w:p>
        </w:tc>
        <w:tc>
          <w:tcPr>
            <w:tcW w:type="dxa" w:w="1893"/>
          </w:tcPr>
          <w:p>
            <w:pPr>
              <w:spacing w:after="20" w:before="20" w:line="240" w:lineRule="auto"/>
            </w:pPr>
            <w:r/>
            <w:r>
              <w:rPr>
                <w:sz w:val="16"/>
              </w:rPr>
              <w:t>original_tax_amt, final_amt, top_up_flg</w:t>
            </w:r>
          </w:p>
        </w:tc>
        <w:tc>
          <w:tcPr>
            <w:tcW w:type="dxa" w:w="2581"/>
          </w:tcPr>
          <w:p>
            <w:pPr>
              <w:spacing w:after="20" w:before="20" w:line="240" w:lineRule="auto"/>
            </w:pPr>
            <w:r/>
            <w:r>
              <w:rPr>
                <w:sz w:val="16"/>
              </w:rPr>
              <w:t>W(top_up_ugx) ÷ (W(original_tax_ugx) + W(top_up_ugx))</w:t>
            </w:r>
          </w:p>
        </w:tc>
        <w:tc>
          <w:tcPr>
            <w:tcW w:type="dxa" w:w="1950"/>
          </w:tcPr>
          <w:p>
            <w:pPr>
              <w:spacing w:after="20" w:before="20" w:line="240" w:lineRule="auto"/>
            </w:pPr>
            <w:r/>
            <w:r>
              <w:rPr>
                <w:sz w:val="16"/>
              </w:rPr>
              <w:t>How much of what the taxpayer finally paid had to be found by customs</w:t>
            </w:r>
          </w:p>
        </w:tc>
      </w:tr>
      <w:tr>
        <w:tc>
          <w:tcPr>
            <w:tcW w:type="dxa" w:w="1032"/>
          </w:tcPr>
          <w:p>
            <w:pPr>
              <w:spacing w:after="20" w:before="20" w:line="240" w:lineRule="auto"/>
            </w:pPr>
            <w:r/>
            <w:r>
              <w:rPr>
                <w:sz w:val="16"/>
              </w:rPr>
              <w:t>PAR_076</w:t>
            </w:r>
          </w:p>
        </w:tc>
        <w:tc>
          <w:tcPr>
            <w:tcW w:type="dxa" w:w="2294"/>
          </w:tcPr>
          <w:p>
            <w:pPr>
              <w:spacing w:after="20" w:before="20" w:line="240" w:lineRule="auto"/>
            </w:pPr>
            <w:r/>
            <w:r>
              <w:rPr>
                <w:sz w:val="16"/>
              </w:rPr>
              <w:t>peer_price_shortfall_per_value_24m_rate</w:t>
            </w:r>
          </w:p>
        </w:tc>
        <w:tc>
          <w:tcPr>
            <w:tcW w:type="dxa" w:w="1893"/>
          </w:tcPr>
          <w:p>
            <w:pPr>
              <w:spacing w:after="20" w:before="20" w:line="240" w:lineRule="auto"/>
            </w:pPr>
            <w:r/>
            <w:r>
              <w:rPr>
                <w:sz w:val="16"/>
              </w:rPr>
              <w:t>customs_value, net_weight, supplementary_qnty, hsc_cd, gds_org_cty</w:t>
            </w:r>
          </w:p>
        </w:tc>
        <w:tc>
          <w:tcPr>
            <w:tcW w:type="dxa" w:w="2581"/>
          </w:tcPr>
          <w:p>
            <w:pPr>
              <w:spacing w:after="20" w:before="20" w:line="240" w:lineRule="auto"/>
            </w:pPr>
            <w:r/>
            <w:r>
              <w:rPr>
                <w:sz w:val="16"/>
              </w:rPr>
              <w:t>Σ gap on low items ÷ Σ customs_value, where low item = price &lt; 0.5 x peer price and gap = min(peer_kg x kg, peer_unit x units) - value</w:t>
            </w:r>
          </w:p>
        </w:tc>
        <w:tc>
          <w:tcPr>
            <w:tcW w:type="dxa" w:w="1950"/>
          </w:tcPr>
          <w:p>
            <w:pPr>
              <w:spacing w:after="20" w:before="20" w:line="240" w:lineRule="auto"/>
            </w:pPr>
            <w:r/>
            <w:r>
              <w:rPr>
                <w:sz w:val="16"/>
              </w:rPr>
              <w:t>Undervaluation is the main revenue risk at import</w:t>
            </w:r>
          </w:p>
        </w:tc>
      </w:tr>
      <w:tr>
        <w:tc>
          <w:tcPr>
            <w:tcW w:type="dxa" w:w="1032"/>
          </w:tcPr>
          <w:p>
            <w:pPr>
              <w:spacing w:after="20" w:before="20" w:line="240" w:lineRule="auto"/>
            </w:pPr>
            <w:r/>
            <w:r>
              <w:rPr>
                <w:sz w:val="16"/>
              </w:rPr>
              <w:t>PAR_066</w:t>
            </w:r>
          </w:p>
        </w:tc>
        <w:tc>
          <w:tcPr>
            <w:tcW w:type="dxa" w:w="2294"/>
          </w:tcPr>
          <w:p>
            <w:pPr>
              <w:spacing w:after="20" w:before="20" w:line="240" w:lineRule="auto"/>
            </w:pPr>
            <w:r/>
            <w:r>
              <w:rPr>
                <w:sz w:val="16"/>
              </w:rPr>
              <w:t>tax_reduced_per_decl_3y_rate</w:t>
            </w:r>
          </w:p>
        </w:tc>
        <w:tc>
          <w:tcPr>
            <w:tcW w:type="dxa" w:w="1893"/>
          </w:tcPr>
          <w:p>
            <w:pPr>
              <w:spacing w:after="20" w:before="20" w:line="240" w:lineRule="auto"/>
            </w:pPr>
            <w:r/>
            <w:r>
              <w:rPr>
                <w:sz w:val="16"/>
              </w:rPr>
              <w:t>original_tax_amt, final_amt</w:t>
            </w:r>
          </w:p>
        </w:tc>
        <w:tc>
          <w:tcPr>
            <w:tcW w:type="dxa" w:w="2581"/>
          </w:tcPr>
          <w:p>
            <w:pPr>
              <w:spacing w:after="20" w:before="20" w:line="240" w:lineRule="auto"/>
            </w:pPr>
            <w:r/>
            <w:r>
              <w:rPr>
                <w:sz w:val="16"/>
              </w:rPr>
              <w:t>W(final_amt &lt; original_tax) ÷ W(decl)</w:t>
            </w:r>
          </w:p>
        </w:tc>
        <w:tc>
          <w:tcPr>
            <w:tcW w:type="dxa" w:w="1950"/>
          </w:tcPr>
          <w:p>
            <w:pPr>
              <w:spacing w:after="20" w:before="20" w:line="240" w:lineRule="auto"/>
            </w:pPr>
            <w:r/>
            <w:r>
              <w:rPr>
                <w:sz w:val="16"/>
              </w:rPr>
              <w:t>Frequent reductions can point to errors or to pressure on assessments</w:t>
            </w:r>
          </w:p>
        </w:tc>
      </w:tr>
      <w:tr>
        <w:tc>
          <w:tcPr>
            <w:tcW w:type="dxa" w:w="1032"/>
          </w:tcPr>
          <w:p>
            <w:pPr>
              <w:spacing w:after="20" w:before="20" w:line="240" w:lineRule="auto"/>
            </w:pPr>
            <w:r/>
            <w:r>
              <w:rPr>
                <w:sz w:val="16"/>
              </w:rPr>
              <w:t>PAR_105</w:t>
            </w:r>
          </w:p>
        </w:tc>
        <w:tc>
          <w:tcPr>
            <w:tcW w:type="dxa" w:w="2294"/>
          </w:tcPr>
          <w:p>
            <w:pPr>
              <w:spacing w:after="20" w:before="20" w:line="240" w:lineRule="auto"/>
            </w:pPr>
            <w:r/>
            <w:r>
              <w:rPr>
                <w:sz w:val="16"/>
              </w:rPr>
              <w:t>top_up_last_180d_flag</w:t>
            </w:r>
          </w:p>
        </w:tc>
        <w:tc>
          <w:tcPr>
            <w:tcW w:type="dxa" w:w="1893"/>
          </w:tcPr>
          <w:p>
            <w:pPr>
              <w:spacing w:after="20" w:before="20" w:line="240" w:lineRule="auto"/>
            </w:pPr>
            <w:r/>
            <w:r>
              <w:rPr>
                <w:sz w:val="16"/>
              </w:rPr>
              <w:t>assessment_dt_wid, top_up_flg</w:t>
            </w:r>
          </w:p>
        </w:tc>
        <w:tc>
          <w:tcPr>
            <w:tcW w:type="dxa" w:w="2581"/>
          </w:tcPr>
          <w:p>
            <w:pPr>
              <w:spacing w:after="20" w:before="20" w:line="240" w:lineRule="auto"/>
            </w:pPr>
            <w:r/>
            <w:r>
              <w:rPr>
                <w:sz w:val="16"/>
              </w:rPr>
              <w:t>1 if snapshot - date of last top-up ≤ 180 days, else 0</w:t>
            </w:r>
          </w:p>
        </w:tc>
        <w:tc>
          <w:tcPr>
            <w:tcW w:type="dxa" w:w="1950"/>
          </w:tcPr>
          <w:p>
            <w:pPr>
              <w:spacing w:after="20" w:before="20" w:line="240" w:lineRule="auto"/>
            </w:pPr>
            <w:r/>
            <w:r>
              <w:rPr>
                <w:sz w:val="16"/>
              </w:rPr>
              <w:t>Recent non-compliance matters more than old</w:t>
            </w:r>
          </w:p>
        </w:tc>
      </w:tr>
      <w:tr>
        <w:tc>
          <w:tcPr>
            <w:tcW w:type="dxa" w:w="1032"/>
          </w:tcPr>
          <w:p>
            <w:pPr>
              <w:spacing w:after="20" w:before="20" w:line="240" w:lineRule="auto"/>
            </w:pPr>
            <w:r/>
            <w:r>
              <w:rPr>
                <w:sz w:val="16"/>
              </w:rPr>
              <w:t>PAR_023</w:t>
            </w:r>
          </w:p>
        </w:tc>
        <w:tc>
          <w:tcPr>
            <w:tcW w:type="dxa" w:w="2294"/>
          </w:tcPr>
          <w:p>
            <w:pPr>
              <w:spacing w:after="20" w:before="20" w:line="240" w:lineRule="auto"/>
            </w:pPr>
            <w:r/>
            <w:r>
              <w:rPr>
                <w:sz w:val="16"/>
              </w:rPr>
              <w:t>away_from_main_station_per_decl_24m_rate</w:t>
            </w:r>
          </w:p>
        </w:tc>
        <w:tc>
          <w:tcPr>
            <w:tcW w:type="dxa" w:w="1893"/>
          </w:tcPr>
          <w:p>
            <w:pPr>
              <w:spacing w:after="20" w:before="20" w:line="240" w:lineRule="auto"/>
            </w:pPr>
            <w:r/>
            <w:r>
              <w:rPr>
                <w:sz w:val="16"/>
              </w:rPr>
              <w:t>clearance_station_cd</w:t>
            </w:r>
          </w:p>
        </w:tc>
        <w:tc>
          <w:tcPr>
            <w:tcW w:type="dxa" w:w="2581"/>
          </w:tcPr>
          <w:p>
            <w:pPr>
              <w:spacing w:after="20" w:before="20" w:line="240" w:lineRule="auto"/>
            </w:pPr>
            <w:r/>
            <w:r>
              <w:rPr>
                <w:sz w:val="16"/>
              </w:rPr>
              <w:t>1 - max(decl at one station) ÷ decl</w:t>
            </w:r>
          </w:p>
        </w:tc>
        <w:tc>
          <w:tcPr>
            <w:tcW w:type="dxa" w:w="1950"/>
          </w:tcPr>
          <w:p>
            <w:pPr>
              <w:spacing w:after="20" w:before="20" w:line="240" w:lineRule="auto"/>
            </w:pPr>
            <w:r/>
            <w:r>
              <w:rPr>
                <w:sz w:val="16"/>
              </w:rPr>
              <w:t>Moving between stations can be a search for easier checks</w:t>
            </w:r>
          </w:p>
        </w:tc>
      </w:tr>
    </w:tbl>
    <w:p>
      <w:pPr>
        <w:spacing w:after="40"/>
      </w:pPr>
    </w:p>
    <w:p>
      <w:pPr>
        <w:pStyle w:val="Heading2"/>
      </w:pPr>
      <w:r>
        <w:t>4.4 Track B: Risky Behaviour Flag</w:t>
      </w:r>
    </w:p>
    <w:p>
      <w:pPr>
        <w:spacing w:after="120"/>
      </w:pPr>
      <w:r>
        <w:t>"Middle price" and "middle duty rate" are those of all other importers of the same HS code (and origin, where at least 5 importers bring it). Only comparisons with 5 or more importers are used.</w:t>
      </w:r>
    </w:p>
    <w:p>
      <w:pPr>
        <w:spacing w:after="120"/>
      </w:pPr>
      <w:r>
        <w:t>Parameter: the code in the agreed parameter lists. "Stand-in" means the closest measure the data allows; "New" means a measure added by Data Science.</w:t>
      </w:r>
    </w:p>
    <w:p>
      <w:pPr>
        <w:pStyle w:val="Caption"/>
      </w:pPr>
      <w:r>
        <w:t xml:space="preserve">Table </w:t>
      </w:r>
      <w:r>
        <w:fldChar w:fldCharType="begin"/>
      </w:r>
      <w:r>
        <w:instrText xml:space="preserve"> SEQ Table \* ARABIC </w:instrText>
      </w:r>
      <w:r>
        <w:fldChar w:fldCharType="separate"/>
      </w:r>
      <w:r>
        <w:t>15</w:t>
      </w:r>
      <w:r>
        <w:fldChar w:fldCharType="end"/>
      </w:r>
      <w:r>
        <w:t>: Track B Features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1950"/>
        <w:gridCol w:w="1950"/>
        <w:gridCol w:w="1950"/>
        <w:gridCol w:w="1950"/>
        <w:gridCol w:w="1950"/>
      </w:tblGrid>
      <w:tr>
        <w:trPr>
          <w:tblHeader w:val="true"/>
        </w:trPr>
        <w:tc>
          <w:tcPr>
            <w:tcW w:type="dxa" w:w="1032"/>
            <w:shd w:val="clear" w:color="auto" w:fill="D9E2F3"/>
          </w:tcPr>
          <w:p>
            <w:pPr>
              <w:spacing w:after="20" w:before="20" w:line="240" w:lineRule="auto"/>
            </w:pPr>
            <w:r/>
            <w:r>
              <w:rPr>
                <w:b/>
                <w:sz w:val="16"/>
              </w:rPr>
              <w:t>Parameter</w:t>
            </w:r>
          </w:p>
        </w:tc>
        <w:tc>
          <w:tcPr>
            <w:tcW w:type="dxa" w:w="2409"/>
            <w:shd w:val="clear" w:color="auto" w:fill="D9E2F3"/>
          </w:tcPr>
          <w:p>
            <w:pPr>
              <w:spacing w:after="20" w:before="20" w:line="240" w:lineRule="auto"/>
            </w:pPr>
            <w:r/>
            <w:r>
              <w:rPr>
                <w:b/>
                <w:sz w:val="16"/>
              </w:rPr>
              <w:t>Feature</w:t>
            </w:r>
          </w:p>
        </w:tc>
        <w:tc>
          <w:tcPr>
            <w:tcW w:type="dxa" w:w="1836"/>
            <w:shd w:val="clear" w:color="auto" w:fill="D9E2F3"/>
          </w:tcPr>
          <w:p>
            <w:pPr>
              <w:spacing w:after="20" w:before="20" w:line="240" w:lineRule="auto"/>
            </w:pPr>
            <w:r/>
            <w:r>
              <w:rPr>
                <w:b/>
                <w:sz w:val="16"/>
              </w:rPr>
              <w:t>Columns used</w:t>
            </w:r>
          </w:p>
        </w:tc>
        <w:tc>
          <w:tcPr>
            <w:tcW w:type="dxa" w:w="2524"/>
            <w:shd w:val="clear" w:color="auto" w:fill="D9E2F3"/>
          </w:tcPr>
          <w:p>
            <w:pPr>
              <w:spacing w:after="20" w:before="20" w:line="240" w:lineRule="auto"/>
            </w:pPr>
            <w:r/>
            <w:r>
              <w:rPr>
                <w:b/>
                <w:sz w:val="16"/>
              </w:rPr>
              <w:t>Formula</w:t>
            </w:r>
          </w:p>
        </w:tc>
        <w:tc>
          <w:tcPr>
            <w:tcW w:type="dxa" w:w="1950"/>
            <w:shd w:val="clear" w:color="auto" w:fill="D9E2F3"/>
          </w:tcPr>
          <w:p>
            <w:pPr>
              <w:spacing w:after="20" w:before="20" w:line="240" w:lineRule="auto"/>
            </w:pPr>
            <w:r/>
            <w:r>
              <w:rPr>
                <w:b/>
                <w:sz w:val="16"/>
              </w:rPr>
              <w:t>Why it is needed</w:t>
            </w:r>
          </w:p>
        </w:tc>
      </w:tr>
      <w:tr>
        <w:tc>
          <w:tcPr>
            <w:tcW w:type="dxa" w:w="1032"/>
          </w:tcPr>
          <w:p>
            <w:pPr>
              <w:spacing w:after="20" w:before="20" w:line="240" w:lineRule="auto"/>
            </w:pPr>
            <w:r/>
            <w:r>
              <w:rPr>
                <w:sz w:val="16"/>
              </w:rPr>
              <w:t>PAR_045</w:t>
            </w:r>
          </w:p>
        </w:tc>
        <w:tc>
          <w:tcPr>
            <w:tcW w:type="dxa" w:w="2409"/>
          </w:tcPr>
          <w:p>
            <w:pPr>
              <w:spacing w:after="20" w:before="20" w:line="240" w:lineRule="auto"/>
            </w:pPr>
            <w:r/>
            <w:r>
              <w:rPr>
                <w:sz w:val="16"/>
              </w:rPr>
              <w:t>b_amended_per_decl_24m_rate</w:t>
            </w:r>
          </w:p>
        </w:tc>
        <w:tc>
          <w:tcPr>
            <w:tcW w:type="dxa" w:w="1836"/>
          </w:tcPr>
          <w:p>
            <w:pPr>
              <w:spacing w:after="20" w:before="20" w:line="240" w:lineRule="auto"/>
            </w:pPr>
            <w:r/>
            <w:r>
              <w:rPr>
                <w:sz w:val="16"/>
              </w:rPr>
              <w:t>amendment_flg</w:t>
            </w:r>
          </w:p>
        </w:tc>
        <w:tc>
          <w:tcPr>
            <w:tcW w:type="dxa" w:w="2524"/>
          </w:tcPr>
          <w:p>
            <w:pPr>
              <w:spacing w:after="20" w:before="20" w:line="240" w:lineRule="auto"/>
            </w:pPr>
            <w:r/>
            <w:r>
              <w:rPr>
                <w:sz w:val="16"/>
              </w:rPr>
              <w:t>Declarations amended ÷ declarations</w:t>
            </w:r>
          </w:p>
        </w:tc>
        <w:tc>
          <w:tcPr>
            <w:tcW w:type="dxa" w:w="1950"/>
          </w:tcPr>
          <w:p>
            <w:pPr>
              <w:spacing w:after="20" w:before="20" w:line="240" w:lineRule="auto"/>
            </w:pPr>
            <w:r/>
            <w:r>
              <w:rPr>
                <w:sz w:val="16"/>
              </w:rPr>
              <w:t>Declarations that are often wrong the first time</w:t>
            </w:r>
          </w:p>
        </w:tc>
      </w:tr>
      <w:tr>
        <w:tc>
          <w:tcPr>
            <w:tcW w:type="dxa" w:w="1032"/>
          </w:tcPr>
          <w:p>
            <w:pPr>
              <w:spacing w:after="20" w:before="20" w:line="240" w:lineRule="auto"/>
            </w:pPr>
            <w:r/>
            <w:r>
              <w:rPr>
                <w:sz w:val="16"/>
              </w:rPr>
              <w:t>PAR_072 (stand-in)</w:t>
            </w:r>
          </w:p>
        </w:tc>
        <w:tc>
          <w:tcPr>
            <w:tcW w:type="dxa" w:w="2409"/>
          </w:tcPr>
          <w:p>
            <w:pPr>
              <w:spacing w:after="20" w:before="20" w:line="240" w:lineRule="auto"/>
            </w:pPr>
            <w:r/>
            <w:r>
              <w:rPr>
                <w:sz w:val="16"/>
              </w:rPr>
              <w:t>b_unpaid_tax_per_decl_24m_rate</w:t>
            </w:r>
          </w:p>
        </w:tc>
        <w:tc>
          <w:tcPr>
            <w:tcW w:type="dxa" w:w="1836"/>
          </w:tcPr>
          <w:p>
            <w:pPr>
              <w:spacing w:after="20" w:before="20" w:line="240" w:lineRule="auto"/>
            </w:pPr>
            <w:r/>
            <w:r>
              <w:rPr>
                <w:sz w:val="16"/>
              </w:rPr>
              <w:t>pay_status, final_amt</w:t>
            </w:r>
          </w:p>
        </w:tc>
        <w:tc>
          <w:tcPr>
            <w:tcW w:type="dxa" w:w="2524"/>
          </w:tcPr>
          <w:p>
            <w:pPr>
              <w:spacing w:after="20" w:before="20" w:line="240" w:lineRule="auto"/>
            </w:pPr>
            <w:r/>
            <w:r>
              <w:rPr>
                <w:sz w:val="16"/>
              </w:rPr>
              <w:t>Declarations with tax due and status NOT_PAID ÷ declarations</w:t>
            </w:r>
          </w:p>
        </w:tc>
        <w:tc>
          <w:tcPr>
            <w:tcW w:type="dxa" w:w="1950"/>
          </w:tcPr>
          <w:p>
            <w:pPr>
              <w:spacing w:after="20" w:before="20" w:line="240" w:lineRule="auto"/>
            </w:pPr>
            <w:r/>
            <w:r>
              <w:rPr>
                <w:sz w:val="16"/>
              </w:rPr>
              <w:t>Unpaid tax is non-compliance in itself</w:t>
            </w:r>
          </w:p>
        </w:tc>
      </w:tr>
      <w:tr>
        <w:tc>
          <w:tcPr>
            <w:tcW w:type="dxa" w:w="1032"/>
          </w:tcPr>
          <w:p>
            <w:pPr>
              <w:spacing w:after="20" w:before="20" w:line="240" w:lineRule="auto"/>
            </w:pPr>
            <w:r/>
            <w:r>
              <w:rPr>
                <w:sz w:val="16"/>
              </w:rPr>
              <w:t>New</w:t>
            </w:r>
          </w:p>
        </w:tc>
        <w:tc>
          <w:tcPr>
            <w:tcW w:type="dxa" w:w="2409"/>
          </w:tcPr>
          <w:p>
            <w:pPr>
              <w:spacing w:after="20" w:before="20" w:line="240" w:lineRule="auto"/>
            </w:pPr>
            <w:r/>
            <w:r>
              <w:rPr>
                <w:sz w:val="16"/>
              </w:rPr>
              <w:t>b_price_keying_error_per_item_24m_rate</w:t>
            </w:r>
          </w:p>
        </w:tc>
        <w:tc>
          <w:tcPr>
            <w:tcW w:type="dxa" w:w="1836"/>
          </w:tcPr>
          <w:p>
            <w:pPr>
              <w:spacing w:after="20" w:before="20" w:line="240" w:lineRule="auto"/>
            </w:pPr>
            <w:r/>
            <w:r>
              <w:rPr>
                <w:sz w:val="16"/>
              </w:rPr>
              <w:t>customs_value, net_weight, hsc_cd</w:t>
            </w:r>
          </w:p>
        </w:tc>
        <w:tc>
          <w:tcPr>
            <w:tcW w:type="dxa" w:w="2524"/>
          </w:tcPr>
          <w:p>
            <w:pPr>
              <w:spacing w:after="20" w:before="20" w:line="240" w:lineRule="auto"/>
            </w:pPr>
            <w:r/>
            <w:r>
              <w:rPr>
                <w:sz w:val="16"/>
              </w:rPr>
              <w:t>Items priced under 1% of the median price ÷ items</w:t>
            </w:r>
          </w:p>
        </w:tc>
        <w:tc>
          <w:tcPr>
            <w:tcW w:type="dxa" w:w="1950"/>
          </w:tcPr>
          <w:p>
            <w:pPr>
              <w:spacing w:after="20" w:before="20" w:line="240" w:lineRule="auto"/>
            </w:pPr>
            <w:r/>
            <w:r>
              <w:rPr>
                <w:sz w:val="16"/>
              </w:rPr>
              <w:t>Repeated "keying errors" can hide value</w:t>
            </w:r>
          </w:p>
        </w:tc>
      </w:tr>
      <w:tr>
        <w:tc>
          <w:tcPr>
            <w:tcW w:type="dxa" w:w="1032"/>
          </w:tcPr>
          <w:p>
            <w:pPr>
              <w:spacing w:after="20" w:before="20" w:line="240" w:lineRule="auto"/>
            </w:pPr>
            <w:r/>
            <w:r>
              <w:rPr>
                <w:sz w:val="16"/>
              </w:rPr>
              <w:t>PAR_076</w:t>
            </w:r>
          </w:p>
        </w:tc>
        <w:tc>
          <w:tcPr>
            <w:tcW w:type="dxa" w:w="2409"/>
          </w:tcPr>
          <w:p>
            <w:pPr>
              <w:spacing w:after="20" w:before="20" w:line="240" w:lineRule="auto"/>
            </w:pPr>
            <w:r/>
            <w:r>
              <w:rPr>
                <w:sz w:val="16"/>
              </w:rPr>
              <w:t>b_peer_price_shortfall_per_value_24m_rate</w:t>
            </w:r>
          </w:p>
        </w:tc>
        <w:tc>
          <w:tcPr>
            <w:tcW w:type="dxa" w:w="1836"/>
          </w:tcPr>
          <w:p>
            <w:pPr>
              <w:spacing w:after="20" w:before="20" w:line="240" w:lineRule="auto"/>
            </w:pPr>
            <w:r/>
            <w:r>
              <w:rPr>
                <w:sz w:val="16"/>
              </w:rPr>
              <w:t>customs_value, net_weight, supplementary_qnty, hsc_cd, gds_org_cty</w:t>
            </w:r>
          </w:p>
        </w:tc>
        <w:tc>
          <w:tcPr>
            <w:tcW w:type="dxa" w:w="2524"/>
          </w:tcPr>
          <w:p>
            <w:pPr>
              <w:spacing w:after="20" w:before="20" w:line="240" w:lineRule="auto"/>
            </w:pPr>
            <w:r/>
            <w:r>
              <w:rPr>
                <w:sz w:val="16"/>
              </w:rPr>
              <w:t>Value missing on items priced under half the median price of other importers ÷ value</w:t>
            </w:r>
          </w:p>
        </w:tc>
        <w:tc>
          <w:tcPr>
            <w:tcW w:type="dxa" w:w="1950"/>
          </w:tcPr>
          <w:p>
            <w:pPr>
              <w:spacing w:after="20" w:before="20" w:line="240" w:lineRule="auto"/>
            </w:pPr>
            <w:r/>
            <w:r>
              <w:rPr>
                <w:sz w:val="16"/>
              </w:rPr>
              <w:t>Undervaluation is the main revenue risk at import</w:t>
            </w:r>
          </w:p>
        </w:tc>
      </w:tr>
      <w:tr>
        <w:tc>
          <w:tcPr>
            <w:tcW w:type="dxa" w:w="1032"/>
          </w:tcPr>
          <w:p>
            <w:pPr>
              <w:spacing w:after="20" w:before="20" w:line="240" w:lineRule="auto"/>
            </w:pPr>
            <w:r/>
            <w:r>
              <w:rPr>
                <w:sz w:val="16"/>
              </w:rPr>
              <w:t>PAR_076</w:t>
            </w:r>
          </w:p>
        </w:tc>
        <w:tc>
          <w:tcPr>
            <w:tcW w:type="dxa" w:w="2409"/>
          </w:tcPr>
          <w:p>
            <w:pPr>
              <w:spacing w:after="20" w:before="20" w:line="240" w:lineRule="auto"/>
            </w:pPr>
            <w:r/>
            <w:r>
              <w:rPr>
                <w:sz w:val="16"/>
              </w:rPr>
              <w:t>b_price_under_half_peer_per_item_24m_rate</w:t>
            </w:r>
          </w:p>
        </w:tc>
        <w:tc>
          <w:tcPr>
            <w:tcW w:type="dxa" w:w="1836"/>
          </w:tcPr>
          <w:p>
            <w:pPr>
              <w:spacing w:after="20" w:before="20" w:line="240" w:lineRule="auto"/>
            </w:pPr>
            <w:r/>
            <w:r>
              <w:rPr>
                <w:sz w:val="16"/>
              </w:rPr>
              <w:t>customs_value, net_weight, supplementary_qnty, hsc_cd</w:t>
            </w:r>
          </w:p>
        </w:tc>
        <w:tc>
          <w:tcPr>
            <w:tcW w:type="dxa" w:w="2524"/>
          </w:tcPr>
          <w:p>
            <w:pPr>
              <w:spacing w:after="20" w:before="20" w:line="240" w:lineRule="auto"/>
            </w:pPr>
            <w:r/>
            <w:r>
              <w:rPr>
                <w:sz w:val="16"/>
              </w:rPr>
              <w:t>Items priced under half the median price ÷ items</w:t>
            </w:r>
          </w:p>
        </w:tc>
        <w:tc>
          <w:tcPr>
            <w:tcW w:type="dxa" w:w="1950"/>
          </w:tcPr>
          <w:p>
            <w:pPr>
              <w:spacing w:after="20" w:before="20" w:line="240" w:lineRule="auto"/>
            </w:pPr>
            <w:r/>
            <w:r>
              <w:rPr>
                <w:sz w:val="16"/>
              </w:rPr>
              <w:t>How often prices are low</w:t>
            </w:r>
          </w:p>
        </w:tc>
      </w:tr>
      <w:tr>
        <w:tc>
          <w:tcPr>
            <w:tcW w:type="dxa" w:w="1032"/>
          </w:tcPr>
          <w:p>
            <w:pPr>
              <w:spacing w:after="20" w:before="20" w:line="240" w:lineRule="auto"/>
            </w:pPr>
            <w:r/>
            <w:r>
              <w:rPr>
                <w:sz w:val="16"/>
              </w:rPr>
              <w:t>PAR_090 (stand-in)</w:t>
            </w:r>
          </w:p>
        </w:tc>
        <w:tc>
          <w:tcPr>
            <w:tcW w:type="dxa" w:w="2409"/>
          </w:tcPr>
          <w:p>
            <w:pPr>
              <w:spacing w:after="20" w:before="20" w:line="240" w:lineRule="auto"/>
            </w:pPr>
            <w:r/>
            <w:r>
              <w:rPr>
                <w:sz w:val="16"/>
              </w:rPr>
              <w:t>b_median_price_dev_from_peer_24m_log</w:t>
            </w:r>
          </w:p>
        </w:tc>
        <w:tc>
          <w:tcPr>
            <w:tcW w:type="dxa" w:w="1836"/>
          </w:tcPr>
          <w:p>
            <w:pPr>
              <w:spacing w:after="20" w:before="20" w:line="240" w:lineRule="auto"/>
            </w:pPr>
            <w:r/>
            <w:r>
              <w:rPr>
                <w:sz w:val="16"/>
              </w:rPr>
              <w:t>customs_value, net_weight, hsc_cd</w:t>
            </w:r>
          </w:p>
        </w:tc>
        <w:tc>
          <w:tcPr>
            <w:tcW w:type="dxa" w:w="2524"/>
          </w:tcPr>
          <w:p>
            <w:pPr>
              <w:spacing w:after="20" w:before="20" w:line="240" w:lineRule="auto"/>
            </w:pPr>
            <w:r/>
            <w:r>
              <w:rPr>
                <w:sz w:val="16"/>
              </w:rPr>
              <w:t>Median distance of the price from the median price, either way, log scale</w:t>
            </w:r>
          </w:p>
        </w:tc>
        <w:tc>
          <w:tcPr>
            <w:tcW w:type="dxa" w:w="1950"/>
          </w:tcPr>
          <w:p>
            <w:pPr>
              <w:spacing w:after="20" w:before="20" w:line="240" w:lineRule="auto"/>
            </w:pPr>
            <w:r/>
            <w:r>
              <w:rPr>
                <w:sz w:val="16"/>
              </w:rPr>
              <w:t>Prices far from other importers, up or down</w:t>
            </w:r>
          </w:p>
        </w:tc>
      </w:tr>
      <w:tr>
        <w:tc>
          <w:tcPr>
            <w:tcW w:type="dxa" w:w="1032"/>
          </w:tcPr>
          <w:p>
            <w:pPr>
              <w:spacing w:after="20" w:before="20" w:line="240" w:lineRule="auto"/>
            </w:pPr>
            <w:r/>
            <w:r>
              <w:rPr>
                <w:sz w:val="16"/>
              </w:rPr>
              <w:t>PAR_067 (stand-in)</w:t>
            </w:r>
          </w:p>
        </w:tc>
        <w:tc>
          <w:tcPr>
            <w:tcW w:type="dxa" w:w="2409"/>
          </w:tcPr>
          <w:p>
            <w:pPr>
              <w:spacing w:after="20" w:before="20" w:line="240" w:lineRule="auto"/>
            </w:pPr>
            <w:r/>
            <w:r>
              <w:rPr>
                <w:sz w:val="16"/>
              </w:rPr>
              <w:t>b_own_price_drop_per_recent_value_6m_rate</w:t>
            </w:r>
          </w:p>
        </w:tc>
        <w:tc>
          <w:tcPr>
            <w:tcW w:type="dxa" w:w="1836"/>
          </w:tcPr>
          <w:p>
            <w:pPr>
              <w:spacing w:after="20" w:before="20" w:line="240" w:lineRule="auto"/>
            </w:pPr>
            <w:r/>
            <w:r>
              <w:rPr>
                <w:sz w:val="16"/>
              </w:rPr>
              <w:t>customs_value, net_weight, supplementary_qnty, hsc_cd, assessment_dt_wid</w:t>
            </w:r>
          </w:p>
        </w:tc>
        <w:tc>
          <w:tcPr>
            <w:tcW w:type="dxa" w:w="2524"/>
          </w:tcPr>
          <w:p>
            <w:pPr>
              <w:spacing w:after="20" w:before="20" w:line="240" w:lineRule="auto"/>
            </w:pPr>
            <w:r/>
            <w:r>
              <w:rPr>
                <w:sz w:val="16"/>
              </w:rPr>
              <w:t>Share of recent value on goods now declared under 70% of the taxpayer's own earlier price</w:t>
            </w:r>
          </w:p>
        </w:tc>
        <w:tc>
          <w:tcPr>
            <w:tcW w:type="dxa" w:w="1950"/>
          </w:tcPr>
          <w:p>
            <w:pPr>
              <w:spacing w:after="20" w:before="20" w:line="240" w:lineRule="auto"/>
            </w:pPr>
            <w:r/>
            <w:r>
              <w:rPr>
                <w:sz w:val="16"/>
              </w:rPr>
              <w:t>A sudden drop in declared price may be the start of undervaluation</w:t>
            </w:r>
          </w:p>
        </w:tc>
      </w:tr>
      <w:tr>
        <w:tc>
          <w:tcPr>
            <w:tcW w:type="dxa" w:w="1032"/>
          </w:tcPr>
          <w:p>
            <w:pPr>
              <w:spacing w:after="20" w:before="20" w:line="240" w:lineRule="auto"/>
            </w:pPr>
            <w:r/>
            <w:r>
              <w:rPr>
                <w:sz w:val="16"/>
              </w:rPr>
              <w:t>PAR_096 (stand-in)</w:t>
            </w:r>
          </w:p>
        </w:tc>
        <w:tc>
          <w:tcPr>
            <w:tcW w:type="dxa" w:w="2409"/>
          </w:tcPr>
          <w:p>
            <w:pPr>
              <w:spacing w:after="20" w:before="20" w:line="240" w:lineRule="auto"/>
            </w:pPr>
            <w:r/>
            <w:r>
              <w:rPr>
                <w:sz w:val="16"/>
              </w:rPr>
              <w:t>b_duty_under_half_peer_per_value_24m_rate</w:t>
            </w:r>
          </w:p>
        </w:tc>
        <w:tc>
          <w:tcPr>
            <w:tcW w:type="dxa" w:w="1836"/>
          </w:tcPr>
          <w:p>
            <w:pPr>
              <w:spacing w:after="20" w:before="20" w:line="240" w:lineRule="auto"/>
            </w:pPr>
            <w:r/>
            <w:r>
              <w:rPr>
                <w:sz w:val="16"/>
              </w:rPr>
              <w:t>tax_assessed, customs_value, hsc_cd, cpc_cd</w:t>
            </w:r>
          </w:p>
        </w:tc>
        <w:tc>
          <w:tcPr>
            <w:tcW w:type="dxa" w:w="2524"/>
          </w:tcPr>
          <w:p>
            <w:pPr>
              <w:spacing w:after="20" w:before="20" w:line="240" w:lineRule="auto"/>
            </w:pPr>
            <w:r/>
            <w:r>
              <w:rPr>
                <w:sz w:val="16"/>
              </w:rPr>
              <w:t>Value taxed at under half the median duty rate (no exemption claimed) ÷ value</w:t>
            </w:r>
          </w:p>
        </w:tc>
        <w:tc>
          <w:tcPr>
            <w:tcW w:type="dxa" w:w="1950"/>
          </w:tcPr>
          <w:p>
            <w:pPr>
              <w:spacing w:after="20" w:before="20" w:line="240" w:lineRule="auto"/>
            </w:pPr>
            <w:r/>
            <w:r>
              <w:rPr>
                <w:sz w:val="16"/>
              </w:rPr>
              <w:t>Paying much less than others for the same goods points to a wrong code or rate</w:t>
            </w:r>
          </w:p>
        </w:tc>
      </w:tr>
      <w:tr>
        <w:tc>
          <w:tcPr>
            <w:tcW w:type="dxa" w:w="1032"/>
          </w:tcPr>
          <w:p>
            <w:pPr>
              <w:spacing w:after="20" w:before="20" w:line="240" w:lineRule="auto"/>
            </w:pPr>
            <w:r/>
            <w:r>
              <w:rPr>
                <w:sz w:val="16"/>
              </w:rPr>
              <w:t>PAR_016 (stand-in)</w:t>
            </w:r>
          </w:p>
        </w:tc>
        <w:tc>
          <w:tcPr>
            <w:tcW w:type="dxa" w:w="2409"/>
          </w:tcPr>
          <w:p>
            <w:pPr>
              <w:spacing w:after="20" w:before="20" w:line="240" w:lineRule="auto"/>
            </w:pPr>
            <w:r/>
            <w:r>
              <w:rPr>
                <w:sz w:val="16"/>
              </w:rPr>
              <w:t>b_duty_gap_vs_peer_per_value_24m_rate</w:t>
            </w:r>
          </w:p>
        </w:tc>
        <w:tc>
          <w:tcPr>
            <w:tcW w:type="dxa" w:w="1836"/>
          </w:tcPr>
          <w:p>
            <w:pPr>
              <w:spacing w:after="20" w:before="20" w:line="240" w:lineRule="auto"/>
            </w:pPr>
            <w:r/>
            <w:r>
              <w:rPr>
                <w:sz w:val="16"/>
              </w:rPr>
              <w:t>tax_assessed, customs_value, hsc_cd, cpc_cd</w:t>
            </w:r>
          </w:p>
        </w:tc>
        <w:tc>
          <w:tcPr>
            <w:tcW w:type="dxa" w:w="2524"/>
          </w:tcPr>
          <w:p>
            <w:pPr>
              <w:spacing w:after="20" w:before="20" w:line="240" w:lineRule="auto"/>
            </w:pPr>
            <w:r/>
            <w:r>
              <w:rPr>
                <w:sz w:val="16"/>
              </w:rPr>
              <w:t>Tax missing against the median duty rate ÷ value</w:t>
            </w:r>
          </w:p>
        </w:tc>
        <w:tc>
          <w:tcPr>
            <w:tcW w:type="dxa" w:w="1950"/>
          </w:tcPr>
          <w:p>
            <w:pPr>
              <w:spacing w:after="20" w:before="20" w:line="240" w:lineRule="auto"/>
            </w:pPr>
            <w:r/>
            <w:r>
              <w:rPr>
                <w:sz w:val="16"/>
              </w:rPr>
              <w:t>The same, measured in money</w:t>
            </w:r>
          </w:p>
        </w:tc>
      </w:tr>
      <w:tr>
        <w:tc>
          <w:tcPr>
            <w:tcW w:type="dxa" w:w="1032"/>
          </w:tcPr>
          <w:p>
            <w:pPr>
              <w:spacing w:after="20" w:before="20" w:line="240" w:lineRule="auto"/>
            </w:pPr>
            <w:r/>
            <w:r>
              <w:rPr>
                <w:sz w:val="16"/>
              </w:rPr>
              <w:t>PAR_052</w:t>
            </w:r>
          </w:p>
        </w:tc>
        <w:tc>
          <w:tcPr>
            <w:tcW w:type="dxa" w:w="2409"/>
          </w:tcPr>
          <w:p>
            <w:pPr>
              <w:spacing w:after="20" w:before="20" w:line="240" w:lineRule="auto"/>
            </w:pPr>
            <w:r/>
            <w:r>
              <w:rPr>
                <w:sz w:val="16"/>
              </w:rPr>
              <w:t>b_exempt_apc_per_value_24m_rate</w:t>
            </w:r>
          </w:p>
        </w:tc>
        <w:tc>
          <w:tcPr>
            <w:tcW w:type="dxa" w:w="1836"/>
          </w:tcPr>
          <w:p>
            <w:pPr>
              <w:spacing w:after="20" w:before="20" w:line="240" w:lineRule="auto"/>
            </w:pPr>
            <w:r/>
            <w:r>
              <w:rPr>
                <w:sz w:val="16"/>
              </w:rPr>
              <w:t>cpc_cd, customs_value</w:t>
            </w:r>
          </w:p>
        </w:tc>
        <w:tc>
          <w:tcPr>
            <w:tcW w:type="dxa" w:w="2524"/>
          </w:tcPr>
          <w:p>
            <w:pPr>
              <w:spacing w:after="20" w:before="20" w:line="240" w:lineRule="auto"/>
            </w:pPr>
            <w:r/>
            <w:r>
              <w:rPr>
                <w:sz w:val="16"/>
              </w:rPr>
              <w:t>Value under an exemption APC (not 000) ÷ value</w:t>
            </w:r>
          </w:p>
        </w:tc>
        <w:tc>
          <w:tcPr>
            <w:tcW w:type="dxa" w:w="1950"/>
          </w:tcPr>
          <w:p>
            <w:pPr>
              <w:spacing w:after="20" w:before="20" w:line="240" w:lineRule="auto"/>
            </w:pPr>
            <w:r/>
            <w:r>
              <w:rPr>
                <w:sz w:val="16"/>
              </w:rPr>
              <w:t>Exemptions are a known route for revenue loss</w:t>
            </w:r>
          </w:p>
        </w:tc>
      </w:tr>
      <w:tr>
        <w:tc>
          <w:tcPr>
            <w:tcW w:type="dxa" w:w="1032"/>
          </w:tcPr>
          <w:p>
            <w:pPr>
              <w:spacing w:after="20" w:before="20" w:line="240" w:lineRule="auto"/>
            </w:pPr>
            <w:r/>
            <w:r>
              <w:rPr>
                <w:sz w:val="16"/>
              </w:rPr>
              <w:t>PAR_053</w:t>
            </w:r>
          </w:p>
        </w:tc>
        <w:tc>
          <w:tcPr>
            <w:tcW w:type="dxa" w:w="2409"/>
          </w:tcPr>
          <w:p>
            <w:pPr>
              <w:spacing w:after="20" w:before="20" w:line="240" w:lineRule="auto"/>
            </w:pPr>
            <w:r/>
            <w:r>
              <w:rPr>
                <w:sz w:val="16"/>
              </w:rPr>
              <w:t>b_watchlist_apc_per_value_24m_rate</w:t>
            </w:r>
          </w:p>
        </w:tc>
        <w:tc>
          <w:tcPr>
            <w:tcW w:type="dxa" w:w="1836"/>
          </w:tcPr>
          <w:p>
            <w:pPr>
              <w:spacing w:after="20" w:before="20" w:line="240" w:lineRule="auto"/>
            </w:pPr>
            <w:r/>
            <w:r>
              <w:rPr>
                <w:sz w:val="16"/>
              </w:rPr>
              <w:t>cpc_cd, customs_value</w:t>
            </w:r>
          </w:p>
        </w:tc>
        <w:tc>
          <w:tcPr>
            <w:tcW w:type="dxa" w:w="2524"/>
          </w:tcPr>
          <w:p>
            <w:pPr>
              <w:spacing w:after="20" w:before="20" w:line="240" w:lineRule="auto"/>
            </w:pPr>
            <w:r/>
            <w:r>
              <w:rPr>
                <w:sz w:val="16"/>
              </w:rPr>
              <w:t>Value under the 11 APCs marked "look out for possible abuse" ÷ value</w:t>
            </w:r>
          </w:p>
        </w:tc>
        <w:tc>
          <w:tcPr>
            <w:tcW w:type="dxa" w:w="1950"/>
          </w:tcPr>
          <w:p>
            <w:pPr>
              <w:spacing w:after="20" w:before="20" w:line="240" w:lineRule="auto"/>
            </w:pPr>
            <w:r/>
            <w:r>
              <w:rPr>
                <w:sz w:val="16"/>
              </w:rPr>
              <w:t>The memo names these APCs as abused</w:t>
            </w:r>
          </w:p>
        </w:tc>
      </w:tr>
      <w:tr>
        <w:tc>
          <w:tcPr>
            <w:tcW w:type="dxa" w:w="1032"/>
          </w:tcPr>
          <w:p>
            <w:pPr>
              <w:spacing w:after="20" w:before="20" w:line="240" w:lineRule="auto"/>
            </w:pPr>
            <w:r/>
            <w:r>
              <w:rPr>
                <w:sz w:val="16"/>
              </w:rPr>
              <w:t>PAR_050</w:t>
            </w:r>
          </w:p>
        </w:tc>
        <w:tc>
          <w:tcPr>
            <w:tcW w:type="dxa" w:w="2409"/>
          </w:tcPr>
          <w:p>
            <w:pPr>
              <w:spacing w:after="20" w:before="20" w:line="240" w:lineRule="auto"/>
            </w:pPr>
            <w:r/>
            <w:r>
              <w:rPr>
                <w:sz w:val="16"/>
              </w:rPr>
              <w:t>b_pref_claimed_per_item_24m_rate</w:t>
            </w:r>
          </w:p>
        </w:tc>
        <w:tc>
          <w:tcPr>
            <w:tcW w:type="dxa" w:w="1836"/>
          </w:tcPr>
          <w:p>
            <w:pPr>
              <w:spacing w:after="20" w:before="20" w:line="240" w:lineRule="auto"/>
            </w:pPr>
            <w:r/>
            <w:r>
              <w:rPr>
                <w:sz w:val="16"/>
              </w:rPr>
              <w:t>preferential_treatment_flag</w:t>
            </w:r>
          </w:p>
        </w:tc>
        <w:tc>
          <w:tcPr>
            <w:tcW w:type="dxa" w:w="2524"/>
          </w:tcPr>
          <w:p>
            <w:pPr>
              <w:spacing w:after="20" w:before="20" w:line="240" w:lineRule="auto"/>
            </w:pPr>
            <w:r/>
            <w:r>
              <w:rPr>
                <w:sz w:val="16"/>
              </w:rPr>
              <w:t>Items claiming preferential treatment ÷ items</w:t>
            </w:r>
          </w:p>
        </w:tc>
        <w:tc>
          <w:tcPr>
            <w:tcW w:type="dxa" w:w="1950"/>
          </w:tcPr>
          <w:p>
            <w:pPr>
              <w:spacing w:after="20" w:before="20" w:line="240" w:lineRule="auto"/>
            </w:pPr>
            <w:r/>
            <w:r>
              <w:rPr>
                <w:sz w:val="16"/>
              </w:rPr>
              <w:t>A false origin claim avoids duty</w:t>
            </w:r>
          </w:p>
        </w:tc>
      </w:tr>
      <w:tr>
        <w:tc>
          <w:tcPr>
            <w:tcW w:type="dxa" w:w="1032"/>
          </w:tcPr>
          <w:p>
            <w:pPr>
              <w:spacing w:after="20" w:before="20" w:line="240" w:lineRule="auto"/>
            </w:pPr>
            <w:r/>
            <w:r>
              <w:rPr>
                <w:sz w:val="16"/>
              </w:rPr>
              <w:t>New</w:t>
            </w:r>
          </w:p>
        </w:tc>
        <w:tc>
          <w:tcPr>
            <w:tcW w:type="dxa" w:w="2409"/>
          </w:tcPr>
          <w:p>
            <w:pPr>
              <w:spacing w:after="20" w:before="20" w:line="240" w:lineRule="auto"/>
            </w:pPr>
            <w:r/>
            <w:r>
              <w:rPr>
                <w:sz w:val="16"/>
              </w:rPr>
              <w:t>b_decl_90d_per_avg_qtr_24m_log</w:t>
            </w:r>
          </w:p>
        </w:tc>
        <w:tc>
          <w:tcPr>
            <w:tcW w:type="dxa" w:w="1836"/>
          </w:tcPr>
          <w:p>
            <w:pPr>
              <w:spacing w:after="20" w:before="20" w:line="240" w:lineRule="auto"/>
            </w:pPr>
            <w:r/>
            <w:r>
              <w:rPr>
                <w:sz w:val="16"/>
              </w:rPr>
              <w:t>assessment_dt_wid</w:t>
            </w:r>
          </w:p>
        </w:tc>
        <w:tc>
          <w:tcPr>
            <w:tcW w:type="dxa" w:w="2524"/>
          </w:tcPr>
          <w:p>
            <w:pPr>
              <w:spacing w:after="20" w:before="20" w:line="240" w:lineRule="auto"/>
            </w:pPr>
            <w:r/>
            <w:r>
              <w:rPr>
                <w:sz w:val="16"/>
              </w:rPr>
              <w:t>log((declarations in the last 90 days + 1) ÷ (average quarter + 1))</w:t>
            </w:r>
          </w:p>
        </w:tc>
        <w:tc>
          <w:tcPr>
            <w:tcW w:type="dxa" w:w="1950"/>
          </w:tcPr>
          <w:p>
            <w:pPr>
              <w:spacing w:after="20" w:before="20" w:line="240" w:lineRule="auto"/>
            </w:pPr>
            <w:r/>
            <w:r>
              <w:rPr>
                <w:sz w:val="16"/>
              </w:rPr>
              <w:t>A sharp jump can mean a borrowed TIN or a burst before disappearing</w:t>
            </w:r>
          </w:p>
        </w:tc>
      </w:tr>
      <w:tr>
        <w:tc>
          <w:tcPr>
            <w:tcW w:type="dxa" w:w="1032"/>
          </w:tcPr>
          <w:p>
            <w:pPr>
              <w:spacing w:after="20" w:before="20" w:line="240" w:lineRule="auto"/>
            </w:pPr>
            <w:r/>
            <w:r>
              <w:rPr>
                <w:sz w:val="16"/>
              </w:rPr>
              <w:t>PAR_023</w:t>
            </w:r>
          </w:p>
        </w:tc>
        <w:tc>
          <w:tcPr>
            <w:tcW w:type="dxa" w:w="2409"/>
          </w:tcPr>
          <w:p>
            <w:pPr>
              <w:spacing w:after="20" w:before="20" w:line="240" w:lineRule="auto"/>
            </w:pPr>
            <w:r/>
            <w:r>
              <w:rPr>
                <w:sz w:val="16"/>
              </w:rPr>
              <w:t>b_away_from_main_station_per_decl_24m_rate</w:t>
            </w:r>
          </w:p>
        </w:tc>
        <w:tc>
          <w:tcPr>
            <w:tcW w:type="dxa" w:w="1836"/>
          </w:tcPr>
          <w:p>
            <w:pPr>
              <w:spacing w:after="20" w:before="20" w:line="240" w:lineRule="auto"/>
            </w:pPr>
            <w:r/>
            <w:r>
              <w:rPr>
                <w:sz w:val="16"/>
              </w:rPr>
              <w:t>clearance_station_cd</w:t>
            </w:r>
          </w:p>
        </w:tc>
        <w:tc>
          <w:tcPr>
            <w:tcW w:type="dxa" w:w="2524"/>
          </w:tcPr>
          <w:p>
            <w:pPr>
              <w:spacing w:after="20" w:before="20" w:line="240" w:lineRule="auto"/>
            </w:pPr>
            <w:r/>
            <w:r>
              <w:rPr>
                <w:sz w:val="16"/>
              </w:rPr>
              <w:t>1 − share of declarations at the main station</w:t>
            </w:r>
          </w:p>
        </w:tc>
        <w:tc>
          <w:tcPr>
            <w:tcW w:type="dxa" w:w="1950"/>
          </w:tcPr>
          <w:p>
            <w:pPr>
              <w:spacing w:after="20" w:before="20" w:line="240" w:lineRule="auto"/>
            </w:pPr>
            <w:r/>
            <w:r>
              <w:rPr>
                <w:sz w:val="16"/>
              </w:rPr>
              <w:t>Moving between stations can be a search for easier checks</w:t>
            </w:r>
          </w:p>
        </w:tc>
      </w:tr>
      <w:tr>
        <w:tc>
          <w:tcPr>
            <w:tcW w:type="dxa" w:w="1032"/>
          </w:tcPr>
          <w:p>
            <w:pPr>
              <w:spacing w:after="20" w:before="20" w:line="240" w:lineRule="auto"/>
            </w:pPr>
            <w:r/>
            <w:r>
              <w:rPr>
                <w:sz w:val="16"/>
              </w:rPr>
              <w:t>New</w:t>
            </w:r>
          </w:p>
        </w:tc>
        <w:tc>
          <w:tcPr>
            <w:tcW w:type="dxa" w:w="2409"/>
          </w:tcPr>
          <w:p>
            <w:pPr>
              <w:spacing w:after="20" w:before="20" w:line="240" w:lineRule="auto"/>
            </w:pPr>
            <w:r/>
            <w:r>
              <w:rPr>
                <w:sz w:val="16"/>
              </w:rPr>
              <w:t>b_hs4_per_decl_24m_ratio</w:t>
            </w:r>
          </w:p>
        </w:tc>
        <w:tc>
          <w:tcPr>
            <w:tcW w:type="dxa" w:w="1836"/>
          </w:tcPr>
          <w:p>
            <w:pPr>
              <w:spacing w:after="20" w:before="20" w:line="240" w:lineRule="auto"/>
            </w:pPr>
            <w:r/>
            <w:r>
              <w:rPr>
                <w:sz w:val="16"/>
              </w:rPr>
              <w:t>hsc_cd</w:t>
            </w:r>
          </w:p>
        </w:tc>
        <w:tc>
          <w:tcPr>
            <w:tcW w:type="dxa" w:w="2524"/>
          </w:tcPr>
          <w:p>
            <w:pPr>
              <w:spacing w:after="20" w:before="20" w:line="240" w:lineRule="auto"/>
            </w:pPr>
            <w:r/>
            <w:r>
              <w:rPr>
                <w:sz w:val="16"/>
              </w:rPr>
              <w:t>Different 4-digit HS headings ÷ declarations</w:t>
            </w:r>
          </w:p>
        </w:tc>
        <w:tc>
          <w:tcPr>
            <w:tcW w:type="dxa" w:w="1950"/>
          </w:tcPr>
          <w:p>
            <w:pPr>
              <w:spacing w:after="20" w:before="20" w:line="240" w:lineRule="auto"/>
            </w:pPr>
            <w:r/>
            <w:r>
              <w:rPr>
                <w:sz w:val="16"/>
              </w:rPr>
              <w:t>Mixing many goods makes checks harder and can hide misdescribed items</w:t>
            </w:r>
          </w:p>
        </w:tc>
      </w:tr>
      <w:tr>
        <w:tc>
          <w:tcPr>
            <w:tcW w:type="dxa" w:w="1032"/>
          </w:tcPr>
          <w:p>
            <w:pPr>
              <w:spacing w:after="20" w:before="20" w:line="240" w:lineRule="auto"/>
            </w:pPr>
            <w:r/>
            <w:r>
              <w:rPr>
                <w:sz w:val="16"/>
              </w:rPr>
              <w:t>raised by the officers</w:t>
            </w:r>
          </w:p>
        </w:tc>
        <w:tc>
          <w:tcPr>
            <w:tcW w:type="dxa" w:w="2409"/>
          </w:tcPr>
          <w:p>
            <w:pPr>
              <w:spacing w:after="20" w:before="20" w:line="240" w:lineRule="auto"/>
            </w:pPr>
            <w:r/>
            <w:r>
              <w:rPr>
                <w:sz w:val="16"/>
              </w:rPr>
              <w:t>b_same_day_split_per_decl_vs_norm_24m_diff</w:t>
            </w:r>
          </w:p>
        </w:tc>
        <w:tc>
          <w:tcPr>
            <w:tcW w:type="dxa" w:w="1836"/>
          </w:tcPr>
          <w:p>
            <w:pPr>
              <w:spacing w:after="20" w:before="20" w:line="240" w:lineRule="auto"/>
            </w:pPr>
            <w:r/>
            <w:r>
              <w:rPr>
                <w:sz w:val="16"/>
              </w:rPr>
              <w:t>hsc_cd, assessment_dt_wid, instance_id, extended_proc_cd</w:t>
            </w:r>
          </w:p>
        </w:tc>
        <w:tc>
          <w:tcPr>
            <w:tcW w:type="dxa" w:w="2524"/>
          </w:tcPr>
          <w:p>
            <w:pPr>
              <w:spacing w:after="20" w:before="20" w:line="240" w:lineRule="auto"/>
            </w:pPr>
            <w:r/>
            <w:r>
              <w:rPr>
                <w:sz w:val="16"/>
              </w:rPr>
              <w:t>Share of declarations in same-day repeats of one HS code, minus the norm for those goods</w:t>
            </w:r>
          </w:p>
        </w:tc>
        <w:tc>
          <w:tcPr>
            <w:tcW w:type="dxa" w:w="1950"/>
          </w:tcPr>
          <w:p>
            <w:pPr>
              <w:spacing w:after="20" w:before="20" w:line="240" w:lineRule="auto"/>
            </w:pPr>
            <w:r/>
            <w:r>
              <w:rPr>
                <w:sz w:val="16"/>
              </w:rPr>
              <w:t>Splitting a consignment can keep each declaration under a threshold</w:t>
            </w:r>
          </w:p>
        </w:tc>
      </w:tr>
      <w:tr>
        <w:tc>
          <w:tcPr>
            <w:tcW w:type="dxa" w:w="1032"/>
          </w:tcPr>
          <w:p>
            <w:pPr>
              <w:spacing w:after="20" w:before="20" w:line="240" w:lineRule="auto"/>
            </w:pPr>
            <w:r/>
            <w:r>
              <w:rPr>
                <w:sz w:val="16"/>
              </w:rPr>
              <w:t>PAR_019, PAR_101</w:t>
            </w:r>
          </w:p>
        </w:tc>
        <w:tc>
          <w:tcPr>
            <w:tcW w:type="dxa" w:w="2409"/>
          </w:tcPr>
          <w:p>
            <w:pPr>
              <w:spacing w:after="20" w:before="20" w:line="240" w:lineRule="auto"/>
            </w:pPr>
            <w:r/>
            <w:r>
              <w:rPr>
                <w:sz w:val="16"/>
              </w:rPr>
              <w:t>b_new_importer_24m_score</w:t>
            </w:r>
          </w:p>
        </w:tc>
        <w:tc>
          <w:tcPr>
            <w:tcW w:type="dxa" w:w="1836"/>
          </w:tcPr>
          <w:p>
            <w:pPr>
              <w:spacing w:after="20" w:before="20" w:line="240" w:lineRule="auto"/>
            </w:pPr>
            <w:r/>
            <w:r>
              <w:rPr>
                <w:sz w:val="16"/>
              </w:rPr>
              <w:t>assessment_dt_wid, taxpayer_tin (and the 3 years before)</w:t>
            </w:r>
          </w:p>
        </w:tc>
        <w:tc>
          <w:tcPr>
            <w:tcW w:type="dxa" w:w="2524"/>
          </w:tcPr>
          <w:p>
            <w:pPr>
              <w:spacing w:after="20" w:before="20" w:line="240" w:lineRule="auto"/>
            </w:pPr>
            <w:r/>
            <w:r>
              <w:rPr>
                <w:sz w:val="16"/>
              </w:rPr>
              <w:t>−log(1 + days since the first declaration in 24 months), plus 1 for a new trader</w:t>
            </w:r>
          </w:p>
        </w:tc>
        <w:tc>
          <w:tcPr>
            <w:tcW w:type="dxa" w:w="1950"/>
          </w:tcPr>
          <w:p>
            <w:pPr>
              <w:spacing w:after="20" w:before="20" w:line="240" w:lineRule="auto"/>
            </w:pPr>
            <w:r/>
            <w:r>
              <w:rPr>
                <w:sz w:val="16"/>
              </w:rPr>
              <w:t>New traders have no track record, and new TINs are used for one-off fraud</w:t>
            </w:r>
          </w:p>
        </w:tc>
      </w:tr>
    </w:tbl>
    <w:p>
      <w:pPr>
        <w:spacing w:after="40"/>
      </w:pPr>
    </w:p>
    <w:p>
      <w:pPr>
        <w:pStyle w:val="Heading2"/>
      </w:pPr>
      <w:r>
        <w:t>4.5 Other Columns of the Final Dataset</w:t>
      </w:r>
    </w:p>
    <w:p>
      <w:pPr>
        <w:pStyle w:val="Caption"/>
      </w:pPr>
      <w:r>
        <w:t xml:space="preserve">Table </w:t>
      </w:r>
      <w:r>
        <w:fldChar w:fldCharType="begin"/>
      </w:r>
      <w:r>
        <w:instrText xml:space="preserve"> SEQ Table \* ARABIC </w:instrText>
      </w:r>
      <w:r>
        <w:fldChar w:fldCharType="separate"/>
      </w:r>
      <w:r>
        <w:t>16</w:t>
      </w:r>
      <w:r>
        <w:fldChar w:fldCharType="end"/>
      </w:r>
      <w:r>
        <w:t>: Supporting Columns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2581"/>
            <w:shd w:val="clear" w:color="auto" w:fill="D9E2F3"/>
          </w:tcPr>
          <w:p>
            <w:pPr>
              <w:spacing w:after="20" w:before="20" w:line="240" w:lineRule="auto"/>
            </w:pPr>
            <w:r/>
            <w:r>
              <w:rPr>
                <w:b/>
                <w:sz w:val="18"/>
              </w:rPr>
              <w:t>Column</w:t>
            </w:r>
          </w:p>
        </w:tc>
        <w:tc>
          <w:tcPr>
            <w:tcW w:type="dxa" w:w="1721"/>
            <w:shd w:val="clear" w:color="auto" w:fill="D9E2F3"/>
          </w:tcPr>
          <w:p>
            <w:pPr>
              <w:spacing w:after="20" w:before="20" w:line="240" w:lineRule="auto"/>
            </w:pPr>
            <w:r/>
            <w:r>
              <w:rPr>
                <w:b/>
                <w:sz w:val="18"/>
              </w:rPr>
              <w:t>In view or derived</w:t>
            </w:r>
          </w:p>
        </w:tc>
        <w:tc>
          <w:tcPr>
            <w:tcW w:type="dxa" w:w="5449"/>
            <w:shd w:val="clear" w:color="auto" w:fill="D9E2F3"/>
          </w:tcPr>
          <w:p>
            <w:pPr>
              <w:spacing w:after="20" w:before="20" w:line="240" w:lineRule="auto"/>
            </w:pPr>
            <w:r/>
            <w:r>
              <w:rPr>
                <w:b/>
                <w:sz w:val="18"/>
              </w:rPr>
              <w:t>What it is</w:t>
            </w:r>
          </w:p>
        </w:tc>
      </w:tr>
      <w:tr>
        <w:tc>
          <w:tcPr>
            <w:tcW w:type="dxa" w:w="2581"/>
          </w:tcPr>
          <w:p>
            <w:pPr>
              <w:spacing w:after="20" w:before="20" w:line="240" w:lineRule="auto"/>
            </w:pPr>
            <w:r/>
            <w:r>
              <w:rPr>
                <w:sz w:val="18"/>
              </w:rPr>
              <w:t>taxpayer_tin</w:t>
            </w:r>
          </w:p>
        </w:tc>
        <w:tc>
          <w:tcPr>
            <w:tcW w:type="dxa" w:w="1721"/>
          </w:tcPr>
          <w:p>
            <w:pPr>
              <w:spacing w:after="20" w:before="20" w:line="240" w:lineRule="auto"/>
            </w:pPr>
            <w:r/>
            <w:r>
              <w:rPr>
                <w:sz w:val="18"/>
              </w:rPr>
              <w:t>In view</w:t>
            </w:r>
          </w:p>
        </w:tc>
        <w:tc>
          <w:tcPr>
            <w:tcW w:type="dxa" w:w="5449"/>
          </w:tcPr>
          <w:p>
            <w:pPr>
              <w:spacing w:after="20" w:before="20" w:line="240" w:lineRule="auto"/>
            </w:pPr>
            <w:r/>
            <w:r>
              <w:rPr>
                <w:sz w:val="18"/>
              </w:rPr>
              <w:t>The taxpayer</w:t>
            </w:r>
          </w:p>
        </w:tc>
      </w:tr>
      <w:tr>
        <w:tc>
          <w:tcPr>
            <w:tcW w:type="dxa" w:w="2581"/>
          </w:tcPr>
          <w:p>
            <w:pPr>
              <w:spacing w:after="20" w:before="20" w:line="240" w:lineRule="auto"/>
            </w:pPr>
            <w:r/>
            <w:r>
              <w:rPr>
                <w:sz w:val="18"/>
              </w:rPr>
              <w:t>taxpayer_nm</w:t>
            </w:r>
          </w:p>
        </w:tc>
        <w:tc>
          <w:tcPr>
            <w:tcW w:type="dxa" w:w="1721"/>
          </w:tcPr>
          <w:p>
            <w:pPr>
              <w:spacing w:after="20" w:before="20" w:line="240" w:lineRule="auto"/>
            </w:pPr>
            <w:r/>
            <w:r>
              <w:rPr>
                <w:sz w:val="18"/>
              </w:rPr>
              <w:t>In view</w:t>
            </w:r>
          </w:p>
        </w:tc>
        <w:tc>
          <w:tcPr>
            <w:tcW w:type="dxa" w:w="5449"/>
          </w:tcPr>
          <w:p>
            <w:pPr>
              <w:spacing w:after="20" w:before="20" w:line="240" w:lineRule="auto"/>
            </w:pPr>
            <w:r/>
            <w:r>
              <w:rPr>
                <w:sz w:val="18"/>
              </w:rPr>
              <w:t>The taxpayer's name (display only)</w:t>
            </w:r>
          </w:p>
        </w:tc>
      </w:tr>
      <w:tr>
        <w:tc>
          <w:tcPr>
            <w:tcW w:type="dxa" w:w="2581"/>
          </w:tcPr>
          <w:p>
            <w:pPr>
              <w:spacing w:after="20" w:before="20" w:line="240" w:lineRule="auto"/>
            </w:pPr>
            <w:r/>
            <w:r>
              <w:rPr>
                <w:sz w:val="18"/>
              </w:rPr>
              <w:t>snapshot_date</w:t>
            </w:r>
          </w:p>
        </w:tc>
        <w:tc>
          <w:tcPr>
            <w:tcW w:type="dxa" w:w="1721"/>
          </w:tcPr>
          <w:p>
            <w:pPr>
              <w:spacing w:after="20" w:before="20" w:line="240" w:lineRule="auto"/>
            </w:pPr>
            <w:r/>
            <w:r>
              <w:rPr>
                <w:sz w:val="18"/>
              </w:rPr>
              <w:t>Set by the query</w:t>
            </w:r>
          </w:p>
        </w:tc>
        <w:tc>
          <w:tcPr>
            <w:tcW w:type="dxa" w:w="5449"/>
          </w:tcPr>
          <w:p>
            <w:pPr>
              <w:spacing w:after="20" w:before="20" w:line="240" w:lineRule="auto"/>
            </w:pPr>
            <w:r/>
            <w:r>
              <w:rPr>
                <w:sz w:val="18"/>
              </w:rPr>
              <w:t>The date of the profile</w:t>
            </w:r>
          </w:p>
        </w:tc>
      </w:tr>
      <w:tr>
        <w:tc>
          <w:tcPr>
            <w:tcW w:type="dxa" w:w="2581"/>
          </w:tcPr>
          <w:p>
            <w:pPr>
              <w:spacing w:after="20" w:before="20" w:line="240" w:lineRule="auto"/>
            </w:pPr>
            <w:r/>
            <w:r>
              <w:rPr>
                <w:sz w:val="18"/>
              </w:rPr>
              <w:t>decl_24m_count</w:t>
            </w:r>
          </w:p>
        </w:tc>
        <w:tc>
          <w:tcPr>
            <w:tcW w:type="dxa" w:w="1721"/>
          </w:tcPr>
          <w:p>
            <w:pPr>
              <w:spacing w:after="20" w:before="20" w:line="240" w:lineRule="auto"/>
            </w:pPr>
            <w:r/>
            <w:r>
              <w:rPr>
                <w:sz w:val="18"/>
              </w:rPr>
              <w:t>Derived</w:t>
            </w:r>
          </w:p>
        </w:tc>
        <w:tc>
          <w:tcPr>
            <w:tcW w:type="dxa" w:w="5449"/>
          </w:tcPr>
          <w:p>
            <w:pPr>
              <w:spacing w:after="20" w:before="20" w:line="240" w:lineRule="auto"/>
            </w:pPr>
            <w:r/>
            <w:r>
              <w:rPr>
                <w:sz w:val="18"/>
              </w:rPr>
              <w:t>count(declarations) in the 24 months</w:t>
            </w:r>
          </w:p>
        </w:tc>
      </w:tr>
      <w:tr>
        <w:tc>
          <w:tcPr>
            <w:tcW w:type="dxa" w:w="2581"/>
          </w:tcPr>
          <w:p>
            <w:pPr>
              <w:spacing w:after="20" w:before="20" w:line="240" w:lineRule="auto"/>
            </w:pPr>
            <w:r/>
            <w:r>
              <w:rPr>
                <w:sz w:val="18"/>
              </w:rPr>
              <w:t>customs_value_24m_ugx</w:t>
            </w:r>
          </w:p>
        </w:tc>
        <w:tc>
          <w:tcPr>
            <w:tcW w:type="dxa" w:w="1721"/>
          </w:tcPr>
          <w:p>
            <w:pPr>
              <w:spacing w:after="20" w:before="20" w:line="240" w:lineRule="auto"/>
            </w:pPr>
            <w:r/>
            <w:r>
              <w:rPr>
                <w:sz w:val="18"/>
              </w:rPr>
              <w:t>Derived</w:t>
            </w:r>
          </w:p>
        </w:tc>
        <w:tc>
          <w:tcPr>
            <w:tcW w:type="dxa" w:w="5449"/>
          </w:tcPr>
          <w:p>
            <w:pPr>
              <w:spacing w:after="20" w:before="20" w:line="240" w:lineRule="auto"/>
            </w:pPr>
            <w:r/>
            <w:r>
              <w:rPr>
                <w:sz w:val="18"/>
              </w:rPr>
              <w:t>Σ customs_value in the 24 months: sets the size tier</w:t>
            </w:r>
          </w:p>
        </w:tc>
      </w:tr>
      <w:tr>
        <w:tc>
          <w:tcPr>
            <w:tcW w:type="dxa" w:w="2581"/>
          </w:tcPr>
          <w:p>
            <w:pPr>
              <w:spacing w:after="20" w:before="20" w:line="240" w:lineRule="auto"/>
            </w:pPr>
            <w:r/>
            <w:r>
              <w:rPr>
                <w:sz w:val="18"/>
              </w:rPr>
              <w:t>limited_history</w:t>
            </w:r>
          </w:p>
        </w:tc>
        <w:tc>
          <w:tcPr>
            <w:tcW w:type="dxa" w:w="1721"/>
          </w:tcPr>
          <w:p>
            <w:pPr>
              <w:spacing w:after="20" w:before="20" w:line="240" w:lineRule="auto"/>
            </w:pPr>
            <w:r/>
            <w:r>
              <w:rPr>
                <w:sz w:val="18"/>
              </w:rPr>
              <w:t>Derived</w:t>
            </w:r>
          </w:p>
        </w:tc>
        <w:tc>
          <w:tcPr>
            <w:tcW w:type="dxa" w:w="5449"/>
          </w:tcPr>
          <w:p>
            <w:pPr>
              <w:spacing w:after="20" w:before="20" w:line="240" w:lineRule="auto"/>
            </w:pPr>
            <w:r/>
            <w:r>
              <w:rPr>
                <w:sz w:val="18"/>
              </w:rPr>
              <w:t>Y if decl_24m_count &lt; 10: ranked on a separate list</w:t>
            </w:r>
          </w:p>
        </w:tc>
      </w:tr>
      <w:tr>
        <w:tc>
          <w:tcPr>
            <w:tcW w:type="dxa" w:w="2581"/>
          </w:tcPr>
          <w:p>
            <w:pPr>
              <w:spacing w:after="20" w:before="20" w:line="240" w:lineRule="auto"/>
            </w:pPr>
            <w:r/>
            <w:r>
              <w:rPr>
                <w:sz w:val="18"/>
              </w:rPr>
              <w:t>no_top_up_history</w:t>
            </w:r>
          </w:p>
        </w:tc>
        <w:tc>
          <w:tcPr>
            <w:tcW w:type="dxa" w:w="1721"/>
          </w:tcPr>
          <w:p>
            <w:pPr>
              <w:spacing w:after="20" w:before="20" w:line="240" w:lineRule="auto"/>
            </w:pPr>
            <w:r/>
            <w:r>
              <w:rPr>
                <w:sz w:val="18"/>
              </w:rPr>
              <w:t>Derived</w:t>
            </w:r>
          </w:p>
        </w:tc>
        <w:tc>
          <w:tcPr>
            <w:tcW w:type="dxa" w:w="5449"/>
          </w:tcPr>
          <w:p>
            <w:pPr>
              <w:spacing w:after="20" w:before="20" w:line="240" w:lineRule="auto"/>
            </w:pPr>
            <w:r/>
            <w:r>
              <w:rPr>
                <w:sz w:val="18"/>
              </w:rPr>
              <w:t>Y if no top-up in the 24 months: the group Track B is for</w:t>
            </w:r>
          </w:p>
        </w:tc>
      </w:tr>
      <w:tr>
        <w:tc>
          <w:tcPr>
            <w:tcW w:type="dxa" w:w="2581"/>
          </w:tcPr>
          <w:p>
            <w:pPr>
              <w:spacing w:after="20" w:before="20" w:line="240" w:lineRule="auto"/>
            </w:pPr>
            <w:r/>
            <w:r>
              <w:rPr>
                <w:sz w:val="18"/>
              </w:rPr>
              <w:t>peer_group</w:t>
            </w:r>
          </w:p>
        </w:tc>
        <w:tc>
          <w:tcPr>
            <w:tcW w:type="dxa" w:w="1721"/>
          </w:tcPr>
          <w:p>
            <w:pPr>
              <w:spacing w:after="20" w:before="20" w:line="240" w:lineRule="auto"/>
            </w:pPr>
            <w:r/>
            <w:r>
              <w:rPr>
                <w:sz w:val="18"/>
              </w:rPr>
              <w:t>Derived</w:t>
            </w:r>
          </w:p>
        </w:tc>
        <w:tc>
          <w:tcPr>
            <w:tcW w:type="dxa" w:w="5449"/>
          </w:tcPr>
          <w:p>
            <w:pPr>
              <w:spacing w:after="20" w:before="20" w:line="240" w:lineRule="auto"/>
            </w:pPr>
            <w:r/>
            <w:r>
              <w:rPr>
                <w:sz w:val="18"/>
              </w:rPr>
              <w:t>HS section of the main chapter + size tier (thirds of value), e.g. "Textiles, large"</w:t>
            </w:r>
          </w:p>
        </w:tc>
      </w:tr>
      <w:tr>
        <w:tc>
          <w:tcPr>
            <w:tcW w:type="dxa" w:w="2581"/>
          </w:tcPr>
          <w:p>
            <w:pPr>
              <w:spacing w:after="20" w:before="20" w:line="240" w:lineRule="auto"/>
            </w:pPr>
            <w:r/>
            <w:r>
              <w:rPr>
                <w:sz w:val="18"/>
              </w:rPr>
              <w:t>raw_&lt;name&gt;</w:t>
            </w:r>
          </w:p>
        </w:tc>
        <w:tc>
          <w:tcPr>
            <w:tcW w:type="dxa" w:w="1721"/>
          </w:tcPr>
          <w:p>
            <w:pPr>
              <w:spacing w:after="20" w:before="20" w:line="240" w:lineRule="auto"/>
            </w:pPr>
            <w:r/>
            <w:r>
              <w:rPr>
                <w:sz w:val="18"/>
              </w:rPr>
              <w:t>Derived</w:t>
            </w:r>
          </w:p>
        </w:tc>
        <w:tc>
          <w:tcPr>
            <w:tcW w:type="dxa" w:w="5449"/>
          </w:tcPr>
          <w:p>
            <w:pPr>
              <w:spacing w:after="20" w:before="20" w:line="240" w:lineRule="auto"/>
            </w:pPr>
            <w:r/>
            <w:r>
              <w:rPr>
                <w:sz w:val="18"/>
              </w:rPr>
              <w:t>A Track A value before the small-numbers step</w:t>
            </w:r>
          </w:p>
        </w:tc>
      </w:tr>
      <w:tr>
        <w:tc>
          <w:tcPr>
            <w:tcW w:type="dxa" w:w="2581"/>
          </w:tcPr>
          <w:p>
            <w:pPr>
              <w:spacing w:after="20" w:before="20" w:line="240" w:lineRule="auto"/>
            </w:pPr>
            <w:r/>
            <w:r>
              <w:rPr>
                <w:sz w:val="18"/>
              </w:rPr>
              <w:t>b_&lt;name&gt;_pct</w:t>
            </w:r>
          </w:p>
        </w:tc>
        <w:tc>
          <w:tcPr>
            <w:tcW w:type="dxa" w:w="1721"/>
          </w:tcPr>
          <w:p>
            <w:pPr>
              <w:spacing w:after="20" w:before="20" w:line="240" w:lineRule="auto"/>
            </w:pPr>
            <w:r/>
            <w:r>
              <w:rPr>
                <w:sz w:val="18"/>
              </w:rPr>
              <w:t>Derived</w:t>
            </w:r>
          </w:p>
        </w:tc>
        <w:tc>
          <w:tcPr>
            <w:tcW w:type="dxa" w:w="5449"/>
          </w:tcPr>
          <w:p>
            <w:pPr>
              <w:spacing w:after="20" w:before="20" w:line="240" w:lineRule="auto"/>
            </w:pPr>
            <w:r/>
            <w:r>
              <w:rPr>
                <w:sz w:val="18"/>
              </w:rPr>
              <w:t>rank of a Track B feature within its peer group (0 to 1): what the Track B model reads</w:t>
            </w:r>
          </w:p>
        </w:tc>
      </w:tr>
      <w:tr>
        <w:tc>
          <w:tcPr>
            <w:tcW w:type="dxa" w:w="2581"/>
          </w:tcPr>
          <w:p>
            <w:pPr>
              <w:spacing w:after="20" w:before="20" w:line="240" w:lineRule="auto"/>
            </w:pPr>
            <w:r/>
            <w:r>
              <w:rPr>
                <w:sz w:val="18"/>
              </w:rPr>
              <w:t>out_&lt;name&gt;</w:t>
            </w:r>
          </w:p>
        </w:tc>
        <w:tc>
          <w:tcPr>
            <w:tcW w:type="dxa" w:w="1721"/>
          </w:tcPr>
          <w:p>
            <w:pPr>
              <w:spacing w:after="20" w:before="20" w:line="240" w:lineRule="auto"/>
            </w:pPr>
            <w:r/>
            <w:r>
              <w:rPr>
                <w:sz w:val="18"/>
              </w:rPr>
              <w:t>Derived</w:t>
            </w:r>
          </w:p>
        </w:tc>
        <w:tc>
          <w:tcPr>
            <w:tcW w:type="dxa" w:w="5449"/>
          </w:tcPr>
          <w:p>
            <w:pPr>
              <w:spacing w:after="20" w:before="20" w:line="240" w:lineRule="auto"/>
            </w:pPr>
            <w:r/>
            <w:r>
              <w:rPr>
                <w:sz w:val="18"/>
              </w:rPr>
              <w:t>checks, hits and top-ups in the 6 months after a past snapshot: for testing only</w:t>
            </w:r>
          </w:p>
        </w:tc>
      </w:tr>
    </w:tbl>
    <w:p>
      <w:pPr>
        <w:spacing w:after="40"/>
      </w:pPr>
    </w:p>
    <w:p>
      <w:r>
        <w:br w:type="page"/>
      </w:r>
    </w:p>
    <w:p/>
    <w:p/>
    <w:p/>
    <w:p/>
    <w:p/>
    <w:p/>
    <w:p>
      <w:pPr>
        <w:pStyle w:val="Heading1"/>
      </w:pPr>
      <w:r>
        <w:t>PART 5: DATA QUALITY RULES</w:t>
      </w:r>
    </w:p>
    <w:p>
      <w:pPr>
        <w:spacing w:after="120"/>
      </w:pPr>
      <w:r>
        <w:t>Which rows are removed and why, and how doubtful values are read. The counts behind each rule are in the EDA report.</w:t>
      </w:r>
    </w:p>
    <w:p>
      <w:r>
        <w:br w:type="page"/>
      </w:r>
    </w:p>
    <w:p>
      <w:pPr>
        <w:pStyle w:val="Heading2"/>
      </w:pPr>
      <w:r>
        <w:t>5.1 Cleaning Rules</w:t>
      </w:r>
    </w:p>
    <w:p>
      <w:pPr>
        <w:pStyle w:val="Caption"/>
      </w:pPr>
      <w:r>
        <w:t xml:space="preserve">Table </w:t>
      </w:r>
      <w:r>
        <w:fldChar w:fldCharType="begin"/>
      </w:r>
      <w:r>
        <w:instrText xml:space="preserve"> SEQ Table \* ARABIC </w:instrText>
      </w:r>
      <w:r>
        <w:fldChar w:fldCharType="separate"/>
      </w:r>
      <w:r>
        <w:t>17</w:t>
      </w:r>
      <w:r>
        <w:fldChar w:fldCharType="end"/>
      </w:r>
      <w:r>
        <w:t>: Cleaning Rules (Rows Removed: 36 Months to 30 September 2026, All Regimes)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803"/>
            <w:shd w:val="clear" w:color="auto" w:fill="D9E2F3"/>
          </w:tcPr>
          <w:p>
            <w:pPr>
              <w:spacing w:after="20" w:before="20" w:line="240" w:lineRule="auto"/>
            </w:pPr>
            <w:r/>
            <w:r>
              <w:rPr>
                <w:b/>
                <w:sz w:val="16"/>
              </w:rPr>
              <w:t>Rule</w:t>
            </w:r>
          </w:p>
        </w:tc>
        <w:tc>
          <w:tcPr>
            <w:tcW w:type="dxa" w:w="3212"/>
            <w:shd w:val="clear" w:color="auto" w:fill="D9E2F3"/>
          </w:tcPr>
          <w:p>
            <w:pPr>
              <w:spacing w:after="20" w:before="20" w:line="240" w:lineRule="auto"/>
            </w:pPr>
            <w:r/>
            <w:r>
              <w:rPr>
                <w:b/>
                <w:sz w:val="16"/>
              </w:rPr>
              <w:t>Keeps</w:t>
            </w:r>
          </w:p>
        </w:tc>
        <w:tc>
          <w:tcPr>
            <w:tcW w:type="dxa" w:w="4015"/>
            <w:shd w:val="clear" w:color="auto" w:fill="D9E2F3"/>
          </w:tcPr>
          <w:p>
            <w:pPr>
              <w:spacing w:after="20" w:before="20" w:line="240" w:lineRule="auto"/>
            </w:pPr>
            <w:r/>
            <w:r>
              <w:rPr>
                <w:b/>
                <w:sz w:val="16"/>
              </w:rPr>
              <w:t>Why</w:t>
            </w:r>
          </w:p>
        </w:tc>
        <w:tc>
          <w:tcPr>
            <w:tcW w:type="dxa" w:w="1721"/>
            <w:shd w:val="clear" w:color="auto" w:fill="D9E2F3"/>
          </w:tcPr>
          <w:p>
            <w:pPr>
              <w:spacing w:after="20" w:before="20" w:line="240" w:lineRule="auto"/>
            </w:pPr>
            <w:r/>
            <w:r>
              <w:rPr>
                <w:b/>
                <w:sz w:val="16"/>
              </w:rPr>
              <w:t>Rows removed</w:t>
            </w:r>
          </w:p>
        </w:tc>
      </w:tr>
      <w:tr>
        <w:tc>
          <w:tcPr>
            <w:tcW w:type="dxa" w:w="803"/>
          </w:tcPr>
          <w:p>
            <w:pPr>
              <w:spacing w:after="20" w:before="20" w:line="240" w:lineRule="auto"/>
            </w:pPr>
            <w:r/>
            <w:r>
              <w:rPr>
                <w:sz w:val="16"/>
              </w:rPr>
              <w:t>R1</w:t>
            </w:r>
          </w:p>
        </w:tc>
        <w:tc>
          <w:tcPr>
            <w:tcW w:type="dxa" w:w="3212"/>
          </w:tcPr>
          <w:p>
            <w:pPr>
              <w:spacing w:after="20" w:before="20" w:line="240" w:lineRule="auto"/>
            </w:pPr>
            <w:r/>
            <w:r>
              <w:rPr>
                <w:sz w:val="16"/>
              </w:rPr>
              <w:t>TINs of exactly 10 digits</w:t>
            </w:r>
          </w:p>
        </w:tc>
        <w:tc>
          <w:tcPr>
            <w:tcW w:type="dxa" w:w="4015"/>
          </w:tcPr>
          <w:p>
            <w:pPr>
              <w:spacing w:after="20" w:before="20" w:line="240" w:lineRule="auto"/>
            </w:pPr>
            <w:r/>
            <w:r>
              <w:rPr>
                <w:sz w:val="16"/>
              </w:rPr>
              <w:t>A malformed TIN cannot be tied to a taxpayer</w:t>
            </w:r>
          </w:p>
        </w:tc>
        <w:tc>
          <w:tcPr>
            <w:tcW w:type="dxa" w:w="1721"/>
          </w:tcPr>
          <w:p>
            <w:pPr>
              <w:spacing w:after="20" w:before="20" w:line="240" w:lineRule="auto"/>
            </w:pPr>
            <w:r/>
            <w:r>
              <w:rPr>
                <w:sz w:val="16"/>
              </w:rPr>
              <w:t>1,325,413</w:t>
            </w:r>
          </w:p>
        </w:tc>
      </w:tr>
      <w:tr>
        <w:tc>
          <w:tcPr>
            <w:tcW w:type="dxa" w:w="803"/>
          </w:tcPr>
          <w:p>
            <w:pPr>
              <w:spacing w:after="20" w:before="20" w:line="240" w:lineRule="auto"/>
            </w:pPr>
            <w:r/>
            <w:r>
              <w:rPr>
                <w:sz w:val="16"/>
              </w:rPr>
              <w:t>R3</w:t>
            </w:r>
          </w:p>
        </w:tc>
        <w:tc>
          <w:tcPr>
            <w:tcW w:type="dxa" w:w="3212"/>
          </w:tcPr>
          <w:p>
            <w:pPr>
              <w:spacing w:after="20" w:before="20" w:line="240" w:lineRule="auto"/>
            </w:pPr>
            <w:r/>
            <w:r>
              <w:rPr>
                <w:sz w:val="16"/>
              </w:rPr>
              <w:t>Declarations not cancelled (a blank status counts as a fail)</w:t>
            </w:r>
          </w:p>
        </w:tc>
        <w:tc>
          <w:tcPr>
            <w:tcW w:type="dxa" w:w="4015"/>
          </w:tcPr>
          <w:p>
            <w:pPr>
              <w:spacing w:after="20" w:before="20" w:line="240" w:lineRule="auto"/>
            </w:pPr>
            <w:r/>
            <w:r>
              <w:rPr>
                <w:sz w:val="16"/>
              </w:rPr>
              <w:t>A cancelled declaration did not go ahead</w:t>
            </w:r>
          </w:p>
        </w:tc>
        <w:tc>
          <w:tcPr>
            <w:tcW w:type="dxa" w:w="1721"/>
          </w:tcPr>
          <w:p>
            <w:pPr>
              <w:spacing w:after="20" w:before="20" w:line="240" w:lineRule="auto"/>
            </w:pPr>
            <w:r/>
            <w:r>
              <w:rPr>
                <w:sz w:val="16"/>
              </w:rPr>
              <w:t>56,004</w:t>
            </w:r>
          </w:p>
        </w:tc>
      </w:tr>
      <w:tr>
        <w:tc>
          <w:tcPr>
            <w:tcW w:type="dxa" w:w="803"/>
          </w:tcPr>
          <w:p>
            <w:pPr>
              <w:spacing w:after="20" w:before="20" w:line="240" w:lineRule="auto"/>
            </w:pPr>
            <w:r/>
            <w:r>
              <w:rPr>
                <w:sz w:val="16"/>
              </w:rPr>
              <w:t>R4</w:t>
            </w:r>
          </w:p>
        </w:tc>
        <w:tc>
          <w:tcPr>
            <w:tcW w:type="dxa" w:w="3212"/>
          </w:tcPr>
          <w:p>
            <w:pPr>
              <w:spacing w:after="20" w:before="20" w:line="240" w:lineRule="auto"/>
            </w:pPr>
            <w:r/>
            <w:r>
              <w:rPr>
                <w:sz w:val="16"/>
              </w:rPr>
              <w:t>Regimes IM4 and IM7</w:t>
            </w:r>
          </w:p>
        </w:tc>
        <w:tc>
          <w:tcPr>
            <w:tcW w:type="dxa" w:w="4015"/>
          </w:tcPr>
          <w:p>
            <w:pPr>
              <w:spacing w:after="20" w:before="20" w:line="240" w:lineRule="auto"/>
            </w:pPr>
            <w:r/>
            <w:r>
              <w:rPr>
                <w:sz w:val="16"/>
              </w:rPr>
              <w:t>The model profiles importers</w:t>
            </w:r>
          </w:p>
        </w:tc>
        <w:tc>
          <w:tcPr>
            <w:tcW w:type="dxa" w:w="1721"/>
          </w:tcPr>
          <w:p>
            <w:pPr>
              <w:spacing w:after="20" w:before="20" w:line="240" w:lineRule="auto"/>
            </w:pPr>
            <w:r/>
            <w:r>
              <w:rPr>
                <w:sz w:val="16"/>
              </w:rPr>
              <w:t>3,396,602</w:t>
            </w:r>
          </w:p>
        </w:tc>
      </w:tr>
      <w:tr>
        <w:tc>
          <w:tcPr>
            <w:tcW w:type="dxa" w:w="803"/>
          </w:tcPr>
          <w:p>
            <w:pPr>
              <w:spacing w:after="20" w:before="20" w:line="240" w:lineRule="auto"/>
            </w:pPr>
            <w:r/>
            <w:r>
              <w:rPr>
                <w:sz w:val="16"/>
              </w:rPr>
              <w:t>R13</w:t>
            </w:r>
          </w:p>
        </w:tc>
        <w:tc>
          <w:tcPr>
            <w:tcW w:type="dxa" w:w="3212"/>
          </w:tcPr>
          <w:p>
            <w:pPr>
              <w:spacing w:after="20" w:before="20" w:line="240" w:lineRule="auto"/>
            </w:pPr>
            <w:r/>
            <w:r>
              <w:rPr>
                <w:sz w:val="16"/>
              </w:rPr>
              <w:t>Everything except APC 483</w:t>
            </w:r>
          </w:p>
        </w:tc>
        <w:tc>
          <w:tcPr>
            <w:tcW w:type="dxa" w:w="4015"/>
          </w:tcPr>
          <w:p>
            <w:pPr>
              <w:spacing w:after="20" w:before="20" w:line="240" w:lineRule="auto"/>
            </w:pPr>
            <w:r/>
            <w:r>
              <w:rPr>
                <w:sz w:val="16"/>
              </w:rPr>
              <w:t>Destroyed or abandoned goods and dummy entries are not trade</w:t>
            </w:r>
          </w:p>
        </w:tc>
        <w:tc>
          <w:tcPr>
            <w:tcW w:type="dxa" w:w="1721"/>
          </w:tcPr>
          <w:p>
            <w:pPr>
              <w:spacing w:after="20" w:before="20" w:line="240" w:lineRule="auto"/>
            </w:pPr>
            <w:r/>
            <w:r>
              <w:rPr>
                <w:sz w:val="16"/>
              </w:rPr>
              <w:t>8,083</w:t>
            </w:r>
          </w:p>
        </w:tc>
      </w:tr>
      <w:tr>
        <w:tc>
          <w:tcPr>
            <w:tcW w:type="dxa" w:w="803"/>
          </w:tcPr>
          <w:p>
            <w:pPr>
              <w:spacing w:after="20" w:before="20" w:line="240" w:lineRule="auto"/>
            </w:pPr>
            <w:r/>
            <w:r>
              <w:rPr>
                <w:sz w:val="16"/>
              </w:rPr>
              <w:t>R14</w:t>
            </w:r>
          </w:p>
        </w:tc>
        <w:tc>
          <w:tcPr>
            <w:tcW w:type="dxa" w:w="3212"/>
          </w:tcPr>
          <w:p>
            <w:pPr>
              <w:spacing w:after="20" w:before="20" w:line="240" w:lineRule="auto"/>
            </w:pPr>
            <w:r/>
            <w:r>
              <w:rPr>
                <w:sz w:val="16"/>
              </w:rPr>
              <w:t>The latest declaration ID of each entry (entry number + station + year)</w:t>
            </w:r>
          </w:p>
        </w:tc>
        <w:tc>
          <w:tcPr>
            <w:tcW w:type="dxa" w:w="4015"/>
          </w:tcPr>
          <w:p>
            <w:pPr>
              <w:spacing w:after="20" w:before="20" w:line="240" w:lineRule="auto"/>
            </w:pPr>
            <w:r/>
            <w:r>
              <w:rPr>
                <w:sz w:val="16"/>
              </w:rPr>
              <w:t>An entry is never counted twice</w:t>
            </w:r>
          </w:p>
        </w:tc>
        <w:tc>
          <w:tcPr>
            <w:tcW w:type="dxa" w:w="1721"/>
          </w:tcPr>
          <w:p>
            <w:pPr>
              <w:spacing w:after="20" w:before="20" w:line="240" w:lineRule="auto"/>
            </w:pPr>
            <w:r/>
            <w:r>
              <w:rPr>
                <w:sz w:val="16"/>
              </w:rPr>
              <w:t>0</w:t>
            </w:r>
          </w:p>
        </w:tc>
      </w:tr>
      <w:tr>
        <w:tc>
          <w:tcPr>
            <w:tcW w:type="dxa" w:w="803"/>
          </w:tcPr>
          <w:p>
            <w:pPr>
              <w:spacing w:after="20" w:before="20" w:line="240" w:lineRule="auto"/>
            </w:pPr>
            <w:r/>
            <w:r>
              <w:rPr>
                <w:sz w:val="16"/>
              </w:rPr>
              <w:t>R15</w:t>
            </w:r>
          </w:p>
        </w:tc>
        <w:tc>
          <w:tcPr>
            <w:tcW w:type="dxa" w:w="3212"/>
          </w:tcPr>
          <w:p>
            <w:pPr>
              <w:spacing w:after="20" w:before="20" w:line="240" w:lineRule="auto"/>
            </w:pPr>
            <w:r/>
            <w:r>
              <w:rPr>
                <w:sz w:val="16"/>
              </w:rPr>
              <w:t>Declarations with no motor vehicle item (HS 8701 to 8708, 8711)</w:t>
            </w:r>
          </w:p>
        </w:tc>
        <w:tc>
          <w:tcPr>
            <w:tcW w:type="dxa" w:w="4015"/>
          </w:tcPr>
          <w:p>
            <w:pPr>
              <w:spacing w:after="20" w:before="20" w:line="240" w:lineRule="auto"/>
            </w:pPr>
            <w:r/>
            <w:r>
              <w:rPr>
                <w:sz w:val="16"/>
              </w:rPr>
              <w:t>A separate model covers vehicles</w:t>
            </w:r>
          </w:p>
        </w:tc>
        <w:tc>
          <w:tcPr>
            <w:tcW w:type="dxa" w:w="1721"/>
          </w:tcPr>
          <w:p>
            <w:pPr>
              <w:spacing w:after="20" w:before="20" w:line="240" w:lineRule="auto"/>
            </w:pPr>
            <w:r/>
            <w:r>
              <w:rPr>
                <w:sz w:val="16"/>
              </w:rPr>
              <w:t>2,284,966</w:t>
            </w:r>
          </w:p>
        </w:tc>
      </w:tr>
      <w:tr>
        <w:tc>
          <w:tcPr>
            <w:tcW w:type="dxa" w:w="803"/>
          </w:tcPr>
          <w:p>
            <w:pPr>
              <w:spacing w:after="20" w:before="20" w:line="240" w:lineRule="auto"/>
            </w:pPr>
            <w:r/>
            <w:r>
              <w:rPr>
                <w:sz w:val="16"/>
              </w:rPr>
              <w:t>R5</w:t>
            </w:r>
          </w:p>
        </w:tc>
        <w:tc>
          <w:tcPr>
            <w:tcW w:type="dxa" w:w="3212"/>
          </w:tcPr>
          <w:p>
            <w:pPr>
              <w:spacing w:after="20" w:before="20" w:line="240" w:lineRule="auto"/>
            </w:pPr>
            <w:r/>
            <w:r>
              <w:rPr>
                <w:sz w:val="16"/>
              </w:rPr>
              <w:t>Each item once</w:t>
            </w:r>
          </w:p>
        </w:tc>
        <w:tc>
          <w:tcPr>
            <w:tcW w:type="dxa" w:w="4015"/>
          </w:tcPr>
          <w:p>
            <w:pPr>
              <w:spacing w:after="20" w:before="20" w:line="240" w:lineRule="auto"/>
            </w:pPr>
            <w:r/>
            <w:r>
              <w:rPr>
                <w:sz w:val="16"/>
              </w:rPr>
              <w:t>The view repeats some item rows (issue E02)</w:t>
            </w:r>
          </w:p>
        </w:tc>
        <w:tc>
          <w:tcPr>
            <w:tcW w:type="dxa" w:w="1721"/>
          </w:tcPr>
          <w:p>
            <w:pPr>
              <w:spacing w:after="20" w:before="20" w:line="240" w:lineRule="auto"/>
            </w:pPr>
            <w:r/>
            <w:r>
              <w:rPr>
                <w:sz w:val="16"/>
              </w:rPr>
              <w:t>76</w:t>
            </w:r>
          </w:p>
        </w:tc>
      </w:tr>
    </w:tbl>
    <w:p>
      <w:pPr>
        <w:spacing w:after="40"/>
      </w:pPr>
    </w:p>
    <w:p>
      <w:pPr>
        <w:pStyle w:val="Heading2"/>
      </w:pPr>
      <w:r>
        <w:t>5.2 Reading Rules</w:t>
      </w:r>
    </w:p>
    <w:p>
      <w:pPr>
        <w:pStyle w:val="Caption"/>
      </w:pPr>
      <w:r>
        <w:t xml:space="preserve">Table </w:t>
      </w:r>
      <w:r>
        <w:fldChar w:fldCharType="begin"/>
      </w:r>
      <w:r>
        <w:instrText xml:space="preserve"> SEQ Table \* ARABIC </w:instrText>
      </w:r>
      <w:r>
        <w:fldChar w:fldCharType="separate"/>
      </w:r>
      <w:r>
        <w:t>18</w:t>
      </w:r>
      <w:r>
        <w:fldChar w:fldCharType="end"/>
      </w:r>
      <w:r>
        <w:t>: How Doubtful Values Are Read</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3251"/>
        <w:gridCol w:w="3251"/>
        <w:gridCol w:w="3251"/>
      </w:tblGrid>
      <w:tr>
        <w:trPr>
          <w:tblHeader w:val="true"/>
        </w:trPr>
        <w:tc>
          <w:tcPr>
            <w:tcW w:type="dxa" w:w="1032"/>
            <w:shd w:val="clear" w:color="auto" w:fill="D9E2F3"/>
          </w:tcPr>
          <w:p>
            <w:pPr>
              <w:spacing w:after="20" w:before="20" w:line="240" w:lineRule="auto"/>
            </w:pPr>
            <w:r/>
            <w:r>
              <w:rPr>
                <w:b/>
                <w:sz w:val="16"/>
              </w:rPr>
              <w:t>Rule</w:t>
            </w:r>
          </w:p>
        </w:tc>
        <w:tc>
          <w:tcPr>
            <w:tcW w:type="dxa" w:w="4589"/>
            <w:shd w:val="clear" w:color="auto" w:fill="D9E2F3"/>
          </w:tcPr>
          <w:p>
            <w:pPr>
              <w:spacing w:after="20" w:before="20" w:line="240" w:lineRule="auto"/>
            </w:pPr>
            <w:r/>
            <w:r>
              <w:rPr>
                <w:b/>
                <w:sz w:val="16"/>
              </w:rPr>
              <w:t>The rule</w:t>
            </w:r>
          </w:p>
        </w:tc>
        <w:tc>
          <w:tcPr>
            <w:tcW w:type="dxa" w:w="4130"/>
            <w:shd w:val="clear" w:color="auto" w:fill="D9E2F3"/>
          </w:tcPr>
          <w:p>
            <w:pPr>
              <w:spacing w:after="20" w:before="20" w:line="240" w:lineRule="auto"/>
            </w:pPr>
            <w:r/>
            <w:r>
              <w:rPr>
                <w:b/>
                <w:sz w:val="16"/>
              </w:rPr>
              <w:t>Why</w:t>
            </w:r>
          </w:p>
        </w:tc>
      </w:tr>
      <w:tr>
        <w:tc>
          <w:tcPr>
            <w:tcW w:type="dxa" w:w="1032"/>
          </w:tcPr>
          <w:p>
            <w:pPr>
              <w:spacing w:after="20" w:before="20" w:line="240" w:lineRule="auto"/>
            </w:pPr>
            <w:r/>
            <w:r>
              <w:rPr>
                <w:sz w:val="16"/>
              </w:rPr>
              <w:t>R7</w:t>
            </w:r>
          </w:p>
        </w:tc>
        <w:tc>
          <w:tcPr>
            <w:tcW w:type="dxa" w:w="4589"/>
          </w:tcPr>
          <w:p>
            <w:pPr>
              <w:spacing w:after="20" w:before="20" w:line="240" w:lineRule="auto"/>
            </w:pPr>
            <w:r/>
            <w:r>
              <w:rPr>
                <w:sz w:val="16"/>
              </w:rPr>
              <w:t>A top-up is counted only when the flag is Y and the final tax is above the original tax; its amount is final minus original tax</w:t>
            </w:r>
          </w:p>
        </w:tc>
        <w:tc>
          <w:tcPr>
            <w:tcW w:type="dxa" w:w="4130"/>
          </w:tcPr>
          <w:p>
            <w:pPr>
              <w:spacing w:after="20" w:before="20" w:line="240" w:lineRule="auto"/>
            </w:pPr>
            <w:r/>
            <w:r>
              <w:rPr>
                <w:sz w:val="16"/>
              </w:rPr>
              <w:t>The flag alone is wrong on some declarations, and top_up_amt is unreliable (E06, E09)</w:t>
            </w:r>
          </w:p>
        </w:tc>
      </w:tr>
      <w:tr>
        <w:tc>
          <w:tcPr>
            <w:tcW w:type="dxa" w:w="1032"/>
          </w:tcPr>
          <w:p>
            <w:pPr>
              <w:spacing w:after="20" w:before="20" w:line="240" w:lineRule="auto"/>
            </w:pPr>
            <w:r/>
            <w:r>
              <w:rPr>
                <w:sz w:val="16"/>
              </w:rPr>
              <w:t>Blank tax</w:t>
            </w:r>
          </w:p>
        </w:tc>
        <w:tc>
          <w:tcPr>
            <w:tcW w:type="dxa" w:w="4589"/>
          </w:tcPr>
          <w:p>
            <w:pPr>
              <w:spacing w:after="20" w:before="20" w:line="240" w:lineRule="auto"/>
            </w:pPr>
            <w:r/>
            <w:r>
              <w:rPr>
                <w:sz w:val="16"/>
              </w:rPr>
              <w:t>A blank original tax is read as unchanged: the final tax is used</w:t>
            </w:r>
          </w:p>
        </w:tc>
        <w:tc>
          <w:tcPr>
            <w:tcW w:type="dxa" w:w="4130"/>
          </w:tcPr>
          <w:p>
            <w:pPr>
              <w:spacing w:after="20" w:before="20" w:line="240" w:lineRule="auto"/>
            </w:pPr>
            <w:r/>
            <w:r>
              <w:rPr>
                <w:sz w:val="16"/>
              </w:rPr>
              <w:t>Blank on 37% of declarations without a top-up but 0.04% of those with one (E08)</w:t>
            </w:r>
          </w:p>
        </w:tc>
      </w:tr>
      <w:tr>
        <w:tc>
          <w:tcPr>
            <w:tcW w:type="dxa" w:w="1032"/>
          </w:tcPr>
          <w:p>
            <w:pPr>
              <w:spacing w:after="20" w:before="20" w:line="240" w:lineRule="auto"/>
            </w:pPr>
            <w:r/>
            <w:r>
              <w:rPr>
                <w:sz w:val="16"/>
              </w:rPr>
              <w:t>R8</w:t>
            </w:r>
          </w:p>
        </w:tc>
        <w:tc>
          <w:tcPr>
            <w:tcW w:type="dxa" w:w="4589"/>
          </w:tcPr>
          <w:p>
            <w:pPr>
              <w:spacing w:after="20" w:before="20" w:line="240" w:lineRule="auto"/>
            </w:pPr>
            <w:r/>
            <w:r>
              <w:rPr>
                <w:sz w:val="16"/>
              </w:rPr>
              <w:t>Items with zero, negative or blank value or weight are left out of the price measures</w:t>
            </w:r>
          </w:p>
        </w:tc>
        <w:tc>
          <w:tcPr>
            <w:tcW w:type="dxa" w:w="4130"/>
          </w:tcPr>
          <w:p>
            <w:pPr>
              <w:spacing w:after="20" w:before="20" w:line="240" w:lineRule="auto"/>
            </w:pPr>
            <w:r/>
            <w:r>
              <w:rPr>
                <w:sz w:val="16"/>
              </w:rPr>
              <w:t>A price needs both</w:t>
            </w:r>
          </w:p>
        </w:tc>
      </w:tr>
      <w:tr>
        <w:tc>
          <w:tcPr>
            <w:tcW w:type="dxa" w:w="1032"/>
          </w:tcPr>
          <w:p>
            <w:pPr>
              <w:spacing w:after="20" w:before="20" w:line="240" w:lineRule="auto"/>
            </w:pPr>
            <w:r/>
            <w:r>
              <w:rPr>
                <w:sz w:val="16"/>
              </w:rPr>
              <w:t>R9</w:t>
            </w:r>
          </w:p>
        </w:tc>
        <w:tc>
          <w:tcPr>
            <w:tcW w:type="dxa" w:w="4589"/>
          </w:tcPr>
          <w:p>
            <w:pPr>
              <w:spacing w:after="20" w:before="20" w:line="240" w:lineRule="auto"/>
            </w:pPr>
            <w:r/>
            <w:r>
              <w:rPr>
                <w:sz w:val="16"/>
              </w:rPr>
              <w:t>A price under 1% of the middle price is a keying error: counted in its own feature, not as undervaluation</w:t>
            </w:r>
          </w:p>
        </w:tc>
        <w:tc>
          <w:tcPr>
            <w:tcW w:type="dxa" w:w="4130"/>
          </w:tcPr>
          <w:p>
            <w:pPr>
              <w:spacing w:after="20" w:before="20" w:line="240" w:lineRule="auto"/>
            </w:pPr>
            <w:r/>
            <w:r>
              <w:rPr>
                <w:sz w:val="16"/>
              </w:rPr>
              <w:t>Usually a weight in the wrong unit (E12)</w:t>
            </w:r>
          </w:p>
        </w:tc>
      </w:tr>
      <w:tr>
        <w:tc>
          <w:tcPr>
            <w:tcW w:type="dxa" w:w="1032"/>
          </w:tcPr>
          <w:p>
            <w:pPr>
              <w:spacing w:after="20" w:before="20" w:line="240" w:lineRule="auto"/>
            </w:pPr>
            <w:r/>
            <w:r>
              <w:rPr>
                <w:sz w:val="16"/>
              </w:rPr>
              <w:t>Peers</w:t>
            </w:r>
          </w:p>
        </w:tc>
        <w:tc>
          <w:tcPr>
            <w:tcW w:type="dxa" w:w="4589"/>
          </w:tcPr>
          <w:p>
            <w:pPr>
              <w:spacing w:after="20" w:before="20" w:line="240" w:lineRule="auto"/>
            </w:pPr>
            <w:r/>
            <w:r>
              <w:rPr>
                <w:sz w:val="16"/>
              </w:rPr>
              <w:t>A comparison with other importers needs at least 5 importers of the goods</w:t>
            </w:r>
          </w:p>
        </w:tc>
        <w:tc>
          <w:tcPr>
            <w:tcW w:type="dxa" w:w="4130"/>
          </w:tcPr>
          <w:p>
            <w:pPr>
              <w:spacing w:after="20" w:before="20" w:line="240" w:lineRule="auto"/>
            </w:pPr>
            <w:r/>
            <w:r>
              <w:rPr>
                <w:sz w:val="16"/>
              </w:rPr>
              <w:t>One importer must not set the standard</w:t>
            </w:r>
          </w:p>
        </w:tc>
      </w:tr>
      <w:tr>
        <w:tc>
          <w:tcPr>
            <w:tcW w:type="dxa" w:w="1032"/>
          </w:tcPr>
          <w:p>
            <w:pPr>
              <w:spacing w:after="20" w:before="20" w:line="240" w:lineRule="auto"/>
            </w:pPr>
            <w:r/>
            <w:r>
              <w:rPr>
                <w:sz w:val="16"/>
              </w:rPr>
              <w:t>R12</w:t>
            </w:r>
          </w:p>
        </w:tc>
        <w:tc>
          <w:tcPr>
            <w:tcW w:type="dxa" w:w="4589"/>
          </w:tcPr>
          <w:p>
            <w:pPr>
              <w:spacing w:after="20" w:before="20" w:line="240" w:lineRule="auto"/>
            </w:pPr>
            <w:r/>
            <w:r>
              <w:rPr>
                <w:sz w:val="16"/>
              </w:rPr>
              <w:t>A declaration counts as checked when the red or yellow flag is 1</w:t>
            </w:r>
          </w:p>
        </w:tc>
        <w:tc>
          <w:tcPr>
            <w:tcW w:type="dxa" w:w="4130"/>
          </w:tcPr>
          <w:p>
            <w:pPr>
              <w:spacing w:after="20" w:before="20" w:line="240" w:lineRule="auto"/>
            </w:pPr>
            <w:r/>
            <w:r>
              <w:rPr>
                <w:sz w:val="16"/>
              </w:rPr>
              <w:t>Used for testing the model only</w:t>
            </w:r>
          </w:p>
        </w:tc>
      </w:tr>
      <w:tr>
        <w:tc>
          <w:tcPr>
            <w:tcW w:type="dxa" w:w="1032"/>
          </w:tcPr>
          <w:p>
            <w:pPr>
              <w:spacing w:after="20" w:before="20" w:line="240" w:lineRule="auto"/>
            </w:pPr>
            <w:r/>
            <w:r>
              <w:rPr>
                <w:sz w:val="16"/>
              </w:rPr>
              <w:t>Size</w:t>
            </w:r>
          </w:p>
        </w:tc>
        <w:tc>
          <w:tcPr>
            <w:tcW w:type="dxa" w:w="4589"/>
          </w:tcPr>
          <w:p>
            <w:pPr>
              <w:spacing w:after="20" w:before="20" w:line="240" w:lineRule="auto"/>
            </w:pPr>
            <w:r/>
            <w:r>
              <w:rPr>
                <w:sz w:val="16"/>
              </w:rPr>
              <w:t>Fewer than 10 declarations = limited history, ranked on its own list</w:t>
            </w:r>
          </w:p>
        </w:tc>
        <w:tc>
          <w:tcPr>
            <w:tcW w:type="dxa" w:w="4130"/>
          </w:tcPr>
          <w:p>
            <w:pPr>
              <w:spacing w:after="20" w:before="20" w:line="240" w:lineRule="auto"/>
            </w:pPr>
            <w:r/>
            <w:r>
              <w:rPr>
                <w:sz w:val="16"/>
              </w:rPr>
              <w:t>Few declarations say little</w:t>
            </w:r>
          </w:p>
        </w:tc>
      </w:tr>
    </w:tbl>
    <w:p>
      <w:pPr>
        <w:spacing w:after="40"/>
      </w:pPr>
    </w:p>
    <w:p>
      <w:pPr>
        <w:pStyle w:val="Heading2"/>
      </w:pPr>
      <w:r>
        <w:t>5.3 Known Data Issues</w:t>
      </w:r>
    </w:p>
    <w:p>
      <w:pPr>
        <w:spacing w:after="120"/>
      </w:pPr>
      <w:r>
        <w:t>The EDA report (October 2026) lists each known issue with the declarations and taxpayers behind it and how the model handles it: repeated item rows (E02), cancelled declarations (E04), APC 483 (E05), the top-up flag and amounts (E06, E07, E09), blank original tax (E08) and missing value or weight (E11). None found: entries under two declaration IDs (E01) and malformed TINs among imports (E03).</w:t>
      </w:r>
    </w:p>
    <w:p>
      <w:r>
        <w:br w:type="page"/>
      </w:r>
    </w:p>
    <w:p/>
    <w:p/>
    <w:p/>
    <w:p/>
    <w:p/>
    <w:p/>
    <w:p>
      <w:pPr>
        <w:pStyle w:val="Heading1"/>
      </w:pPr>
      <w:r>
        <w:t>PART 6: ACCESS CONTROLS</w:t>
      </w:r>
    </w:p>
    <w:p>
      <w:pPr>
        <w:spacing w:after="120"/>
      </w:pPr>
      <w:r>
        <w:t>Who can see each data asset and how it is protected. The source data stays in the data lake; what leaves it is counted per taxpayer, and the outputs that carry names are confidential.</w:t>
      </w:r>
    </w:p>
    <w:p>
      <w:r>
        <w:br w:type="page"/>
      </w:r>
    </w:p>
    <w:p>
      <w:pPr>
        <w:pStyle w:val="Caption"/>
      </w:pPr>
      <w:r>
        <w:t xml:space="preserve">Table </w:t>
      </w:r>
      <w:r>
        <w:fldChar w:fldCharType="begin"/>
      </w:r>
      <w:r>
        <w:instrText xml:space="preserve"> SEQ Table \* ARABIC </w:instrText>
      </w:r>
      <w:r>
        <w:fldChar w:fldCharType="separate"/>
      </w:r>
      <w:r>
        <w:t>19</w:t>
      </w:r>
      <w:r>
        <w:fldChar w:fldCharType="end"/>
      </w:r>
      <w:r>
        <w:t>: Data Assets, Access and Controls</w:t>
      </w:r>
    </w:p>
    <w:tbl>
      <w:tblPr>
        <w:tblW w:type="auto" w:w="0"/>
        <w:jc w:val="center"/>
        <w:tblLook w:firstColumn="1" w:firstRow="1" w:lastColumn="0" w:lastRow="0" w:noHBand="0" w:noVBand="1" w:val="04A0"/>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Grid>
        <w:gridCol w:w="2438"/>
        <w:gridCol w:w="2438"/>
        <w:gridCol w:w="2438"/>
        <w:gridCol w:w="2438"/>
      </w:tblGrid>
      <w:tr>
        <w:trPr>
          <w:tblHeader w:val="true"/>
        </w:trPr>
        <w:tc>
          <w:tcPr>
            <w:tcW w:type="dxa" w:w="2180"/>
            <w:shd w:val="clear" w:color="auto" w:fill="D9E2F3"/>
          </w:tcPr>
          <w:p>
            <w:pPr>
              <w:spacing w:after="20" w:before="20" w:line="240" w:lineRule="auto"/>
            </w:pPr>
            <w:r/>
            <w:r>
              <w:rPr>
                <w:b/>
                <w:sz w:val="16"/>
              </w:rPr>
              <w:t>Asset</w:t>
            </w:r>
          </w:p>
        </w:tc>
        <w:tc>
          <w:tcPr>
            <w:tcW w:type="dxa" w:w="2065"/>
            <w:shd w:val="clear" w:color="auto" w:fill="D9E2F3"/>
          </w:tcPr>
          <w:p>
            <w:pPr>
              <w:spacing w:after="20" w:before="20" w:line="240" w:lineRule="auto"/>
            </w:pPr>
            <w:r/>
            <w:r>
              <w:rPr>
                <w:b/>
                <w:sz w:val="16"/>
              </w:rPr>
              <w:t>Holds</w:t>
            </w:r>
          </w:p>
        </w:tc>
        <w:tc>
          <w:tcPr>
            <w:tcW w:type="dxa" w:w="2294"/>
            <w:shd w:val="clear" w:color="auto" w:fill="D9E2F3"/>
          </w:tcPr>
          <w:p>
            <w:pPr>
              <w:spacing w:after="20" w:before="20" w:line="240" w:lineRule="auto"/>
            </w:pPr>
            <w:r/>
            <w:r>
              <w:rPr>
                <w:b/>
                <w:sz w:val="16"/>
              </w:rPr>
              <w:t>Who can use it</w:t>
            </w:r>
          </w:p>
        </w:tc>
        <w:tc>
          <w:tcPr>
            <w:tcW w:type="dxa" w:w="3212"/>
            <w:shd w:val="clear" w:color="auto" w:fill="D9E2F3"/>
          </w:tcPr>
          <w:p>
            <w:pPr>
              <w:spacing w:after="20" w:before="20" w:line="240" w:lineRule="auto"/>
            </w:pPr>
            <w:r/>
            <w:r>
              <w:rPr>
                <w:b/>
                <w:sz w:val="16"/>
              </w:rPr>
              <w:t>Control</w:t>
            </w:r>
          </w:p>
        </w:tc>
      </w:tr>
      <w:tr>
        <w:tc>
          <w:tcPr>
            <w:tcW w:type="dxa" w:w="2180"/>
          </w:tcPr>
          <w:p>
            <w:pPr>
              <w:spacing w:after="20" w:before="20" w:line="240" w:lineRule="auto"/>
            </w:pPr>
            <w:r/>
            <w:r>
              <w:rPr>
                <w:sz w:val="16"/>
              </w:rPr>
              <w:t>Source tables and view (data lake)</w:t>
            </w:r>
          </w:p>
        </w:tc>
        <w:tc>
          <w:tcPr>
            <w:tcW w:type="dxa" w:w="2065"/>
          </w:tcPr>
          <w:p>
            <w:pPr>
              <w:spacing w:after="20" w:before="20" w:line="240" w:lineRule="auto"/>
            </w:pPr>
            <w:r/>
            <w:r>
              <w:rPr>
                <w:sz w:val="16"/>
              </w:rPr>
              <w:t>Every declaration and item</w:t>
            </w:r>
          </w:p>
        </w:tc>
        <w:tc>
          <w:tcPr>
            <w:tcW w:type="dxa" w:w="2294"/>
          </w:tcPr>
          <w:p>
            <w:pPr>
              <w:spacing w:after="20" w:before="20" w:line="240" w:lineRule="auto"/>
            </w:pPr>
            <w:r/>
            <w:r>
              <w:rPr>
                <w:sz w:val="16"/>
              </w:rPr>
              <w:t>Users granted access by Data Engineering</w:t>
            </w:r>
          </w:p>
        </w:tc>
        <w:tc>
          <w:tcPr>
            <w:tcW w:type="dxa" w:w="3212"/>
          </w:tcPr>
          <w:p>
            <w:pPr>
              <w:spacing w:after="20" w:before="20" w:line="240" w:lineRule="auto"/>
            </w:pPr>
            <w:r/>
            <w:r>
              <w:rPr>
                <w:sz w:val="16"/>
              </w:rPr>
              <w:t>Read only, with a personal data lake login, through Hue</w:t>
            </w:r>
          </w:p>
        </w:tc>
      </w:tr>
      <w:tr>
        <w:tc>
          <w:tcPr>
            <w:tcW w:type="dxa" w:w="2180"/>
          </w:tcPr>
          <w:p>
            <w:pPr>
              <w:spacing w:after="20" w:before="20" w:line="240" w:lineRule="auto"/>
            </w:pPr>
            <w:r/>
            <w:r>
              <w:rPr>
                <w:sz w:val="16"/>
              </w:rPr>
              <w:t>Queries (sql/) and code (src/)</w:t>
            </w:r>
          </w:p>
        </w:tc>
        <w:tc>
          <w:tcPr>
            <w:tcW w:type="dxa" w:w="2065"/>
          </w:tcPr>
          <w:p>
            <w:pPr>
              <w:spacing w:after="20" w:before="20" w:line="240" w:lineRule="auto"/>
            </w:pPr>
            <w:r/>
            <w:r>
              <w:rPr>
                <w:sz w:val="16"/>
              </w:rPr>
              <w:t>Rules and formulas; no taxpayer data</w:t>
            </w:r>
          </w:p>
        </w:tc>
        <w:tc>
          <w:tcPr>
            <w:tcW w:type="dxa" w:w="2294"/>
          </w:tcPr>
          <w:p>
            <w:pPr>
              <w:spacing w:after="20" w:before="20" w:line="240" w:lineRule="auto"/>
            </w:pPr>
            <w:r/>
            <w:r>
              <w:rPr>
                <w:sz w:val="16"/>
              </w:rPr>
              <w:t>Data Science</w:t>
            </w:r>
          </w:p>
        </w:tc>
        <w:tc>
          <w:tcPr>
            <w:tcW w:type="dxa" w:w="3212"/>
          </w:tcPr>
          <w:p>
            <w:pPr>
              <w:spacing w:after="20" w:before="20" w:line="240" w:lineRule="auto"/>
            </w:pPr>
            <w:r/>
            <w:r>
              <w:rPr>
                <w:sz w:val="16"/>
              </w:rPr>
              <w:t>Kept with the project; changes recorded in the decision log</w:t>
            </w:r>
          </w:p>
        </w:tc>
      </w:tr>
      <w:tr>
        <w:tc>
          <w:tcPr>
            <w:tcW w:type="dxa" w:w="2180"/>
          </w:tcPr>
          <w:p>
            <w:pPr>
              <w:spacing w:after="20" w:before="20" w:line="240" w:lineRule="auto"/>
            </w:pPr>
            <w:r/>
            <w:r>
              <w:rPr>
                <w:sz w:val="16"/>
              </w:rPr>
              <w:t>Extracts (data/*.csv)</w:t>
            </w:r>
          </w:p>
        </w:tc>
        <w:tc>
          <w:tcPr>
            <w:tcW w:type="dxa" w:w="2065"/>
          </w:tcPr>
          <w:p>
            <w:pPr>
              <w:spacing w:after="20" w:before="20" w:line="240" w:lineRule="auto"/>
            </w:pPr>
            <w:r/>
            <w:r>
              <w:rPr>
                <w:sz w:val="16"/>
              </w:rPr>
              <w:t>One row per TIN with counts; no names</w:t>
            </w:r>
          </w:p>
        </w:tc>
        <w:tc>
          <w:tcPr>
            <w:tcW w:type="dxa" w:w="2294"/>
          </w:tcPr>
          <w:p>
            <w:pPr>
              <w:spacing w:after="20" w:before="20" w:line="240" w:lineRule="auto"/>
            </w:pPr>
            <w:r/>
            <w:r>
              <w:rPr>
                <w:sz w:val="16"/>
              </w:rPr>
              <w:t>Data Science</w:t>
            </w:r>
          </w:p>
        </w:tc>
        <w:tc>
          <w:tcPr>
            <w:tcW w:type="dxa" w:w="3212"/>
          </w:tcPr>
          <w:p>
            <w:pPr>
              <w:spacing w:after="20" w:before="20" w:line="240" w:lineRule="auto"/>
            </w:pPr>
            <w:r/>
            <w:r>
              <w:rPr>
                <w:sz w:val="16"/>
              </w:rPr>
              <w:t>Confidential; kept in the project folder on a URA workstation</w:t>
            </w:r>
          </w:p>
        </w:tc>
      </w:tr>
      <w:tr>
        <w:tc>
          <w:tcPr>
            <w:tcW w:type="dxa" w:w="2180"/>
          </w:tcPr>
          <w:p>
            <w:pPr>
              <w:spacing w:after="20" w:before="20" w:line="240" w:lineRule="auto"/>
            </w:pPr>
            <w:r/>
            <w:r>
              <w:rPr>
                <w:sz w:val="16"/>
              </w:rPr>
              <w:t>Score and evidence workbooks (results/)</w:t>
            </w:r>
          </w:p>
        </w:tc>
        <w:tc>
          <w:tcPr>
            <w:tcW w:type="dxa" w:w="2065"/>
          </w:tcPr>
          <w:p>
            <w:pPr>
              <w:spacing w:after="20" w:before="20" w:line="240" w:lineRule="auto"/>
            </w:pPr>
            <w:r/>
            <w:r>
              <w:rPr>
                <w:sz w:val="16"/>
              </w:rPr>
              <w:t>TINs, names, scores and entries</w:t>
            </w:r>
          </w:p>
        </w:tc>
        <w:tc>
          <w:tcPr>
            <w:tcW w:type="dxa" w:w="2294"/>
          </w:tcPr>
          <w:p>
            <w:pPr>
              <w:spacing w:after="20" w:before="20" w:line="240" w:lineRule="auto"/>
            </w:pPr>
            <w:r/>
            <w:r>
              <w:rPr>
                <w:sz w:val="16"/>
              </w:rPr>
              <w:t>Data Science; Customs Risk Management and NTC for review</w:t>
            </w:r>
          </w:p>
        </w:tc>
        <w:tc>
          <w:tcPr>
            <w:tcW w:type="dxa" w:w="3212"/>
          </w:tcPr>
          <w:p>
            <w:pPr>
              <w:spacing w:after="20" w:before="20" w:line="240" w:lineRule="auto"/>
            </w:pPr>
            <w:r/>
            <w:r>
              <w:rPr>
                <w:sz w:val="16"/>
              </w:rPr>
              <w:t>Confidential; marked "internal use only"; shared internally only</w:t>
            </w:r>
          </w:p>
        </w:tc>
      </w:tr>
      <w:tr>
        <w:tc>
          <w:tcPr>
            <w:tcW w:type="dxa" w:w="2180"/>
          </w:tcPr>
          <w:p>
            <w:pPr>
              <w:spacing w:after="20" w:before="20" w:line="240" w:lineRule="auto"/>
            </w:pPr>
            <w:r/>
            <w:r>
              <w:rPr>
                <w:sz w:val="16"/>
              </w:rPr>
              <w:t>Data lake password</w:t>
            </w:r>
          </w:p>
        </w:tc>
        <w:tc>
          <w:tcPr>
            <w:tcW w:type="dxa" w:w="2065"/>
          </w:tcPr>
          <w:p>
            <w:pPr>
              <w:spacing w:after="20" w:before="20" w:line="240" w:lineRule="auto"/>
            </w:pPr>
            <w:r/>
            <w:r>
              <w:rPr>
                <w:sz w:val="16"/>
              </w:rPr>
              <w:t>Login</w:t>
            </w:r>
          </w:p>
        </w:tc>
        <w:tc>
          <w:tcPr>
            <w:tcW w:type="dxa" w:w="2294"/>
          </w:tcPr>
          <w:p>
            <w:pPr>
              <w:spacing w:after="20" w:before="20" w:line="240" w:lineRule="auto"/>
            </w:pPr>
            <w:r/>
            <w:r>
              <w:rPr>
                <w:sz w:val="16"/>
              </w:rPr>
              <w:t>The officer only</w:t>
            </w:r>
          </w:p>
        </w:tc>
        <w:tc>
          <w:tcPr>
            <w:tcW w:type="dxa" w:w="3212"/>
          </w:tcPr>
          <w:p>
            <w:pPr>
              <w:spacing w:after="20" w:before="20" w:line="240" w:lineRule="auto"/>
            </w:pPr>
            <w:r/>
            <w:r>
              <w:rPr>
                <w:sz w:val="16"/>
              </w:rPr>
              <w:t>Never written in code or files; typed at run time or set for the session only</w:t>
            </w:r>
          </w:p>
        </w:tc>
      </w:tr>
    </w:tbl>
    <w:p>
      <w:pPr>
        <w:spacing w:after="40"/>
      </w:pPr>
    </w:p>
    <w:sectPr w:rsidR="00AF3E2F" w:rsidRPr="00F7156B" w:rsidSect="0098200B">
      <w:footerReference w:type="default" r:id="rId25"/>
      <w:headerReference w:type="default" r:id="rId26"/>
      <w:pgSz w:w="11906" w:h="16838" w:code="9"/>
      <w:pgMar w:top="1440" w:right="1077" w:bottom="1440" w:left="1077" w:header="706" w:footer="706"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586F" w:rsidRDefault="008A586F">
      <w:r>
        <w:separator/>
      </w:r>
    </w:p>
    <w:p w:rsidR="008A586F" w:rsidRDefault="008A586F"/>
    <w:p w:rsidR="008A586F" w:rsidRDefault="008A586F" w:rsidP="004E1DE7"/>
    <w:p w:rsidR="008A586F" w:rsidRDefault="008A586F" w:rsidP="00646C6E"/>
  </w:endnote>
  <w:endnote w:type="continuationSeparator" w:id="0">
    <w:p w:rsidR="008A586F" w:rsidRDefault="008A586F">
      <w:r>
        <w:continuationSeparator/>
      </w:r>
    </w:p>
    <w:p w:rsidR="008A586F" w:rsidRDefault="008A586F"/>
    <w:p w:rsidR="008A586F" w:rsidRDefault="008A586F" w:rsidP="004E1DE7"/>
    <w:p w:rsidR="008A586F" w:rsidRDefault="008A586F" w:rsidP="00646C6E"/>
  </w:endnote>
  <w:endnote w:type="continuationNotice" w:id="1">
    <w:p w:rsidR="008A586F" w:rsidRDefault="008A586F"/>
    <w:p w:rsidR="008A586F" w:rsidRDefault="008A586F"/>
    <w:p w:rsidR="008A586F" w:rsidRDefault="008A586F" w:rsidP="004E1DE7"/>
    <w:p w:rsidR="008A586F" w:rsidRDefault="008A586F" w:rsidP="00646C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30865677"/>
      <w:docPartObj>
        <w:docPartGallery w:val="Page Numbers (Bottom of Page)"/>
        <w:docPartUnique/>
      </w:docPartObj>
    </w:sdtPr>
    <w:sdtEndPr>
      <w:rPr>
        <w:rStyle w:val="PageNumber"/>
      </w:rPr>
    </w:sdtEndPr>
    <w:sdtContent>
      <w:p w:rsidR="009D7C80" w:rsidRDefault="009D7C80" w:rsidP="00DF23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261090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9D7C80" w:rsidRDefault="009D7C80" w:rsidP="003E540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4340124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1DFA84F2">
      <w:trPr>
        <w:trHeight w:val="300"/>
      </w:trPr>
      <w:tc>
        <w:tcPr>
          <w:tcW w:w="4065" w:type="dxa"/>
        </w:tcPr>
        <w:p w:rsidR="009D7C80" w:rsidRDefault="009D7C80" w:rsidP="1DFA84F2">
          <w:pPr>
            <w:ind w:left="-115"/>
          </w:pPr>
        </w:p>
      </w:tc>
      <w:tc>
        <w:tcPr>
          <w:tcW w:w="4065" w:type="dxa"/>
        </w:tcPr>
        <w:p w:rsidR="009D7C80" w:rsidRDefault="009D7C80" w:rsidP="1DFA84F2">
          <w:pPr>
            <w:jc w:val="center"/>
          </w:pPr>
        </w:p>
      </w:tc>
      <w:tc>
        <w:tcPr>
          <w:tcW w:w="4065" w:type="dxa"/>
        </w:tcPr>
        <w:p w:rsidR="009D7C80" w:rsidRDefault="009D7C80" w:rsidP="1DFA84F2">
          <w:pPr>
            <w:ind w:right="-115"/>
            <w:jc w:val="right"/>
          </w:pP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66665106"/>
      <w:docPartObj>
        <w:docPartGallery w:val="Page Numbers (Bottom of Page)"/>
        <w:docPartUnique/>
      </w:docPartObj>
    </w:sdtPr>
    <w:sdtEndPr>
      <w:rPr>
        <w:rStyle w:val="PageNumber"/>
      </w:rPr>
    </w:sdtEndPr>
    <w:sdtContent>
      <w:p w:rsidR="009D7C80" w:rsidRDefault="009D7C80" w:rsidP="00082D4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rsidR="009D7C80" w:rsidRDefault="009D7C80" w:rsidP="00F7156B"/>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586F" w:rsidRDefault="008A586F">
      <w:r>
        <w:separator/>
      </w:r>
    </w:p>
    <w:p w:rsidR="008A586F" w:rsidRDefault="008A586F"/>
    <w:p w:rsidR="008A586F" w:rsidRDefault="008A586F" w:rsidP="004E1DE7"/>
    <w:p w:rsidR="008A586F" w:rsidRDefault="008A586F" w:rsidP="00646C6E"/>
  </w:footnote>
  <w:footnote w:type="continuationSeparator" w:id="0">
    <w:p w:rsidR="008A586F" w:rsidRDefault="008A586F">
      <w:r>
        <w:continuationSeparator/>
      </w:r>
    </w:p>
    <w:p w:rsidR="008A586F" w:rsidRDefault="008A586F"/>
    <w:p w:rsidR="008A586F" w:rsidRDefault="008A586F" w:rsidP="004E1DE7"/>
    <w:p w:rsidR="008A586F" w:rsidRDefault="008A586F" w:rsidP="00646C6E"/>
  </w:footnote>
  <w:footnote w:type="continuationNotice" w:id="1">
    <w:p w:rsidR="008A586F" w:rsidRDefault="008A586F"/>
    <w:p w:rsidR="008A586F" w:rsidRDefault="008A586F"/>
    <w:p w:rsidR="008A586F" w:rsidRDefault="008A586F" w:rsidP="004E1DE7"/>
    <w:p w:rsidR="008A586F" w:rsidRDefault="008A586F" w:rsidP="00646C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7D3BB2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248"/>
      <w:gridCol w:w="3249"/>
      <w:gridCol w:w="3249"/>
    </w:tblGrid>
    <w:tr w:rsidR="009D7C80" w:rsidTr="7D3BB252">
      <w:trPr>
        <w:trHeight w:val="300"/>
      </w:trPr>
      <w:tc>
        <w:tcPr>
          <w:tcW w:w="4065" w:type="dxa"/>
        </w:tcPr>
        <w:p w:rsidR="009D7C80" w:rsidRDefault="009D7C80" w:rsidP="7D3BB252">
          <w:pPr>
            <w:pStyle w:val="Header"/>
            <w:ind w:left="-115"/>
          </w:pPr>
        </w:p>
      </w:tc>
      <w:tc>
        <w:tcPr>
          <w:tcW w:w="4065" w:type="dxa"/>
        </w:tcPr>
        <w:p w:rsidR="009D7C80" w:rsidRDefault="009D7C80" w:rsidP="7D3BB252">
          <w:pPr>
            <w:pStyle w:val="Header"/>
            <w:jc w:val="center"/>
          </w:pPr>
        </w:p>
      </w:tc>
      <w:tc>
        <w:tcPr>
          <w:tcW w:w="4065" w:type="dxa"/>
        </w:tcPr>
        <w:p w:rsidR="009D7C80" w:rsidRDefault="009D7C80" w:rsidP="7D3BB252">
          <w:pPr>
            <w:pStyle w:val="Header"/>
            <w:ind w:right="-115"/>
            <w:jc w:val="right"/>
          </w:pPr>
        </w:p>
      </w:tc>
    </w:tr>
  </w:tbl>
  <w:p w:rsidR="009D7C80" w:rsidRDefault="009D7C80" w:rsidP="009D7C80">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6EA2"/>
    <w:multiLevelType w:val="hybridMultilevel"/>
    <w:tmpl w:val="2A4C006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30E9B"/>
    <w:multiLevelType w:val="hybridMultilevel"/>
    <w:tmpl w:val="63FA0408"/>
    <w:lvl w:ilvl="0" w:tplc="E2243F7E">
      <w:start w:val="1"/>
      <w:numFmt w:val="bullet"/>
      <w:lvlText w:val=""/>
      <w:lvlJc w:val="left"/>
      <w:pPr>
        <w:ind w:left="360" w:hanging="360"/>
      </w:pPr>
      <w:rPr>
        <w:rFonts w:ascii="Symbol" w:hAnsi="Symbol" w:hint="default"/>
      </w:rPr>
    </w:lvl>
    <w:lvl w:ilvl="1" w:tplc="2C8C6B6C">
      <w:start w:val="1"/>
      <w:numFmt w:val="bullet"/>
      <w:lvlText w:val="o"/>
      <w:lvlJc w:val="left"/>
      <w:pPr>
        <w:ind w:left="1080" w:hanging="360"/>
      </w:pPr>
      <w:rPr>
        <w:rFonts w:ascii="Courier New" w:hAnsi="Courier New" w:hint="default"/>
      </w:rPr>
    </w:lvl>
    <w:lvl w:ilvl="2" w:tplc="83F841E6">
      <w:start w:val="1"/>
      <w:numFmt w:val="bullet"/>
      <w:lvlText w:val=""/>
      <w:lvlJc w:val="left"/>
      <w:pPr>
        <w:ind w:left="1800" w:hanging="360"/>
      </w:pPr>
      <w:rPr>
        <w:rFonts w:ascii="Wingdings" w:hAnsi="Wingdings" w:hint="default"/>
      </w:rPr>
    </w:lvl>
    <w:lvl w:ilvl="3" w:tplc="9392C1AC">
      <w:start w:val="1"/>
      <w:numFmt w:val="bullet"/>
      <w:lvlText w:val=""/>
      <w:lvlJc w:val="left"/>
      <w:pPr>
        <w:ind w:left="2520" w:hanging="360"/>
      </w:pPr>
      <w:rPr>
        <w:rFonts w:ascii="Symbol" w:hAnsi="Symbol" w:hint="default"/>
      </w:rPr>
    </w:lvl>
    <w:lvl w:ilvl="4" w:tplc="83667E06">
      <w:start w:val="1"/>
      <w:numFmt w:val="bullet"/>
      <w:lvlText w:val="o"/>
      <w:lvlJc w:val="left"/>
      <w:pPr>
        <w:ind w:left="3240" w:hanging="360"/>
      </w:pPr>
      <w:rPr>
        <w:rFonts w:ascii="Courier New" w:hAnsi="Courier New" w:hint="default"/>
      </w:rPr>
    </w:lvl>
    <w:lvl w:ilvl="5" w:tplc="3A2C255A">
      <w:start w:val="1"/>
      <w:numFmt w:val="bullet"/>
      <w:lvlText w:val=""/>
      <w:lvlJc w:val="left"/>
      <w:pPr>
        <w:ind w:left="3960" w:hanging="360"/>
      </w:pPr>
      <w:rPr>
        <w:rFonts w:ascii="Wingdings" w:hAnsi="Wingdings" w:hint="default"/>
      </w:rPr>
    </w:lvl>
    <w:lvl w:ilvl="6" w:tplc="78BE9F88">
      <w:start w:val="1"/>
      <w:numFmt w:val="bullet"/>
      <w:lvlText w:val=""/>
      <w:lvlJc w:val="left"/>
      <w:pPr>
        <w:ind w:left="4680" w:hanging="360"/>
      </w:pPr>
      <w:rPr>
        <w:rFonts w:ascii="Symbol" w:hAnsi="Symbol" w:hint="default"/>
      </w:rPr>
    </w:lvl>
    <w:lvl w:ilvl="7" w:tplc="B0F65DFE">
      <w:start w:val="1"/>
      <w:numFmt w:val="bullet"/>
      <w:lvlText w:val="o"/>
      <w:lvlJc w:val="left"/>
      <w:pPr>
        <w:ind w:left="5400" w:hanging="360"/>
      </w:pPr>
      <w:rPr>
        <w:rFonts w:ascii="Courier New" w:hAnsi="Courier New" w:hint="default"/>
      </w:rPr>
    </w:lvl>
    <w:lvl w:ilvl="8" w:tplc="460482AA">
      <w:start w:val="1"/>
      <w:numFmt w:val="bullet"/>
      <w:lvlText w:val=""/>
      <w:lvlJc w:val="left"/>
      <w:pPr>
        <w:ind w:left="6120" w:hanging="360"/>
      </w:pPr>
      <w:rPr>
        <w:rFonts w:ascii="Wingdings" w:hAnsi="Wingdings" w:hint="default"/>
      </w:rPr>
    </w:lvl>
  </w:abstractNum>
  <w:abstractNum w:abstractNumId="2" w15:restartNumberingAfterBreak="0">
    <w:nsid w:val="08E44867"/>
    <w:multiLevelType w:val="hybridMultilevel"/>
    <w:tmpl w:val="99386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D26F72"/>
    <w:multiLevelType w:val="hybridMultilevel"/>
    <w:tmpl w:val="4080F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D3006"/>
    <w:multiLevelType w:val="hybridMultilevel"/>
    <w:tmpl w:val="16DA14F2"/>
    <w:lvl w:ilvl="0" w:tplc="EEACD134">
      <w:start w:val="1"/>
      <w:numFmt w:val="bullet"/>
      <w:lvlText w:val=""/>
      <w:lvlJc w:val="left"/>
      <w:pPr>
        <w:ind w:left="720" w:hanging="360"/>
      </w:pPr>
      <w:rPr>
        <w:rFonts w:ascii="Symbol" w:hAnsi="Symbol" w:hint="default"/>
      </w:rPr>
    </w:lvl>
    <w:lvl w:ilvl="1" w:tplc="4CC6BD6C">
      <w:start w:val="1"/>
      <w:numFmt w:val="bullet"/>
      <w:lvlText w:val="o"/>
      <w:lvlJc w:val="left"/>
      <w:pPr>
        <w:ind w:left="1440" w:hanging="360"/>
      </w:pPr>
      <w:rPr>
        <w:rFonts w:ascii="Courier New" w:hAnsi="Courier New" w:hint="default"/>
      </w:rPr>
    </w:lvl>
    <w:lvl w:ilvl="2" w:tplc="7AA0D4C0">
      <w:start w:val="1"/>
      <w:numFmt w:val="bullet"/>
      <w:lvlText w:val=""/>
      <w:lvlJc w:val="left"/>
      <w:pPr>
        <w:ind w:left="2160" w:hanging="360"/>
      </w:pPr>
      <w:rPr>
        <w:rFonts w:ascii="Wingdings" w:hAnsi="Wingdings" w:hint="default"/>
      </w:rPr>
    </w:lvl>
    <w:lvl w:ilvl="3" w:tplc="71CC0DAE">
      <w:start w:val="1"/>
      <w:numFmt w:val="bullet"/>
      <w:lvlText w:val=""/>
      <w:lvlJc w:val="left"/>
      <w:pPr>
        <w:ind w:left="2880" w:hanging="360"/>
      </w:pPr>
      <w:rPr>
        <w:rFonts w:ascii="Symbol" w:hAnsi="Symbol" w:hint="default"/>
      </w:rPr>
    </w:lvl>
    <w:lvl w:ilvl="4" w:tplc="11B83AC4">
      <w:start w:val="1"/>
      <w:numFmt w:val="bullet"/>
      <w:lvlText w:val="o"/>
      <w:lvlJc w:val="left"/>
      <w:pPr>
        <w:ind w:left="3600" w:hanging="360"/>
      </w:pPr>
      <w:rPr>
        <w:rFonts w:ascii="Courier New" w:hAnsi="Courier New" w:hint="default"/>
      </w:rPr>
    </w:lvl>
    <w:lvl w:ilvl="5" w:tplc="D9505A42">
      <w:start w:val="1"/>
      <w:numFmt w:val="bullet"/>
      <w:lvlText w:val=""/>
      <w:lvlJc w:val="left"/>
      <w:pPr>
        <w:ind w:left="4320" w:hanging="360"/>
      </w:pPr>
      <w:rPr>
        <w:rFonts w:ascii="Wingdings" w:hAnsi="Wingdings" w:hint="default"/>
      </w:rPr>
    </w:lvl>
    <w:lvl w:ilvl="6" w:tplc="FF7A86F0">
      <w:start w:val="1"/>
      <w:numFmt w:val="bullet"/>
      <w:lvlText w:val=""/>
      <w:lvlJc w:val="left"/>
      <w:pPr>
        <w:ind w:left="5040" w:hanging="360"/>
      </w:pPr>
      <w:rPr>
        <w:rFonts w:ascii="Symbol" w:hAnsi="Symbol" w:hint="default"/>
      </w:rPr>
    </w:lvl>
    <w:lvl w:ilvl="7" w:tplc="4ED22F12">
      <w:start w:val="1"/>
      <w:numFmt w:val="bullet"/>
      <w:lvlText w:val="o"/>
      <w:lvlJc w:val="left"/>
      <w:pPr>
        <w:ind w:left="5760" w:hanging="360"/>
      </w:pPr>
      <w:rPr>
        <w:rFonts w:ascii="Courier New" w:hAnsi="Courier New" w:hint="default"/>
      </w:rPr>
    </w:lvl>
    <w:lvl w:ilvl="8" w:tplc="2C46FEA6">
      <w:start w:val="1"/>
      <w:numFmt w:val="bullet"/>
      <w:lvlText w:val=""/>
      <w:lvlJc w:val="left"/>
      <w:pPr>
        <w:ind w:left="6480" w:hanging="360"/>
      </w:pPr>
      <w:rPr>
        <w:rFonts w:ascii="Wingdings" w:hAnsi="Wingdings" w:hint="default"/>
      </w:rPr>
    </w:lvl>
  </w:abstractNum>
  <w:abstractNum w:abstractNumId="5" w15:restartNumberingAfterBreak="0">
    <w:nsid w:val="13FEF0E7"/>
    <w:multiLevelType w:val="hybridMultilevel"/>
    <w:tmpl w:val="061CA94E"/>
    <w:lvl w:ilvl="0" w:tplc="881C414E">
      <w:start w:val="1"/>
      <w:numFmt w:val="bullet"/>
      <w:lvlText w:val=""/>
      <w:lvlJc w:val="left"/>
      <w:pPr>
        <w:ind w:left="720" w:hanging="360"/>
      </w:pPr>
      <w:rPr>
        <w:rFonts w:ascii="Symbol" w:hAnsi="Symbol" w:hint="default"/>
      </w:rPr>
    </w:lvl>
    <w:lvl w:ilvl="1" w:tplc="A65EFA46">
      <w:start w:val="1"/>
      <w:numFmt w:val="bullet"/>
      <w:lvlText w:val="o"/>
      <w:lvlJc w:val="left"/>
      <w:pPr>
        <w:ind w:left="1440" w:hanging="360"/>
      </w:pPr>
      <w:rPr>
        <w:rFonts w:ascii="Courier New" w:hAnsi="Courier New" w:hint="default"/>
      </w:rPr>
    </w:lvl>
    <w:lvl w:ilvl="2" w:tplc="0DE8C39C">
      <w:start w:val="1"/>
      <w:numFmt w:val="bullet"/>
      <w:lvlText w:val=""/>
      <w:lvlJc w:val="left"/>
      <w:pPr>
        <w:ind w:left="2160" w:hanging="360"/>
      </w:pPr>
      <w:rPr>
        <w:rFonts w:ascii="Wingdings" w:hAnsi="Wingdings" w:hint="default"/>
      </w:rPr>
    </w:lvl>
    <w:lvl w:ilvl="3" w:tplc="CF7E994C">
      <w:start w:val="1"/>
      <w:numFmt w:val="bullet"/>
      <w:lvlText w:val=""/>
      <w:lvlJc w:val="left"/>
      <w:pPr>
        <w:ind w:left="2880" w:hanging="360"/>
      </w:pPr>
      <w:rPr>
        <w:rFonts w:ascii="Symbol" w:hAnsi="Symbol" w:hint="default"/>
      </w:rPr>
    </w:lvl>
    <w:lvl w:ilvl="4" w:tplc="8CA068FC">
      <w:start w:val="1"/>
      <w:numFmt w:val="bullet"/>
      <w:lvlText w:val="o"/>
      <w:lvlJc w:val="left"/>
      <w:pPr>
        <w:ind w:left="3600" w:hanging="360"/>
      </w:pPr>
      <w:rPr>
        <w:rFonts w:ascii="Courier New" w:hAnsi="Courier New" w:hint="default"/>
      </w:rPr>
    </w:lvl>
    <w:lvl w:ilvl="5" w:tplc="1E96D268">
      <w:start w:val="1"/>
      <w:numFmt w:val="bullet"/>
      <w:lvlText w:val=""/>
      <w:lvlJc w:val="left"/>
      <w:pPr>
        <w:ind w:left="4320" w:hanging="360"/>
      </w:pPr>
      <w:rPr>
        <w:rFonts w:ascii="Wingdings" w:hAnsi="Wingdings" w:hint="default"/>
      </w:rPr>
    </w:lvl>
    <w:lvl w:ilvl="6" w:tplc="85463564">
      <w:start w:val="1"/>
      <w:numFmt w:val="bullet"/>
      <w:lvlText w:val=""/>
      <w:lvlJc w:val="left"/>
      <w:pPr>
        <w:ind w:left="5040" w:hanging="360"/>
      </w:pPr>
      <w:rPr>
        <w:rFonts w:ascii="Symbol" w:hAnsi="Symbol" w:hint="default"/>
      </w:rPr>
    </w:lvl>
    <w:lvl w:ilvl="7" w:tplc="A5183C2A">
      <w:start w:val="1"/>
      <w:numFmt w:val="bullet"/>
      <w:lvlText w:val="o"/>
      <w:lvlJc w:val="left"/>
      <w:pPr>
        <w:ind w:left="5760" w:hanging="360"/>
      </w:pPr>
      <w:rPr>
        <w:rFonts w:ascii="Courier New" w:hAnsi="Courier New" w:hint="default"/>
      </w:rPr>
    </w:lvl>
    <w:lvl w:ilvl="8" w:tplc="89D88496">
      <w:start w:val="1"/>
      <w:numFmt w:val="bullet"/>
      <w:lvlText w:val=""/>
      <w:lvlJc w:val="left"/>
      <w:pPr>
        <w:ind w:left="6480" w:hanging="360"/>
      </w:pPr>
      <w:rPr>
        <w:rFonts w:ascii="Wingdings" w:hAnsi="Wingdings" w:hint="default"/>
      </w:rPr>
    </w:lvl>
  </w:abstractNum>
  <w:abstractNum w:abstractNumId="6" w15:restartNumberingAfterBreak="0">
    <w:nsid w:val="17E1DA77"/>
    <w:multiLevelType w:val="hybridMultilevel"/>
    <w:tmpl w:val="FA5A0C56"/>
    <w:lvl w:ilvl="0" w:tplc="BA3C441E">
      <w:start w:val="1"/>
      <w:numFmt w:val="bullet"/>
      <w:lvlText w:val=""/>
      <w:lvlJc w:val="left"/>
      <w:pPr>
        <w:ind w:left="720" w:hanging="360"/>
      </w:pPr>
      <w:rPr>
        <w:rFonts w:ascii="Symbol" w:hAnsi="Symbol" w:hint="default"/>
      </w:rPr>
    </w:lvl>
    <w:lvl w:ilvl="1" w:tplc="B1A0EA72">
      <w:start w:val="1"/>
      <w:numFmt w:val="bullet"/>
      <w:lvlText w:val="o"/>
      <w:lvlJc w:val="left"/>
      <w:pPr>
        <w:ind w:left="1440" w:hanging="360"/>
      </w:pPr>
      <w:rPr>
        <w:rFonts w:ascii="Courier New" w:hAnsi="Courier New" w:hint="default"/>
      </w:rPr>
    </w:lvl>
    <w:lvl w:ilvl="2" w:tplc="9E546C90">
      <w:start w:val="1"/>
      <w:numFmt w:val="bullet"/>
      <w:lvlText w:val=""/>
      <w:lvlJc w:val="left"/>
      <w:pPr>
        <w:ind w:left="2160" w:hanging="360"/>
      </w:pPr>
      <w:rPr>
        <w:rFonts w:ascii="Wingdings" w:hAnsi="Wingdings" w:hint="default"/>
      </w:rPr>
    </w:lvl>
    <w:lvl w:ilvl="3" w:tplc="5BE021E4">
      <w:start w:val="1"/>
      <w:numFmt w:val="bullet"/>
      <w:lvlText w:val=""/>
      <w:lvlJc w:val="left"/>
      <w:pPr>
        <w:ind w:left="2880" w:hanging="360"/>
      </w:pPr>
      <w:rPr>
        <w:rFonts w:ascii="Symbol" w:hAnsi="Symbol" w:hint="default"/>
      </w:rPr>
    </w:lvl>
    <w:lvl w:ilvl="4" w:tplc="A154880C">
      <w:start w:val="1"/>
      <w:numFmt w:val="bullet"/>
      <w:lvlText w:val="o"/>
      <w:lvlJc w:val="left"/>
      <w:pPr>
        <w:ind w:left="3600" w:hanging="360"/>
      </w:pPr>
      <w:rPr>
        <w:rFonts w:ascii="Courier New" w:hAnsi="Courier New" w:hint="default"/>
      </w:rPr>
    </w:lvl>
    <w:lvl w:ilvl="5" w:tplc="D78810EA">
      <w:start w:val="1"/>
      <w:numFmt w:val="bullet"/>
      <w:lvlText w:val=""/>
      <w:lvlJc w:val="left"/>
      <w:pPr>
        <w:ind w:left="4320" w:hanging="360"/>
      </w:pPr>
      <w:rPr>
        <w:rFonts w:ascii="Wingdings" w:hAnsi="Wingdings" w:hint="default"/>
      </w:rPr>
    </w:lvl>
    <w:lvl w:ilvl="6" w:tplc="6352D494">
      <w:start w:val="1"/>
      <w:numFmt w:val="bullet"/>
      <w:lvlText w:val=""/>
      <w:lvlJc w:val="left"/>
      <w:pPr>
        <w:ind w:left="5040" w:hanging="360"/>
      </w:pPr>
      <w:rPr>
        <w:rFonts w:ascii="Symbol" w:hAnsi="Symbol" w:hint="default"/>
      </w:rPr>
    </w:lvl>
    <w:lvl w:ilvl="7" w:tplc="C1B23F88">
      <w:start w:val="1"/>
      <w:numFmt w:val="bullet"/>
      <w:lvlText w:val="o"/>
      <w:lvlJc w:val="left"/>
      <w:pPr>
        <w:ind w:left="5760" w:hanging="360"/>
      </w:pPr>
      <w:rPr>
        <w:rFonts w:ascii="Courier New" w:hAnsi="Courier New" w:hint="default"/>
      </w:rPr>
    </w:lvl>
    <w:lvl w:ilvl="8" w:tplc="D55A69C0">
      <w:start w:val="1"/>
      <w:numFmt w:val="bullet"/>
      <w:lvlText w:val=""/>
      <w:lvlJc w:val="left"/>
      <w:pPr>
        <w:ind w:left="6480" w:hanging="360"/>
      </w:pPr>
      <w:rPr>
        <w:rFonts w:ascii="Wingdings" w:hAnsi="Wingdings" w:hint="default"/>
      </w:rPr>
    </w:lvl>
  </w:abstractNum>
  <w:abstractNum w:abstractNumId="7" w15:restartNumberingAfterBreak="0">
    <w:nsid w:val="18DFFC26"/>
    <w:multiLevelType w:val="hybridMultilevel"/>
    <w:tmpl w:val="22627076"/>
    <w:lvl w:ilvl="0" w:tplc="E56CE25E">
      <w:start w:val="1"/>
      <w:numFmt w:val="bullet"/>
      <w:lvlText w:val=""/>
      <w:lvlJc w:val="left"/>
      <w:pPr>
        <w:ind w:left="360" w:hanging="360"/>
      </w:pPr>
      <w:rPr>
        <w:rFonts w:ascii="Symbol" w:hAnsi="Symbol" w:hint="default"/>
      </w:rPr>
    </w:lvl>
    <w:lvl w:ilvl="1" w:tplc="F45E8258">
      <w:start w:val="1"/>
      <w:numFmt w:val="bullet"/>
      <w:lvlText w:val="o"/>
      <w:lvlJc w:val="left"/>
      <w:pPr>
        <w:ind w:left="1080" w:hanging="360"/>
      </w:pPr>
      <w:rPr>
        <w:rFonts w:ascii="Courier New" w:hAnsi="Courier New" w:hint="default"/>
      </w:rPr>
    </w:lvl>
    <w:lvl w:ilvl="2" w:tplc="D94858B8">
      <w:start w:val="1"/>
      <w:numFmt w:val="bullet"/>
      <w:lvlText w:val=""/>
      <w:lvlJc w:val="left"/>
      <w:pPr>
        <w:ind w:left="1800" w:hanging="360"/>
      </w:pPr>
      <w:rPr>
        <w:rFonts w:ascii="Wingdings" w:hAnsi="Wingdings" w:hint="default"/>
      </w:rPr>
    </w:lvl>
    <w:lvl w:ilvl="3" w:tplc="1C6006D6">
      <w:start w:val="1"/>
      <w:numFmt w:val="bullet"/>
      <w:lvlText w:val=""/>
      <w:lvlJc w:val="left"/>
      <w:pPr>
        <w:ind w:left="2520" w:hanging="360"/>
      </w:pPr>
      <w:rPr>
        <w:rFonts w:ascii="Symbol" w:hAnsi="Symbol" w:hint="default"/>
      </w:rPr>
    </w:lvl>
    <w:lvl w:ilvl="4" w:tplc="8D7A092C">
      <w:start w:val="1"/>
      <w:numFmt w:val="bullet"/>
      <w:lvlText w:val="o"/>
      <w:lvlJc w:val="left"/>
      <w:pPr>
        <w:ind w:left="3240" w:hanging="360"/>
      </w:pPr>
      <w:rPr>
        <w:rFonts w:ascii="Courier New" w:hAnsi="Courier New" w:hint="default"/>
      </w:rPr>
    </w:lvl>
    <w:lvl w:ilvl="5" w:tplc="5734F37A">
      <w:start w:val="1"/>
      <w:numFmt w:val="bullet"/>
      <w:lvlText w:val=""/>
      <w:lvlJc w:val="left"/>
      <w:pPr>
        <w:ind w:left="3960" w:hanging="360"/>
      </w:pPr>
      <w:rPr>
        <w:rFonts w:ascii="Wingdings" w:hAnsi="Wingdings" w:hint="default"/>
      </w:rPr>
    </w:lvl>
    <w:lvl w:ilvl="6" w:tplc="4732AF0E">
      <w:start w:val="1"/>
      <w:numFmt w:val="bullet"/>
      <w:lvlText w:val=""/>
      <w:lvlJc w:val="left"/>
      <w:pPr>
        <w:ind w:left="4680" w:hanging="360"/>
      </w:pPr>
      <w:rPr>
        <w:rFonts w:ascii="Symbol" w:hAnsi="Symbol" w:hint="default"/>
      </w:rPr>
    </w:lvl>
    <w:lvl w:ilvl="7" w:tplc="1E04E3DA">
      <w:start w:val="1"/>
      <w:numFmt w:val="bullet"/>
      <w:lvlText w:val="o"/>
      <w:lvlJc w:val="left"/>
      <w:pPr>
        <w:ind w:left="5400" w:hanging="360"/>
      </w:pPr>
      <w:rPr>
        <w:rFonts w:ascii="Courier New" w:hAnsi="Courier New" w:hint="default"/>
      </w:rPr>
    </w:lvl>
    <w:lvl w:ilvl="8" w:tplc="E066431C">
      <w:start w:val="1"/>
      <w:numFmt w:val="bullet"/>
      <w:lvlText w:val=""/>
      <w:lvlJc w:val="left"/>
      <w:pPr>
        <w:ind w:left="6120" w:hanging="360"/>
      </w:pPr>
      <w:rPr>
        <w:rFonts w:ascii="Wingdings" w:hAnsi="Wingdings" w:hint="default"/>
      </w:rPr>
    </w:lvl>
  </w:abstractNum>
  <w:abstractNum w:abstractNumId="8" w15:restartNumberingAfterBreak="0">
    <w:nsid w:val="19FA39D2"/>
    <w:multiLevelType w:val="hybridMultilevel"/>
    <w:tmpl w:val="C22CB7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EB129B"/>
    <w:multiLevelType w:val="hybridMultilevel"/>
    <w:tmpl w:val="09229916"/>
    <w:lvl w:ilvl="0" w:tplc="4BB48A3E">
      <w:start w:val="1"/>
      <w:numFmt w:val="bullet"/>
      <w:lvlText w:val=""/>
      <w:lvlJc w:val="left"/>
      <w:pPr>
        <w:ind w:left="360" w:hanging="360"/>
      </w:pPr>
      <w:rPr>
        <w:rFonts w:ascii="Symbol" w:hAnsi="Symbol" w:hint="default"/>
      </w:rPr>
    </w:lvl>
    <w:lvl w:ilvl="1" w:tplc="D36C51BE">
      <w:start w:val="1"/>
      <w:numFmt w:val="bullet"/>
      <w:lvlText w:val="o"/>
      <w:lvlJc w:val="left"/>
      <w:pPr>
        <w:ind w:left="1080" w:hanging="360"/>
      </w:pPr>
      <w:rPr>
        <w:rFonts w:ascii="Courier New" w:hAnsi="Courier New" w:hint="default"/>
      </w:rPr>
    </w:lvl>
    <w:lvl w:ilvl="2" w:tplc="547EC07E">
      <w:start w:val="1"/>
      <w:numFmt w:val="bullet"/>
      <w:lvlText w:val=""/>
      <w:lvlJc w:val="left"/>
      <w:pPr>
        <w:ind w:left="1800" w:hanging="360"/>
      </w:pPr>
      <w:rPr>
        <w:rFonts w:ascii="Wingdings" w:hAnsi="Wingdings" w:hint="default"/>
      </w:rPr>
    </w:lvl>
    <w:lvl w:ilvl="3" w:tplc="5CD0F492">
      <w:start w:val="1"/>
      <w:numFmt w:val="bullet"/>
      <w:lvlText w:val=""/>
      <w:lvlJc w:val="left"/>
      <w:pPr>
        <w:ind w:left="2520" w:hanging="360"/>
      </w:pPr>
      <w:rPr>
        <w:rFonts w:ascii="Symbol" w:hAnsi="Symbol" w:hint="default"/>
      </w:rPr>
    </w:lvl>
    <w:lvl w:ilvl="4" w:tplc="50D46466">
      <w:start w:val="1"/>
      <w:numFmt w:val="bullet"/>
      <w:lvlText w:val="o"/>
      <w:lvlJc w:val="left"/>
      <w:pPr>
        <w:ind w:left="3240" w:hanging="360"/>
      </w:pPr>
      <w:rPr>
        <w:rFonts w:ascii="Courier New" w:hAnsi="Courier New" w:hint="default"/>
      </w:rPr>
    </w:lvl>
    <w:lvl w:ilvl="5" w:tplc="228463CC">
      <w:start w:val="1"/>
      <w:numFmt w:val="bullet"/>
      <w:lvlText w:val=""/>
      <w:lvlJc w:val="left"/>
      <w:pPr>
        <w:ind w:left="3960" w:hanging="360"/>
      </w:pPr>
      <w:rPr>
        <w:rFonts w:ascii="Wingdings" w:hAnsi="Wingdings" w:hint="default"/>
      </w:rPr>
    </w:lvl>
    <w:lvl w:ilvl="6" w:tplc="23F4C4BE">
      <w:start w:val="1"/>
      <w:numFmt w:val="bullet"/>
      <w:lvlText w:val=""/>
      <w:lvlJc w:val="left"/>
      <w:pPr>
        <w:ind w:left="4680" w:hanging="360"/>
      </w:pPr>
      <w:rPr>
        <w:rFonts w:ascii="Symbol" w:hAnsi="Symbol" w:hint="default"/>
      </w:rPr>
    </w:lvl>
    <w:lvl w:ilvl="7" w:tplc="6414F232">
      <w:start w:val="1"/>
      <w:numFmt w:val="bullet"/>
      <w:lvlText w:val="o"/>
      <w:lvlJc w:val="left"/>
      <w:pPr>
        <w:ind w:left="5400" w:hanging="360"/>
      </w:pPr>
      <w:rPr>
        <w:rFonts w:ascii="Courier New" w:hAnsi="Courier New" w:hint="default"/>
      </w:rPr>
    </w:lvl>
    <w:lvl w:ilvl="8" w:tplc="F2B82A74">
      <w:start w:val="1"/>
      <w:numFmt w:val="bullet"/>
      <w:lvlText w:val=""/>
      <w:lvlJc w:val="left"/>
      <w:pPr>
        <w:ind w:left="6120" w:hanging="360"/>
      </w:pPr>
      <w:rPr>
        <w:rFonts w:ascii="Wingdings" w:hAnsi="Wingdings" w:hint="default"/>
      </w:rPr>
    </w:lvl>
  </w:abstractNum>
  <w:abstractNum w:abstractNumId="10" w15:restartNumberingAfterBreak="0">
    <w:nsid w:val="200A6943"/>
    <w:multiLevelType w:val="hybridMultilevel"/>
    <w:tmpl w:val="01347D1C"/>
    <w:lvl w:ilvl="0" w:tplc="2B66538E">
      <w:start w:val="1"/>
      <w:numFmt w:val="bullet"/>
      <w:lvlText w:val="•"/>
      <w:lvlJc w:val="left"/>
      <w:pPr>
        <w:ind w:left="720" w:hanging="360"/>
      </w:pPr>
    </w:lvl>
    <w:lvl w:ilvl="1" w:tplc="DE2CE86E">
      <w:numFmt w:val="decimal"/>
      <w:lvlText w:val=""/>
      <w:lvlJc w:val="left"/>
    </w:lvl>
    <w:lvl w:ilvl="2" w:tplc="767E6294">
      <w:numFmt w:val="decimal"/>
      <w:lvlText w:val=""/>
      <w:lvlJc w:val="left"/>
    </w:lvl>
    <w:lvl w:ilvl="3" w:tplc="5D06099A">
      <w:numFmt w:val="decimal"/>
      <w:lvlText w:val=""/>
      <w:lvlJc w:val="left"/>
    </w:lvl>
    <w:lvl w:ilvl="4" w:tplc="A5E4ADBA">
      <w:numFmt w:val="decimal"/>
      <w:lvlText w:val=""/>
      <w:lvlJc w:val="left"/>
    </w:lvl>
    <w:lvl w:ilvl="5" w:tplc="6A5E3884">
      <w:numFmt w:val="decimal"/>
      <w:lvlText w:val=""/>
      <w:lvlJc w:val="left"/>
    </w:lvl>
    <w:lvl w:ilvl="6" w:tplc="AF4EE248">
      <w:numFmt w:val="decimal"/>
      <w:lvlText w:val=""/>
      <w:lvlJc w:val="left"/>
    </w:lvl>
    <w:lvl w:ilvl="7" w:tplc="A8DA39B0">
      <w:numFmt w:val="decimal"/>
      <w:lvlText w:val=""/>
      <w:lvlJc w:val="left"/>
    </w:lvl>
    <w:lvl w:ilvl="8" w:tplc="9C9EF224">
      <w:numFmt w:val="decimal"/>
      <w:lvlText w:val=""/>
      <w:lvlJc w:val="left"/>
    </w:lvl>
  </w:abstractNum>
  <w:abstractNum w:abstractNumId="11" w15:restartNumberingAfterBreak="0">
    <w:nsid w:val="2148EFF8"/>
    <w:multiLevelType w:val="hybridMultilevel"/>
    <w:tmpl w:val="35A8E29E"/>
    <w:lvl w:ilvl="0" w:tplc="488C957E">
      <w:start w:val="1"/>
      <w:numFmt w:val="bullet"/>
      <w:lvlText w:val=""/>
      <w:lvlJc w:val="left"/>
      <w:pPr>
        <w:ind w:left="360" w:hanging="360"/>
      </w:pPr>
      <w:rPr>
        <w:rFonts w:ascii="Symbol" w:hAnsi="Symbol" w:hint="default"/>
      </w:rPr>
    </w:lvl>
    <w:lvl w:ilvl="1" w:tplc="7958B35A">
      <w:start w:val="1"/>
      <w:numFmt w:val="bullet"/>
      <w:lvlText w:val="o"/>
      <w:lvlJc w:val="left"/>
      <w:pPr>
        <w:ind w:left="1080" w:hanging="360"/>
      </w:pPr>
      <w:rPr>
        <w:rFonts w:ascii="Courier New" w:hAnsi="Courier New" w:hint="default"/>
      </w:rPr>
    </w:lvl>
    <w:lvl w:ilvl="2" w:tplc="207C829A">
      <w:start w:val="1"/>
      <w:numFmt w:val="bullet"/>
      <w:lvlText w:val=""/>
      <w:lvlJc w:val="left"/>
      <w:pPr>
        <w:ind w:left="1800" w:hanging="360"/>
      </w:pPr>
      <w:rPr>
        <w:rFonts w:ascii="Wingdings" w:hAnsi="Wingdings" w:hint="default"/>
      </w:rPr>
    </w:lvl>
    <w:lvl w:ilvl="3" w:tplc="CF0ECDF0">
      <w:start w:val="1"/>
      <w:numFmt w:val="bullet"/>
      <w:lvlText w:val=""/>
      <w:lvlJc w:val="left"/>
      <w:pPr>
        <w:ind w:left="2520" w:hanging="360"/>
      </w:pPr>
      <w:rPr>
        <w:rFonts w:ascii="Symbol" w:hAnsi="Symbol" w:hint="default"/>
      </w:rPr>
    </w:lvl>
    <w:lvl w:ilvl="4" w:tplc="2CC024EC">
      <w:start w:val="1"/>
      <w:numFmt w:val="bullet"/>
      <w:lvlText w:val="o"/>
      <w:lvlJc w:val="left"/>
      <w:pPr>
        <w:ind w:left="3240" w:hanging="360"/>
      </w:pPr>
      <w:rPr>
        <w:rFonts w:ascii="Courier New" w:hAnsi="Courier New" w:hint="default"/>
      </w:rPr>
    </w:lvl>
    <w:lvl w:ilvl="5" w:tplc="C41AD2B8">
      <w:start w:val="1"/>
      <w:numFmt w:val="bullet"/>
      <w:lvlText w:val=""/>
      <w:lvlJc w:val="left"/>
      <w:pPr>
        <w:ind w:left="3960" w:hanging="360"/>
      </w:pPr>
      <w:rPr>
        <w:rFonts w:ascii="Wingdings" w:hAnsi="Wingdings" w:hint="default"/>
      </w:rPr>
    </w:lvl>
    <w:lvl w:ilvl="6" w:tplc="9072EE3A">
      <w:start w:val="1"/>
      <w:numFmt w:val="bullet"/>
      <w:lvlText w:val=""/>
      <w:lvlJc w:val="left"/>
      <w:pPr>
        <w:ind w:left="4680" w:hanging="360"/>
      </w:pPr>
      <w:rPr>
        <w:rFonts w:ascii="Symbol" w:hAnsi="Symbol" w:hint="default"/>
      </w:rPr>
    </w:lvl>
    <w:lvl w:ilvl="7" w:tplc="E288FE40">
      <w:start w:val="1"/>
      <w:numFmt w:val="bullet"/>
      <w:lvlText w:val="o"/>
      <w:lvlJc w:val="left"/>
      <w:pPr>
        <w:ind w:left="5400" w:hanging="360"/>
      </w:pPr>
      <w:rPr>
        <w:rFonts w:ascii="Courier New" w:hAnsi="Courier New" w:hint="default"/>
      </w:rPr>
    </w:lvl>
    <w:lvl w:ilvl="8" w:tplc="74EE4EAC">
      <w:start w:val="1"/>
      <w:numFmt w:val="bullet"/>
      <w:lvlText w:val=""/>
      <w:lvlJc w:val="left"/>
      <w:pPr>
        <w:ind w:left="6120" w:hanging="360"/>
      </w:pPr>
      <w:rPr>
        <w:rFonts w:ascii="Wingdings" w:hAnsi="Wingdings" w:hint="default"/>
      </w:rPr>
    </w:lvl>
  </w:abstractNum>
  <w:abstractNum w:abstractNumId="12" w15:restartNumberingAfterBreak="0">
    <w:nsid w:val="214D4223"/>
    <w:multiLevelType w:val="hybridMultilevel"/>
    <w:tmpl w:val="C68EDDB6"/>
    <w:lvl w:ilvl="0" w:tplc="E29E753A">
      <w:start w:val="2"/>
      <w:numFmt w:val="bullet"/>
      <w:lvlText w:val="-"/>
      <w:lvlJc w:val="left"/>
      <w:pPr>
        <w:ind w:left="720" w:hanging="360"/>
      </w:pPr>
      <w:rPr>
        <w:rFonts w:ascii="Bookman Old Style" w:eastAsia="Cambria" w:hAnsi="Bookman Old Style"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D7F325"/>
    <w:multiLevelType w:val="hybridMultilevel"/>
    <w:tmpl w:val="DFEA966C"/>
    <w:lvl w:ilvl="0" w:tplc="1818AF6C">
      <w:start w:val="1"/>
      <w:numFmt w:val="bullet"/>
      <w:lvlText w:val=""/>
      <w:lvlJc w:val="left"/>
      <w:pPr>
        <w:ind w:left="360" w:hanging="360"/>
      </w:pPr>
      <w:rPr>
        <w:rFonts w:ascii="Symbol" w:hAnsi="Symbol" w:hint="default"/>
      </w:rPr>
    </w:lvl>
    <w:lvl w:ilvl="1" w:tplc="6F7A22BE">
      <w:start w:val="1"/>
      <w:numFmt w:val="bullet"/>
      <w:lvlText w:val="o"/>
      <w:lvlJc w:val="left"/>
      <w:pPr>
        <w:ind w:left="1080" w:hanging="360"/>
      </w:pPr>
      <w:rPr>
        <w:rFonts w:ascii="Courier New" w:hAnsi="Courier New" w:hint="default"/>
      </w:rPr>
    </w:lvl>
    <w:lvl w:ilvl="2" w:tplc="3788BD5C">
      <w:start w:val="1"/>
      <w:numFmt w:val="bullet"/>
      <w:lvlText w:val=""/>
      <w:lvlJc w:val="left"/>
      <w:pPr>
        <w:ind w:left="1800" w:hanging="360"/>
      </w:pPr>
      <w:rPr>
        <w:rFonts w:ascii="Wingdings" w:hAnsi="Wingdings" w:hint="default"/>
      </w:rPr>
    </w:lvl>
    <w:lvl w:ilvl="3" w:tplc="07640BA2">
      <w:start w:val="1"/>
      <w:numFmt w:val="bullet"/>
      <w:lvlText w:val=""/>
      <w:lvlJc w:val="left"/>
      <w:pPr>
        <w:ind w:left="2520" w:hanging="360"/>
      </w:pPr>
      <w:rPr>
        <w:rFonts w:ascii="Symbol" w:hAnsi="Symbol" w:hint="default"/>
      </w:rPr>
    </w:lvl>
    <w:lvl w:ilvl="4" w:tplc="BC941534">
      <w:start w:val="1"/>
      <w:numFmt w:val="bullet"/>
      <w:lvlText w:val="o"/>
      <w:lvlJc w:val="left"/>
      <w:pPr>
        <w:ind w:left="3240" w:hanging="360"/>
      </w:pPr>
      <w:rPr>
        <w:rFonts w:ascii="Courier New" w:hAnsi="Courier New" w:hint="default"/>
      </w:rPr>
    </w:lvl>
    <w:lvl w:ilvl="5" w:tplc="C0AC15C2">
      <w:start w:val="1"/>
      <w:numFmt w:val="bullet"/>
      <w:lvlText w:val=""/>
      <w:lvlJc w:val="left"/>
      <w:pPr>
        <w:ind w:left="3960" w:hanging="360"/>
      </w:pPr>
      <w:rPr>
        <w:rFonts w:ascii="Wingdings" w:hAnsi="Wingdings" w:hint="default"/>
      </w:rPr>
    </w:lvl>
    <w:lvl w:ilvl="6" w:tplc="2C923738">
      <w:start w:val="1"/>
      <w:numFmt w:val="bullet"/>
      <w:lvlText w:val=""/>
      <w:lvlJc w:val="left"/>
      <w:pPr>
        <w:ind w:left="4680" w:hanging="360"/>
      </w:pPr>
      <w:rPr>
        <w:rFonts w:ascii="Symbol" w:hAnsi="Symbol" w:hint="default"/>
      </w:rPr>
    </w:lvl>
    <w:lvl w:ilvl="7" w:tplc="B3787EF8">
      <w:start w:val="1"/>
      <w:numFmt w:val="bullet"/>
      <w:lvlText w:val="o"/>
      <w:lvlJc w:val="left"/>
      <w:pPr>
        <w:ind w:left="5400" w:hanging="360"/>
      </w:pPr>
      <w:rPr>
        <w:rFonts w:ascii="Courier New" w:hAnsi="Courier New" w:hint="default"/>
      </w:rPr>
    </w:lvl>
    <w:lvl w:ilvl="8" w:tplc="622E195A">
      <w:start w:val="1"/>
      <w:numFmt w:val="bullet"/>
      <w:lvlText w:val=""/>
      <w:lvlJc w:val="left"/>
      <w:pPr>
        <w:ind w:left="6120" w:hanging="360"/>
      </w:pPr>
      <w:rPr>
        <w:rFonts w:ascii="Wingdings" w:hAnsi="Wingdings" w:hint="default"/>
      </w:rPr>
    </w:lvl>
  </w:abstractNum>
  <w:abstractNum w:abstractNumId="14" w15:restartNumberingAfterBreak="0">
    <w:nsid w:val="23F474CD"/>
    <w:multiLevelType w:val="multilevel"/>
    <w:tmpl w:val="5094D04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75F2AE4"/>
    <w:multiLevelType w:val="hybridMultilevel"/>
    <w:tmpl w:val="4F2A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22DECE"/>
    <w:multiLevelType w:val="hybridMultilevel"/>
    <w:tmpl w:val="FFFFFFFF"/>
    <w:lvl w:ilvl="0" w:tplc="4864A030">
      <w:start w:val="1"/>
      <w:numFmt w:val="bullet"/>
      <w:lvlText w:val="•"/>
      <w:lvlJc w:val="left"/>
      <w:pPr>
        <w:ind w:left="720" w:hanging="360"/>
      </w:pPr>
    </w:lvl>
    <w:lvl w:ilvl="1" w:tplc="FDC4FE1C">
      <w:numFmt w:val="decimal"/>
      <w:lvlText w:val=""/>
      <w:lvlJc w:val="left"/>
    </w:lvl>
    <w:lvl w:ilvl="2" w:tplc="2166964A">
      <w:numFmt w:val="decimal"/>
      <w:lvlText w:val=""/>
      <w:lvlJc w:val="left"/>
    </w:lvl>
    <w:lvl w:ilvl="3" w:tplc="0528207A">
      <w:numFmt w:val="decimal"/>
      <w:lvlText w:val=""/>
      <w:lvlJc w:val="left"/>
    </w:lvl>
    <w:lvl w:ilvl="4" w:tplc="3B06C0F0">
      <w:numFmt w:val="decimal"/>
      <w:lvlText w:val=""/>
      <w:lvlJc w:val="left"/>
    </w:lvl>
    <w:lvl w:ilvl="5" w:tplc="60806BBE">
      <w:numFmt w:val="decimal"/>
      <w:lvlText w:val=""/>
      <w:lvlJc w:val="left"/>
    </w:lvl>
    <w:lvl w:ilvl="6" w:tplc="EC6EEB16">
      <w:numFmt w:val="decimal"/>
      <w:lvlText w:val=""/>
      <w:lvlJc w:val="left"/>
    </w:lvl>
    <w:lvl w:ilvl="7" w:tplc="6C0432B2">
      <w:numFmt w:val="decimal"/>
      <w:lvlText w:val=""/>
      <w:lvlJc w:val="left"/>
    </w:lvl>
    <w:lvl w:ilvl="8" w:tplc="5FEA1746">
      <w:numFmt w:val="decimal"/>
      <w:lvlText w:val=""/>
      <w:lvlJc w:val="left"/>
    </w:lvl>
  </w:abstractNum>
  <w:abstractNum w:abstractNumId="17" w15:restartNumberingAfterBreak="0">
    <w:nsid w:val="2C619C5B"/>
    <w:multiLevelType w:val="hybridMultilevel"/>
    <w:tmpl w:val="1C50918A"/>
    <w:lvl w:ilvl="0" w:tplc="D05E2708">
      <w:start w:val="1"/>
      <w:numFmt w:val="bullet"/>
      <w:lvlText w:val=""/>
      <w:lvlJc w:val="left"/>
      <w:pPr>
        <w:ind w:left="360" w:hanging="360"/>
      </w:pPr>
      <w:rPr>
        <w:rFonts w:ascii="Symbol" w:hAnsi="Symbol" w:hint="default"/>
      </w:rPr>
    </w:lvl>
    <w:lvl w:ilvl="1" w:tplc="D068E432">
      <w:start w:val="1"/>
      <w:numFmt w:val="bullet"/>
      <w:lvlText w:val="o"/>
      <w:lvlJc w:val="left"/>
      <w:pPr>
        <w:ind w:left="1080" w:hanging="360"/>
      </w:pPr>
      <w:rPr>
        <w:rFonts w:ascii="Courier New" w:hAnsi="Courier New" w:hint="default"/>
      </w:rPr>
    </w:lvl>
    <w:lvl w:ilvl="2" w:tplc="E846849A">
      <w:start w:val="1"/>
      <w:numFmt w:val="bullet"/>
      <w:lvlText w:val=""/>
      <w:lvlJc w:val="left"/>
      <w:pPr>
        <w:ind w:left="1800" w:hanging="360"/>
      </w:pPr>
      <w:rPr>
        <w:rFonts w:ascii="Wingdings" w:hAnsi="Wingdings" w:hint="default"/>
      </w:rPr>
    </w:lvl>
    <w:lvl w:ilvl="3" w:tplc="82F80B56">
      <w:start w:val="1"/>
      <w:numFmt w:val="bullet"/>
      <w:lvlText w:val=""/>
      <w:lvlJc w:val="left"/>
      <w:pPr>
        <w:ind w:left="2520" w:hanging="360"/>
      </w:pPr>
      <w:rPr>
        <w:rFonts w:ascii="Symbol" w:hAnsi="Symbol" w:hint="default"/>
      </w:rPr>
    </w:lvl>
    <w:lvl w:ilvl="4" w:tplc="588E969C">
      <w:start w:val="1"/>
      <w:numFmt w:val="bullet"/>
      <w:lvlText w:val="o"/>
      <w:lvlJc w:val="left"/>
      <w:pPr>
        <w:ind w:left="3240" w:hanging="360"/>
      </w:pPr>
      <w:rPr>
        <w:rFonts w:ascii="Courier New" w:hAnsi="Courier New" w:hint="default"/>
      </w:rPr>
    </w:lvl>
    <w:lvl w:ilvl="5" w:tplc="6E46003C">
      <w:start w:val="1"/>
      <w:numFmt w:val="bullet"/>
      <w:lvlText w:val=""/>
      <w:lvlJc w:val="left"/>
      <w:pPr>
        <w:ind w:left="3960" w:hanging="360"/>
      </w:pPr>
      <w:rPr>
        <w:rFonts w:ascii="Wingdings" w:hAnsi="Wingdings" w:hint="default"/>
      </w:rPr>
    </w:lvl>
    <w:lvl w:ilvl="6" w:tplc="6688F26E">
      <w:start w:val="1"/>
      <w:numFmt w:val="bullet"/>
      <w:lvlText w:val=""/>
      <w:lvlJc w:val="left"/>
      <w:pPr>
        <w:ind w:left="4680" w:hanging="360"/>
      </w:pPr>
      <w:rPr>
        <w:rFonts w:ascii="Symbol" w:hAnsi="Symbol" w:hint="default"/>
      </w:rPr>
    </w:lvl>
    <w:lvl w:ilvl="7" w:tplc="0BD2CA8C">
      <w:start w:val="1"/>
      <w:numFmt w:val="bullet"/>
      <w:lvlText w:val="o"/>
      <w:lvlJc w:val="left"/>
      <w:pPr>
        <w:ind w:left="5400" w:hanging="360"/>
      </w:pPr>
      <w:rPr>
        <w:rFonts w:ascii="Courier New" w:hAnsi="Courier New" w:hint="default"/>
      </w:rPr>
    </w:lvl>
    <w:lvl w:ilvl="8" w:tplc="E6E6A028">
      <w:start w:val="1"/>
      <w:numFmt w:val="bullet"/>
      <w:lvlText w:val=""/>
      <w:lvlJc w:val="left"/>
      <w:pPr>
        <w:ind w:left="6120" w:hanging="360"/>
      </w:pPr>
      <w:rPr>
        <w:rFonts w:ascii="Wingdings" w:hAnsi="Wingdings" w:hint="default"/>
      </w:rPr>
    </w:lvl>
  </w:abstractNum>
  <w:abstractNum w:abstractNumId="18" w15:restartNumberingAfterBreak="0">
    <w:nsid w:val="2DAF5BEE"/>
    <w:multiLevelType w:val="multilevel"/>
    <w:tmpl w:val="CAE2E0B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06696B8"/>
    <w:multiLevelType w:val="hybridMultilevel"/>
    <w:tmpl w:val="389C4750"/>
    <w:lvl w:ilvl="0" w:tplc="318404CC">
      <w:start w:val="1"/>
      <w:numFmt w:val="bullet"/>
      <w:lvlText w:val=""/>
      <w:lvlJc w:val="left"/>
      <w:pPr>
        <w:ind w:left="360" w:hanging="360"/>
      </w:pPr>
      <w:rPr>
        <w:rFonts w:ascii="Symbol" w:hAnsi="Symbol" w:hint="default"/>
      </w:rPr>
    </w:lvl>
    <w:lvl w:ilvl="1" w:tplc="86C0EB68">
      <w:start w:val="1"/>
      <w:numFmt w:val="bullet"/>
      <w:lvlText w:val="o"/>
      <w:lvlJc w:val="left"/>
      <w:pPr>
        <w:ind w:left="1080" w:hanging="360"/>
      </w:pPr>
      <w:rPr>
        <w:rFonts w:ascii="Courier New" w:hAnsi="Courier New" w:hint="default"/>
      </w:rPr>
    </w:lvl>
    <w:lvl w:ilvl="2" w:tplc="B456DFD6">
      <w:start w:val="1"/>
      <w:numFmt w:val="bullet"/>
      <w:lvlText w:val=""/>
      <w:lvlJc w:val="left"/>
      <w:pPr>
        <w:ind w:left="1800" w:hanging="360"/>
      </w:pPr>
      <w:rPr>
        <w:rFonts w:ascii="Wingdings" w:hAnsi="Wingdings" w:hint="default"/>
      </w:rPr>
    </w:lvl>
    <w:lvl w:ilvl="3" w:tplc="967825BC">
      <w:start w:val="1"/>
      <w:numFmt w:val="bullet"/>
      <w:lvlText w:val=""/>
      <w:lvlJc w:val="left"/>
      <w:pPr>
        <w:ind w:left="2520" w:hanging="360"/>
      </w:pPr>
      <w:rPr>
        <w:rFonts w:ascii="Symbol" w:hAnsi="Symbol" w:hint="default"/>
      </w:rPr>
    </w:lvl>
    <w:lvl w:ilvl="4" w:tplc="E2928DD4">
      <w:start w:val="1"/>
      <w:numFmt w:val="bullet"/>
      <w:lvlText w:val="o"/>
      <w:lvlJc w:val="left"/>
      <w:pPr>
        <w:ind w:left="3240" w:hanging="360"/>
      </w:pPr>
      <w:rPr>
        <w:rFonts w:ascii="Courier New" w:hAnsi="Courier New" w:hint="default"/>
      </w:rPr>
    </w:lvl>
    <w:lvl w:ilvl="5" w:tplc="95880268">
      <w:start w:val="1"/>
      <w:numFmt w:val="bullet"/>
      <w:lvlText w:val=""/>
      <w:lvlJc w:val="left"/>
      <w:pPr>
        <w:ind w:left="3960" w:hanging="360"/>
      </w:pPr>
      <w:rPr>
        <w:rFonts w:ascii="Wingdings" w:hAnsi="Wingdings" w:hint="default"/>
      </w:rPr>
    </w:lvl>
    <w:lvl w:ilvl="6" w:tplc="C08E88BC">
      <w:start w:val="1"/>
      <w:numFmt w:val="bullet"/>
      <w:lvlText w:val=""/>
      <w:lvlJc w:val="left"/>
      <w:pPr>
        <w:ind w:left="4680" w:hanging="360"/>
      </w:pPr>
      <w:rPr>
        <w:rFonts w:ascii="Symbol" w:hAnsi="Symbol" w:hint="default"/>
      </w:rPr>
    </w:lvl>
    <w:lvl w:ilvl="7" w:tplc="00168EAA">
      <w:start w:val="1"/>
      <w:numFmt w:val="bullet"/>
      <w:lvlText w:val="o"/>
      <w:lvlJc w:val="left"/>
      <w:pPr>
        <w:ind w:left="5400" w:hanging="360"/>
      </w:pPr>
      <w:rPr>
        <w:rFonts w:ascii="Courier New" w:hAnsi="Courier New" w:hint="default"/>
      </w:rPr>
    </w:lvl>
    <w:lvl w:ilvl="8" w:tplc="8C12F708">
      <w:start w:val="1"/>
      <w:numFmt w:val="bullet"/>
      <w:lvlText w:val=""/>
      <w:lvlJc w:val="left"/>
      <w:pPr>
        <w:ind w:left="6120" w:hanging="360"/>
      </w:pPr>
      <w:rPr>
        <w:rFonts w:ascii="Wingdings" w:hAnsi="Wingdings" w:hint="default"/>
      </w:rPr>
    </w:lvl>
  </w:abstractNum>
  <w:abstractNum w:abstractNumId="20" w15:restartNumberingAfterBreak="0">
    <w:nsid w:val="34A55D9D"/>
    <w:multiLevelType w:val="hybridMultilevel"/>
    <w:tmpl w:val="0EBE12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85FF181"/>
    <w:multiLevelType w:val="hybridMultilevel"/>
    <w:tmpl w:val="45AE9534"/>
    <w:lvl w:ilvl="0" w:tplc="7B5E555C">
      <w:start w:val="1"/>
      <w:numFmt w:val="bullet"/>
      <w:lvlText w:val=""/>
      <w:lvlJc w:val="left"/>
      <w:pPr>
        <w:ind w:left="360" w:hanging="360"/>
      </w:pPr>
      <w:rPr>
        <w:rFonts w:ascii="Symbol" w:hAnsi="Symbol" w:hint="default"/>
      </w:rPr>
    </w:lvl>
    <w:lvl w:ilvl="1" w:tplc="0300536A">
      <w:start w:val="1"/>
      <w:numFmt w:val="bullet"/>
      <w:lvlText w:val="o"/>
      <w:lvlJc w:val="left"/>
      <w:pPr>
        <w:ind w:left="1080" w:hanging="360"/>
      </w:pPr>
      <w:rPr>
        <w:rFonts w:ascii="Courier New" w:hAnsi="Courier New" w:hint="default"/>
      </w:rPr>
    </w:lvl>
    <w:lvl w:ilvl="2" w:tplc="71BEE2EC">
      <w:start w:val="1"/>
      <w:numFmt w:val="bullet"/>
      <w:lvlText w:val=""/>
      <w:lvlJc w:val="left"/>
      <w:pPr>
        <w:ind w:left="1800" w:hanging="360"/>
      </w:pPr>
      <w:rPr>
        <w:rFonts w:ascii="Wingdings" w:hAnsi="Wingdings" w:hint="default"/>
      </w:rPr>
    </w:lvl>
    <w:lvl w:ilvl="3" w:tplc="39B08D1E">
      <w:start w:val="1"/>
      <w:numFmt w:val="bullet"/>
      <w:lvlText w:val=""/>
      <w:lvlJc w:val="left"/>
      <w:pPr>
        <w:ind w:left="2520" w:hanging="360"/>
      </w:pPr>
      <w:rPr>
        <w:rFonts w:ascii="Symbol" w:hAnsi="Symbol" w:hint="default"/>
      </w:rPr>
    </w:lvl>
    <w:lvl w:ilvl="4" w:tplc="4ACE4802">
      <w:start w:val="1"/>
      <w:numFmt w:val="bullet"/>
      <w:lvlText w:val="o"/>
      <w:lvlJc w:val="left"/>
      <w:pPr>
        <w:ind w:left="3240" w:hanging="360"/>
      </w:pPr>
      <w:rPr>
        <w:rFonts w:ascii="Courier New" w:hAnsi="Courier New" w:hint="default"/>
      </w:rPr>
    </w:lvl>
    <w:lvl w:ilvl="5" w:tplc="C30C32CE">
      <w:start w:val="1"/>
      <w:numFmt w:val="bullet"/>
      <w:lvlText w:val=""/>
      <w:lvlJc w:val="left"/>
      <w:pPr>
        <w:ind w:left="3960" w:hanging="360"/>
      </w:pPr>
      <w:rPr>
        <w:rFonts w:ascii="Wingdings" w:hAnsi="Wingdings" w:hint="default"/>
      </w:rPr>
    </w:lvl>
    <w:lvl w:ilvl="6" w:tplc="5D0C1494">
      <w:start w:val="1"/>
      <w:numFmt w:val="bullet"/>
      <w:lvlText w:val=""/>
      <w:lvlJc w:val="left"/>
      <w:pPr>
        <w:ind w:left="4680" w:hanging="360"/>
      </w:pPr>
      <w:rPr>
        <w:rFonts w:ascii="Symbol" w:hAnsi="Symbol" w:hint="default"/>
      </w:rPr>
    </w:lvl>
    <w:lvl w:ilvl="7" w:tplc="B01478D4">
      <w:start w:val="1"/>
      <w:numFmt w:val="bullet"/>
      <w:lvlText w:val="o"/>
      <w:lvlJc w:val="left"/>
      <w:pPr>
        <w:ind w:left="5400" w:hanging="360"/>
      </w:pPr>
      <w:rPr>
        <w:rFonts w:ascii="Courier New" w:hAnsi="Courier New" w:hint="default"/>
      </w:rPr>
    </w:lvl>
    <w:lvl w:ilvl="8" w:tplc="C0527C56">
      <w:start w:val="1"/>
      <w:numFmt w:val="bullet"/>
      <w:lvlText w:val=""/>
      <w:lvlJc w:val="left"/>
      <w:pPr>
        <w:ind w:left="6120" w:hanging="360"/>
      </w:pPr>
      <w:rPr>
        <w:rFonts w:ascii="Wingdings" w:hAnsi="Wingdings" w:hint="default"/>
      </w:rPr>
    </w:lvl>
  </w:abstractNum>
  <w:abstractNum w:abstractNumId="22" w15:restartNumberingAfterBreak="0">
    <w:nsid w:val="3A202E58"/>
    <w:multiLevelType w:val="hybridMultilevel"/>
    <w:tmpl w:val="9866E7DC"/>
    <w:lvl w:ilvl="0" w:tplc="8ADA5590">
      <w:start w:val="1"/>
      <w:numFmt w:val="bullet"/>
      <w:lvlText w:val=""/>
      <w:lvlJc w:val="left"/>
      <w:pPr>
        <w:ind w:left="360" w:hanging="360"/>
      </w:pPr>
      <w:rPr>
        <w:rFonts w:ascii="Symbol" w:hAnsi="Symbol" w:hint="default"/>
      </w:rPr>
    </w:lvl>
    <w:lvl w:ilvl="1" w:tplc="F8F20FAE">
      <w:start w:val="1"/>
      <w:numFmt w:val="bullet"/>
      <w:lvlText w:val="o"/>
      <w:lvlJc w:val="left"/>
      <w:pPr>
        <w:ind w:left="1080" w:hanging="360"/>
      </w:pPr>
      <w:rPr>
        <w:rFonts w:ascii="Courier New" w:hAnsi="Courier New" w:hint="default"/>
      </w:rPr>
    </w:lvl>
    <w:lvl w:ilvl="2" w:tplc="C68C6B8A">
      <w:start w:val="1"/>
      <w:numFmt w:val="bullet"/>
      <w:lvlText w:val=""/>
      <w:lvlJc w:val="left"/>
      <w:pPr>
        <w:ind w:left="1800" w:hanging="360"/>
      </w:pPr>
      <w:rPr>
        <w:rFonts w:ascii="Wingdings" w:hAnsi="Wingdings" w:hint="default"/>
      </w:rPr>
    </w:lvl>
    <w:lvl w:ilvl="3" w:tplc="F034B8C8">
      <w:start w:val="1"/>
      <w:numFmt w:val="bullet"/>
      <w:lvlText w:val=""/>
      <w:lvlJc w:val="left"/>
      <w:pPr>
        <w:ind w:left="2520" w:hanging="360"/>
      </w:pPr>
      <w:rPr>
        <w:rFonts w:ascii="Symbol" w:hAnsi="Symbol" w:hint="default"/>
      </w:rPr>
    </w:lvl>
    <w:lvl w:ilvl="4" w:tplc="650C074A">
      <w:start w:val="1"/>
      <w:numFmt w:val="bullet"/>
      <w:lvlText w:val="o"/>
      <w:lvlJc w:val="left"/>
      <w:pPr>
        <w:ind w:left="3240" w:hanging="360"/>
      </w:pPr>
      <w:rPr>
        <w:rFonts w:ascii="Courier New" w:hAnsi="Courier New" w:hint="default"/>
      </w:rPr>
    </w:lvl>
    <w:lvl w:ilvl="5" w:tplc="0CE4C5F8">
      <w:start w:val="1"/>
      <w:numFmt w:val="bullet"/>
      <w:lvlText w:val=""/>
      <w:lvlJc w:val="left"/>
      <w:pPr>
        <w:ind w:left="3960" w:hanging="360"/>
      </w:pPr>
      <w:rPr>
        <w:rFonts w:ascii="Wingdings" w:hAnsi="Wingdings" w:hint="default"/>
      </w:rPr>
    </w:lvl>
    <w:lvl w:ilvl="6" w:tplc="7514067E">
      <w:start w:val="1"/>
      <w:numFmt w:val="bullet"/>
      <w:lvlText w:val=""/>
      <w:lvlJc w:val="left"/>
      <w:pPr>
        <w:ind w:left="4680" w:hanging="360"/>
      </w:pPr>
      <w:rPr>
        <w:rFonts w:ascii="Symbol" w:hAnsi="Symbol" w:hint="default"/>
      </w:rPr>
    </w:lvl>
    <w:lvl w:ilvl="7" w:tplc="81FAB640">
      <w:start w:val="1"/>
      <w:numFmt w:val="bullet"/>
      <w:lvlText w:val="o"/>
      <w:lvlJc w:val="left"/>
      <w:pPr>
        <w:ind w:left="5400" w:hanging="360"/>
      </w:pPr>
      <w:rPr>
        <w:rFonts w:ascii="Courier New" w:hAnsi="Courier New" w:hint="default"/>
      </w:rPr>
    </w:lvl>
    <w:lvl w:ilvl="8" w:tplc="2778A3E0">
      <w:start w:val="1"/>
      <w:numFmt w:val="bullet"/>
      <w:lvlText w:val=""/>
      <w:lvlJc w:val="left"/>
      <w:pPr>
        <w:ind w:left="6120" w:hanging="360"/>
      </w:pPr>
      <w:rPr>
        <w:rFonts w:ascii="Wingdings" w:hAnsi="Wingdings" w:hint="default"/>
      </w:rPr>
    </w:lvl>
  </w:abstractNum>
  <w:abstractNum w:abstractNumId="23" w15:restartNumberingAfterBreak="0">
    <w:nsid w:val="3A27D6C0"/>
    <w:multiLevelType w:val="hybridMultilevel"/>
    <w:tmpl w:val="8730CB14"/>
    <w:lvl w:ilvl="0" w:tplc="3E6074BE">
      <w:start w:val="1"/>
      <w:numFmt w:val="bullet"/>
      <w:lvlText w:val=""/>
      <w:lvlJc w:val="left"/>
      <w:pPr>
        <w:ind w:left="360" w:hanging="360"/>
      </w:pPr>
      <w:rPr>
        <w:rFonts w:ascii="Symbol" w:hAnsi="Symbol" w:hint="default"/>
      </w:rPr>
    </w:lvl>
    <w:lvl w:ilvl="1" w:tplc="39249A50">
      <w:start w:val="1"/>
      <w:numFmt w:val="bullet"/>
      <w:lvlText w:val="o"/>
      <w:lvlJc w:val="left"/>
      <w:pPr>
        <w:ind w:left="1080" w:hanging="360"/>
      </w:pPr>
      <w:rPr>
        <w:rFonts w:ascii="Courier New" w:hAnsi="Courier New" w:hint="default"/>
      </w:rPr>
    </w:lvl>
    <w:lvl w:ilvl="2" w:tplc="56E630A8">
      <w:start w:val="1"/>
      <w:numFmt w:val="bullet"/>
      <w:lvlText w:val=""/>
      <w:lvlJc w:val="left"/>
      <w:pPr>
        <w:ind w:left="1800" w:hanging="360"/>
      </w:pPr>
      <w:rPr>
        <w:rFonts w:ascii="Wingdings" w:hAnsi="Wingdings" w:hint="default"/>
      </w:rPr>
    </w:lvl>
    <w:lvl w:ilvl="3" w:tplc="1638AAB4">
      <w:start w:val="1"/>
      <w:numFmt w:val="bullet"/>
      <w:lvlText w:val=""/>
      <w:lvlJc w:val="left"/>
      <w:pPr>
        <w:ind w:left="2520" w:hanging="360"/>
      </w:pPr>
      <w:rPr>
        <w:rFonts w:ascii="Symbol" w:hAnsi="Symbol" w:hint="default"/>
      </w:rPr>
    </w:lvl>
    <w:lvl w:ilvl="4" w:tplc="578CF576">
      <w:start w:val="1"/>
      <w:numFmt w:val="bullet"/>
      <w:lvlText w:val="o"/>
      <w:lvlJc w:val="left"/>
      <w:pPr>
        <w:ind w:left="3240" w:hanging="360"/>
      </w:pPr>
      <w:rPr>
        <w:rFonts w:ascii="Courier New" w:hAnsi="Courier New" w:hint="default"/>
      </w:rPr>
    </w:lvl>
    <w:lvl w:ilvl="5" w:tplc="32DEF30E">
      <w:start w:val="1"/>
      <w:numFmt w:val="bullet"/>
      <w:lvlText w:val=""/>
      <w:lvlJc w:val="left"/>
      <w:pPr>
        <w:ind w:left="3960" w:hanging="360"/>
      </w:pPr>
      <w:rPr>
        <w:rFonts w:ascii="Wingdings" w:hAnsi="Wingdings" w:hint="default"/>
      </w:rPr>
    </w:lvl>
    <w:lvl w:ilvl="6" w:tplc="1336535A">
      <w:start w:val="1"/>
      <w:numFmt w:val="bullet"/>
      <w:lvlText w:val=""/>
      <w:lvlJc w:val="left"/>
      <w:pPr>
        <w:ind w:left="4680" w:hanging="360"/>
      </w:pPr>
      <w:rPr>
        <w:rFonts w:ascii="Symbol" w:hAnsi="Symbol" w:hint="default"/>
      </w:rPr>
    </w:lvl>
    <w:lvl w:ilvl="7" w:tplc="0F2A308E">
      <w:start w:val="1"/>
      <w:numFmt w:val="bullet"/>
      <w:lvlText w:val="o"/>
      <w:lvlJc w:val="left"/>
      <w:pPr>
        <w:ind w:left="5400" w:hanging="360"/>
      </w:pPr>
      <w:rPr>
        <w:rFonts w:ascii="Courier New" w:hAnsi="Courier New" w:hint="default"/>
      </w:rPr>
    </w:lvl>
    <w:lvl w:ilvl="8" w:tplc="1C76389C">
      <w:start w:val="1"/>
      <w:numFmt w:val="bullet"/>
      <w:lvlText w:val=""/>
      <w:lvlJc w:val="left"/>
      <w:pPr>
        <w:ind w:left="6120" w:hanging="360"/>
      </w:pPr>
      <w:rPr>
        <w:rFonts w:ascii="Wingdings" w:hAnsi="Wingdings" w:hint="default"/>
      </w:rPr>
    </w:lvl>
  </w:abstractNum>
  <w:abstractNum w:abstractNumId="24" w15:restartNumberingAfterBreak="0">
    <w:nsid w:val="3BF4918B"/>
    <w:multiLevelType w:val="hybridMultilevel"/>
    <w:tmpl w:val="EAFC445A"/>
    <w:lvl w:ilvl="0" w:tplc="B9162C06">
      <w:start w:val="1"/>
      <w:numFmt w:val="bullet"/>
      <w:lvlText w:val=""/>
      <w:lvlJc w:val="left"/>
      <w:pPr>
        <w:ind w:left="720" w:hanging="360"/>
      </w:pPr>
      <w:rPr>
        <w:rFonts w:ascii="Symbol" w:hAnsi="Symbol" w:hint="default"/>
      </w:rPr>
    </w:lvl>
    <w:lvl w:ilvl="1" w:tplc="6AA604CE">
      <w:start w:val="1"/>
      <w:numFmt w:val="bullet"/>
      <w:lvlText w:val="o"/>
      <w:lvlJc w:val="left"/>
      <w:pPr>
        <w:ind w:left="1440" w:hanging="360"/>
      </w:pPr>
      <w:rPr>
        <w:rFonts w:ascii="Courier New" w:hAnsi="Courier New" w:hint="default"/>
      </w:rPr>
    </w:lvl>
    <w:lvl w:ilvl="2" w:tplc="C2E8E75A">
      <w:start w:val="1"/>
      <w:numFmt w:val="bullet"/>
      <w:lvlText w:val=""/>
      <w:lvlJc w:val="left"/>
      <w:pPr>
        <w:ind w:left="2160" w:hanging="360"/>
      </w:pPr>
      <w:rPr>
        <w:rFonts w:ascii="Wingdings" w:hAnsi="Wingdings" w:hint="default"/>
      </w:rPr>
    </w:lvl>
    <w:lvl w:ilvl="3" w:tplc="1BB65E40">
      <w:start w:val="1"/>
      <w:numFmt w:val="bullet"/>
      <w:lvlText w:val=""/>
      <w:lvlJc w:val="left"/>
      <w:pPr>
        <w:ind w:left="2880" w:hanging="360"/>
      </w:pPr>
      <w:rPr>
        <w:rFonts w:ascii="Symbol" w:hAnsi="Symbol" w:hint="default"/>
      </w:rPr>
    </w:lvl>
    <w:lvl w:ilvl="4" w:tplc="4EE2B926">
      <w:start w:val="1"/>
      <w:numFmt w:val="bullet"/>
      <w:lvlText w:val="o"/>
      <w:lvlJc w:val="left"/>
      <w:pPr>
        <w:ind w:left="3600" w:hanging="360"/>
      </w:pPr>
      <w:rPr>
        <w:rFonts w:ascii="Courier New" w:hAnsi="Courier New" w:hint="default"/>
      </w:rPr>
    </w:lvl>
    <w:lvl w:ilvl="5" w:tplc="9F60BB7E">
      <w:start w:val="1"/>
      <w:numFmt w:val="bullet"/>
      <w:lvlText w:val=""/>
      <w:lvlJc w:val="left"/>
      <w:pPr>
        <w:ind w:left="4320" w:hanging="360"/>
      </w:pPr>
      <w:rPr>
        <w:rFonts w:ascii="Wingdings" w:hAnsi="Wingdings" w:hint="default"/>
      </w:rPr>
    </w:lvl>
    <w:lvl w:ilvl="6" w:tplc="8A9E5C38">
      <w:start w:val="1"/>
      <w:numFmt w:val="bullet"/>
      <w:lvlText w:val=""/>
      <w:lvlJc w:val="left"/>
      <w:pPr>
        <w:ind w:left="5040" w:hanging="360"/>
      </w:pPr>
      <w:rPr>
        <w:rFonts w:ascii="Symbol" w:hAnsi="Symbol" w:hint="default"/>
      </w:rPr>
    </w:lvl>
    <w:lvl w:ilvl="7" w:tplc="6C520A60">
      <w:start w:val="1"/>
      <w:numFmt w:val="bullet"/>
      <w:lvlText w:val="o"/>
      <w:lvlJc w:val="left"/>
      <w:pPr>
        <w:ind w:left="5760" w:hanging="360"/>
      </w:pPr>
      <w:rPr>
        <w:rFonts w:ascii="Courier New" w:hAnsi="Courier New" w:hint="default"/>
      </w:rPr>
    </w:lvl>
    <w:lvl w:ilvl="8" w:tplc="7400A55C">
      <w:start w:val="1"/>
      <w:numFmt w:val="bullet"/>
      <w:lvlText w:val=""/>
      <w:lvlJc w:val="left"/>
      <w:pPr>
        <w:ind w:left="6480" w:hanging="360"/>
      </w:pPr>
      <w:rPr>
        <w:rFonts w:ascii="Wingdings" w:hAnsi="Wingdings" w:hint="default"/>
      </w:rPr>
    </w:lvl>
  </w:abstractNum>
  <w:abstractNum w:abstractNumId="25" w15:restartNumberingAfterBreak="0">
    <w:nsid w:val="3E565DF0"/>
    <w:multiLevelType w:val="hybridMultilevel"/>
    <w:tmpl w:val="8D3A9366"/>
    <w:lvl w:ilvl="0" w:tplc="4BCC23B6">
      <w:start w:val="1"/>
      <w:numFmt w:val="bullet"/>
      <w:lvlText w:val=""/>
      <w:lvlJc w:val="left"/>
      <w:pPr>
        <w:ind w:left="360" w:hanging="360"/>
      </w:pPr>
      <w:rPr>
        <w:rFonts w:ascii="Symbol" w:hAnsi="Symbol" w:hint="default"/>
      </w:rPr>
    </w:lvl>
    <w:lvl w:ilvl="1" w:tplc="3E8CD7B8">
      <w:start w:val="1"/>
      <w:numFmt w:val="bullet"/>
      <w:lvlText w:val="o"/>
      <w:lvlJc w:val="left"/>
      <w:pPr>
        <w:ind w:left="1080" w:hanging="360"/>
      </w:pPr>
      <w:rPr>
        <w:rFonts w:ascii="Courier New" w:hAnsi="Courier New" w:hint="default"/>
      </w:rPr>
    </w:lvl>
    <w:lvl w:ilvl="2" w:tplc="4844B5C0">
      <w:start w:val="1"/>
      <w:numFmt w:val="bullet"/>
      <w:lvlText w:val=""/>
      <w:lvlJc w:val="left"/>
      <w:pPr>
        <w:ind w:left="1800" w:hanging="360"/>
      </w:pPr>
      <w:rPr>
        <w:rFonts w:ascii="Wingdings" w:hAnsi="Wingdings" w:hint="default"/>
      </w:rPr>
    </w:lvl>
    <w:lvl w:ilvl="3" w:tplc="11B0F26C">
      <w:start w:val="1"/>
      <w:numFmt w:val="bullet"/>
      <w:lvlText w:val=""/>
      <w:lvlJc w:val="left"/>
      <w:pPr>
        <w:ind w:left="2520" w:hanging="360"/>
      </w:pPr>
      <w:rPr>
        <w:rFonts w:ascii="Symbol" w:hAnsi="Symbol" w:hint="default"/>
      </w:rPr>
    </w:lvl>
    <w:lvl w:ilvl="4" w:tplc="C936C2B0">
      <w:start w:val="1"/>
      <w:numFmt w:val="bullet"/>
      <w:lvlText w:val="o"/>
      <w:lvlJc w:val="left"/>
      <w:pPr>
        <w:ind w:left="3240" w:hanging="360"/>
      </w:pPr>
      <w:rPr>
        <w:rFonts w:ascii="Courier New" w:hAnsi="Courier New" w:hint="default"/>
      </w:rPr>
    </w:lvl>
    <w:lvl w:ilvl="5" w:tplc="58505338">
      <w:start w:val="1"/>
      <w:numFmt w:val="bullet"/>
      <w:lvlText w:val=""/>
      <w:lvlJc w:val="left"/>
      <w:pPr>
        <w:ind w:left="3960" w:hanging="360"/>
      </w:pPr>
      <w:rPr>
        <w:rFonts w:ascii="Wingdings" w:hAnsi="Wingdings" w:hint="default"/>
      </w:rPr>
    </w:lvl>
    <w:lvl w:ilvl="6" w:tplc="F39EA1E0">
      <w:start w:val="1"/>
      <w:numFmt w:val="bullet"/>
      <w:lvlText w:val=""/>
      <w:lvlJc w:val="left"/>
      <w:pPr>
        <w:ind w:left="4680" w:hanging="360"/>
      </w:pPr>
      <w:rPr>
        <w:rFonts w:ascii="Symbol" w:hAnsi="Symbol" w:hint="default"/>
      </w:rPr>
    </w:lvl>
    <w:lvl w:ilvl="7" w:tplc="B484A5E4">
      <w:start w:val="1"/>
      <w:numFmt w:val="bullet"/>
      <w:lvlText w:val="o"/>
      <w:lvlJc w:val="left"/>
      <w:pPr>
        <w:ind w:left="5400" w:hanging="360"/>
      </w:pPr>
      <w:rPr>
        <w:rFonts w:ascii="Courier New" w:hAnsi="Courier New" w:hint="default"/>
      </w:rPr>
    </w:lvl>
    <w:lvl w:ilvl="8" w:tplc="A5647370">
      <w:start w:val="1"/>
      <w:numFmt w:val="bullet"/>
      <w:lvlText w:val=""/>
      <w:lvlJc w:val="left"/>
      <w:pPr>
        <w:ind w:left="6120" w:hanging="360"/>
      </w:pPr>
      <w:rPr>
        <w:rFonts w:ascii="Wingdings" w:hAnsi="Wingdings" w:hint="default"/>
      </w:rPr>
    </w:lvl>
  </w:abstractNum>
  <w:abstractNum w:abstractNumId="26" w15:restartNumberingAfterBreak="0">
    <w:nsid w:val="47D79E0B"/>
    <w:multiLevelType w:val="hybridMultilevel"/>
    <w:tmpl w:val="31482566"/>
    <w:lvl w:ilvl="0" w:tplc="086A4E52">
      <w:start w:val="1"/>
      <w:numFmt w:val="bullet"/>
      <w:lvlText w:val=""/>
      <w:lvlJc w:val="left"/>
      <w:pPr>
        <w:ind w:left="720" w:hanging="360"/>
      </w:pPr>
      <w:rPr>
        <w:rFonts w:ascii="Symbol" w:hAnsi="Symbol" w:hint="default"/>
      </w:rPr>
    </w:lvl>
    <w:lvl w:ilvl="1" w:tplc="F482E138">
      <w:start w:val="1"/>
      <w:numFmt w:val="bullet"/>
      <w:lvlText w:val="o"/>
      <w:lvlJc w:val="left"/>
      <w:pPr>
        <w:ind w:left="1440" w:hanging="360"/>
      </w:pPr>
      <w:rPr>
        <w:rFonts w:ascii="Courier New" w:hAnsi="Courier New" w:hint="default"/>
      </w:rPr>
    </w:lvl>
    <w:lvl w:ilvl="2" w:tplc="E0C8D9B0">
      <w:start w:val="1"/>
      <w:numFmt w:val="bullet"/>
      <w:lvlText w:val=""/>
      <w:lvlJc w:val="left"/>
      <w:pPr>
        <w:ind w:left="2160" w:hanging="360"/>
      </w:pPr>
      <w:rPr>
        <w:rFonts w:ascii="Wingdings" w:hAnsi="Wingdings" w:hint="default"/>
      </w:rPr>
    </w:lvl>
    <w:lvl w:ilvl="3" w:tplc="EA10FC9E">
      <w:start w:val="1"/>
      <w:numFmt w:val="bullet"/>
      <w:lvlText w:val=""/>
      <w:lvlJc w:val="left"/>
      <w:pPr>
        <w:ind w:left="2880" w:hanging="360"/>
      </w:pPr>
      <w:rPr>
        <w:rFonts w:ascii="Symbol" w:hAnsi="Symbol" w:hint="default"/>
      </w:rPr>
    </w:lvl>
    <w:lvl w:ilvl="4" w:tplc="E47A9C90">
      <w:start w:val="1"/>
      <w:numFmt w:val="bullet"/>
      <w:lvlText w:val="o"/>
      <w:lvlJc w:val="left"/>
      <w:pPr>
        <w:ind w:left="3600" w:hanging="360"/>
      </w:pPr>
      <w:rPr>
        <w:rFonts w:ascii="Courier New" w:hAnsi="Courier New" w:hint="default"/>
      </w:rPr>
    </w:lvl>
    <w:lvl w:ilvl="5" w:tplc="A5C63AC4">
      <w:start w:val="1"/>
      <w:numFmt w:val="bullet"/>
      <w:lvlText w:val=""/>
      <w:lvlJc w:val="left"/>
      <w:pPr>
        <w:ind w:left="4320" w:hanging="360"/>
      </w:pPr>
      <w:rPr>
        <w:rFonts w:ascii="Wingdings" w:hAnsi="Wingdings" w:hint="default"/>
      </w:rPr>
    </w:lvl>
    <w:lvl w:ilvl="6" w:tplc="BDFCEC6E">
      <w:start w:val="1"/>
      <w:numFmt w:val="bullet"/>
      <w:lvlText w:val=""/>
      <w:lvlJc w:val="left"/>
      <w:pPr>
        <w:ind w:left="5040" w:hanging="360"/>
      </w:pPr>
      <w:rPr>
        <w:rFonts w:ascii="Symbol" w:hAnsi="Symbol" w:hint="default"/>
      </w:rPr>
    </w:lvl>
    <w:lvl w:ilvl="7" w:tplc="C568E112">
      <w:start w:val="1"/>
      <w:numFmt w:val="bullet"/>
      <w:lvlText w:val="o"/>
      <w:lvlJc w:val="left"/>
      <w:pPr>
        <w:ind w:left="5760" w:hanging="360"/>
      </w:pPr>
      <w:rPr>
        <w:rFonts w:ascii="Courier New" w:hAnsi="Courier New" w:hint="default"/>
      </w:rPr>
    </w:lvl>
    <w:lvl w:ilvl="8" w:tplc="19A051BA">
      <w:start w:val="1"/>
      <w:numFmt w:val="bullet"/>
      <w:lvlText w:val=""/>
      <w:lvlJc w:val="left"/>
      <w:pPr>
        <w:ind w:left="6480" w:hanging="360"/>
      </w:pPr>
      <w:rPr>
        <w:rFonts w:ascii="Wingdings" w:hAnsi="Wingdings" w:hint="default"/>
      </w:rPr>
    </w:lvl>
  </w:abstractNum>
  <w:abstractNum w:abstractNumId="27" w15:restartNumberingAfterBreak="0">
    <w:nsid w:val="4C872FF4"/>
    <w:multiLevelType w:val="hybridMultilevel"/>
    <w:tmpl w:val="61C2B5A0"/>
    <w:lvl w:ilvl="0" w:tplc="2E90B8F0">
      <w:start w:val="1"/>
      <w:numFmt w:val="bullet"/>
      <w:lvlText w:val=""/>
      <w:lvlJc w:val="left"/>
      <w:pPr>
        <w:ind w:left="360" w:hanging="360"/>
      </w:pPr>
      <w:rPr>
        <w:rFonts w:ascii="Symbol" w:hAnsi="Symbol" w:hint="default"/>
      </w:rPr>
    </w:lvl>
    <w:lvl w:ilvl="1" w:tplc="56008EA6">
      <w:start w:val="1"/>
      <w:numFmt w:val="bullet"/>
      <w:lvlText w:val="o"/>
      <w:lvlJc w:val="left"/>
      <w:pPr>
        <w:ind w:left="1080" w:hanging="360"/>
      </w:pPr>
      <w:rPr>
        <w:rFonts w:ascii="Courier New" w:hAnsi="Courier New" w:hint="default"/>
      </w:rPr>
    </w:lvl>
    <w:lvl w:ilvl="2" w:tplc="F9BA1604">
      <w:start w:val="1"/>
      <w:numFmt w:val="bullet"/>
      <w:lvlText w:val=""/>
      <w:lvlJc w:val="left"/>
      <w:pPr>
        <w:ind w:left="1800" w:hanging="360"/>
      </w:pPr>
      <w:rPr>
        <w:rFonts w:ascii="Wingdings" w:hAnsi="Wingdings" w:hint="default"/>
      </w:rPr>
    </w:lvl>
    <w:lvl w:ilvl="3" w:tplc="E4C2AB92">
      <w:start w:val="1"/>
      <w:numFmt w:val="bullet"/>
      <w:lvlText w:val=""/>
      <w:lvlJc w:val="left"/>
      <w:pPr>
        <w:ind w:left="2520" w:hanging="360"/>
      </w:pPr>
      <w:rPr>
        <w:rFonts w:ascii="Symbol" w:hAnsi="Symbol" w:hint="default"/>
      </w:rPr>
    </w:lvl>
    <w:lvl w:ilvl="4" w:tplc="6B1446A2">
      <w:start w:val="1"/>
      <w:numFmt w:val="bullet"/>
      <w:lvlText w:val="o"/>
      <w:lvlJc w:val="left"/>
      <w:pPr>
        <w:ind w:left="3240" w:hanging="360"/>
      </w:pPr>
      <w:rPr>
        <w:rFonts w:ascii="Courier New" w:hAnsi="Courier New" w:hint="default"/>
      </w:rPr>
    </w:lvl>
    <w:lvl w:ilvl="5" w:tplc="423C8B86">
      <w:start w:val="1"/>
      <w:numFmt w:val="bullet"/>
      <w:lvlText w:val=""/>
      <w:lvlJc w:val="left"/>
      <w:pPr>
        <w:ind w:left="3960" w:hanging="360"/>
      </w:pPr>
      <w:rPr>
        <w:rFonts w:ascii="Wingdings" w:hAnsi="Wingdings" w:hint="default"/>
      </w:rPr>
    </w:lvl>
    <w:lvl w:ilvl="6" w:tplc="38048216">
      <w:start w:val="1"/>
      <w:numFmt w:val="bullet"/>
      <w:lvlText w:val=""/>
      <w:lvlJc w:val="left"/>
      <w:pPr>
        <w:ind w:left="4680" w:hanging="360"/>
      </w:pPr>
      <w:rPr>
        <w:rFonts w:ascii="Symbol" w:hAnsi="Symbol" w:hint="default"/>
      </w:rPr>
    </w:lvl>
    <w:lvl w:ilvl="7" w:tplc="1E784CB6">
      <w:start w:val="1"/>
      <w:numFmt w:val="bullet"/>
      <w:lvlText w:val="o"/>
      <w:lvlJc w:val="left"/>
      <w:pPr>
        <w:ind w:left="5400" w:hanging="360"/>
      </w:pPr>
      <w:rPr>
        <w:rFonts w:ascii="Courier New" w:hAnsi="Courier New" w:hint="default"/>
      </w:rPr>
    </w:lvl>
    <w:lvl w:ilvl="8" w:tplc="601CA96C">
      <w:start w:val="1"/>
      <w:numFmt w:val="bullet"/>
      <w:lvlText w:val=""/>
      <w:lvlJc w:val="left"/>
      <w:pPr>
        <w:ind w:left="6120" w:hanging="360"/>
      </w:pPr>
      <w:rPr>
        <w:rFonts w:ascii="Wingdings" w:hAnsi="Wingdings" w:hint="default"/>
      </w:rPr>
    </w:lvl>
  </w:abstractNum>
  <w:abstractNum w:abstractNumId="28" w15:restartNumberingAfterBreak="0">
    <w:nsid w:val="4D77C8D0"/>
    <w:multiLevelType w:val="hybridMultilevel"/>
    <w:tmpl w:val="2612D59E"/>
    <w:lvl w:ilvl="0" w:tplc="CAB8A94C">
      <w:start w:val="1"/>
      <w:numFmt w:val="bullet"/>
      <w:lvlText w:val=""/>
      <w:lvlJc w:val="left"/>
      <w:pPr>
        <w:ind w:left="360" w:hanging="360"/>
      </w:pPr>
      <w:rPr>
        <w:rFonts w:ascii="Symbol" w:hAnsi="Symbol" w:hint="default"/>
      </w:rPr>
    </w:lvl>
    <w:lvl w:ilvl="1" w:tplc="4562304C">
      <w:start w:val="1"/>
      <w:numFmt w:val="bullet"/>
      <w:lvlText w:val="o"/>
      <w:lvlJc w:val="left"/>
      <w:pPr>
        <w:ind w:left="1080" w:hanging="360"/>
      </w:pPr>
      <w:rPr>
        <w:rFonts w:ascii="Courier New" w:hAnsi="Courier New" w:hint="default"/>
      </w:rPr>
    </w:lvl>
    <w:lvl w:ilvl="2" w:tplc="4A0AEE48">
      <w:start w:val="1"/>
      <w:numFmt w:val="bullet"/>
      <w:lvlText w:val=""/>
      <w:lvlJc w:val="left"/>
      <w:pPr>
        <w:ind w:left="1800" w:hanging="360"/>
      </w:pPr>
      <w:rPr>
        <w:rFonts w:ascii="Wingdings" w:hAnsi="Wingdings" w:hint="default"/>
      </w:rPr>
    </w:lvl>
    <w:lvl w:ilvl="3" w:tplc="E5242F52">
      <w:start w:val="1"/>
      <w:numFmt w:val="bullet"/>
      <w:lvlText w:val=""/>
      <w:lvlJc w:val="left"/>
      <w:pPr>
        <w:ind w:left="2520" w:hanging="360"/>
      </w:pPr>
      <w:rPr>
        <w:rFonts w:ascii="Symbol" w:hAnsi="Symbol" w:hint="default"/>
      </w:rPr>
    </w:lvl>
    <w:lvl w:ilvl="4" w:tplc="C90EA1FA">
      <w:start w:val="1"/>
      <w:numFmt w:val="bullet"/>
      <w:lvlText w:val="o"/>
      <w:lvlJc w:val="left"/>
      <w:pPr>
        <w:ind w:left="3240" w:hanging="360"/>
      </w:pPr>
      <w:rPr>
        <w:rFonts w:ascii="Courier New" w:hAnsi="Courier New" w:hint="default"/>
      </w:rPr>
    </w:lvl>
    <w:lvl w:ilvl="5" w:tplc="9FDC3230">
      <w:start w:val="1"/>
      <w:numFmt w:val="bullet"/>
      <w:lvlText w:val=""/>
      <w:lvlJc w:val="left"/>
      <w:pPr>
        <w:ind w:left="3960" w:hanging="360"/>
      </w:pPr>
      <w:rPr>
        <w:rFonts w:ascii="Wingdings" w:hAnsi="Wingdings" w:hint="default"/>
      </w:rPr>
    </w:lvl>
    <w:lvl w:ilvl="6" w:tplc="A6603316">
      <w:start w:val="1"/>
      <w:numFmt w:val="bullet"/>
      <w:lvlText w:val=""/>
      <w:lvlJc w:val="left"/>
      <w:pPr>
        <w:ind w:left="4680" w:hanging="360"/>
      </w:pPr>
      <w:rPr>
        <w:rFonts w:ascii="Symbol" w:hAnsi="Symbol" w:hint="default"/>
      </w:rPr>
    </w:lvl>
    <w:lvl w:ilvl="7" w:tplc="62F01966">
      <w:start w:val="1"/>
      <w:numFmt w:val="bullet"/>
      <w:lvlText w:val="o"/>
      <w:lvlJc w:val="left"/>
      <w:pPr>
        <w:ind w:left="5400" w:hanging="360"/>
      </w:pPr>
      <w:rPr>
        <w:rFonts w:ascii="Courier New" w:hAnsi="Courier New" w:hint="default"/>
      </w:rPr>
    </w:lvl>
    <w:lvl w:ilvl="8" w:tplc="E634FCCA">
      <w:start w:val="1"/>
      <w:numFmt w:val="bullet"/>
      <w:lvlText w:val=""/>
      <w:lvlJc w:val="left"/>
      <w:pPr>
        <w:ind w:left="6120" w:hanging="360"/>
      </w:pPr>
      <w:rPr>
        <w:rFonts w:ascii="Wingdings" w:hAnsi="Wingdings" w:hint="default"/>
      </w:rPr>
    </w:lvl>
  </w:abstractNum>
  <w:abstractNum w:abstractNumId="29" w15:restartNumberingAfterBreak="0">
    <w:nsid w:val="51F17C08"/>
    <w:multiLevelType w:val="hybridMultilevel"/>
    <w:tmpl w:val="62769E14"/>
    <w:lvl w:ilvl="0" w:tplc="F0D4A042">
      <w:start w:val="1"/>
      <w:numFmt w:val="bullet"/>
      <w:lvlText w:val=""/>
      <w:lvlJc w:val="left"/>
      <w:pPr>
        <w:ind w:left="720" w:hanging="360"/>
      </w:pPr>
      <w:rPr>
        <w:rFonts w:ascii="Symbol" w:hAnsi="Symbol" w:hint="default"/>
      </w:rPr>
    </w:lvl>
    <w:lvl w:ilvl="1" w:tplc="6F00F092">
      <w:start w:val="1"/>
      <w:numFmt w:val="bullet"/>
      <w:lvlText w:val="o"/>
      <w:lvlJc w:val="left"/>
      <w:pPr>
        <w:ind w:left="1440" w:hanging="360"/>
      </w:pPr>
      <w:rPr>
        <w:rFonts w:ascii="Courier New" w:hAnsi="Courier New" w:hint="default"/>
      </w:rPr>
    </w:lvl>
    <w:lvl w:ilvl="2" w:tplc="B20019CA">
      <w:start w:val="1"/>
      <w:numFmt w:val="bullet"/>
      <w:lvlText w:val=""/>
      <w:lvlJc w:val="left"/>
      <w:pPr>
        <w:ind w:left="2160" w:hanging="360"/>
      </w:pPr>
      <w:rPr>
        <w:rFonts w:ascii="Wingdings" w:hAnsi="Wingdings" w:hint="default"/>
      </w:rPr>
    </w:lvl>
    <w:lvl w:ilvl="3" w:tplc="D5A25576">
      <w:start w:val="1"/>
      <w:numFmt w:val="bullet"/>
      <w:lvlText w:val=""/>
      <w:lvlJc w:val="left"/>
      <w:pPr>
        <w:ind w:left="2880" w:hanging="360"/>
      </w:pPr>
      <w:rPr>
        <w:rFonts w:ascii="Symbol" w:hAnsi="Symbol" w:hint="default"/>
      </w:rPr>
    </w:lvl>
    <w:lvl w:ilvl="4" w:tplc="13D4F9FE">
      <w:start w:val="1"/>
      <w:numFmt w:val="bullet"/>
      <w:lvlText w:val="o"/>
      <w:lvlJc w:val="left"/>
      <w:pPr>
        <w:ind w:left="3600" w:hanging="360"/>
      </w:pPr>
      <w:rPr>
        <w:rFonts w:ascii="Courier New" w:hAnsi="Courier New" w:hint="default"/>
      </w:rPr>
    </w:lvl>
    <w:lvl w:ilvl="5" w:tplc="1F9880E2">
      <w:start w:val="1"/>
      <w:numFmt w:val="bullet"/>
      <w:lvlText w:val=""/>
      <w:lvlJc w:val="left"/>
      <w:pPr>
        <w:ind w:left="4320" w:hanging="360"/>
      </w:pPr>
      <w:rPr>
        <w:rFonts w:ascii="Wingdings" w:hAnsi="Wingdings" w:hint="default"/>
      </w:rPr>
    </w:lvl>
    <w:lvl w:ilvl="6" w:tplc="FB36E9AC">
      <w:start w:val="1"/>
      <w:numFmt w:val="bullet"/>
      <w:lvlText w:val=""/>
      <w:lvlJc w:val="left"/>
      <w:pPr>
        <w:ind w:left="5040" w:hanging="360"/>
      </w:pPr>
      <w:rPr>
        <w:rFonts w:ascii="Symbol" w:hAnsi="Symbol" w:hint="default"/>
      </w:rPr>
    </w:lvl>
    <w:lvl w:ilvl="7" w:tplc="0472CBAC">
      <w:start w:val="1"/>
      <w:numFmt w:val="bullet"/>
      <w:lvlText w:val="o"/>
      <w:lvlJc w:val="left"/>
      <w:pPr>
        <w:ind w:left="5760" w:hanging="360"/>
      </w:pPr>
      <w:rPr>
        <w:rFonts w:ascii="Courier New" w:hAnsi="Courier New" w:hint="default"/>
      </w:rPr>
    </w:lvl>
    <w:lvl w:ilvl="8" w:tplc="35F0A4E4">
      <w:start w:val="1"/>
      <w:numFmt w:val="bullet"/>
      <w:lvlText w:val=""/>
      <w:lvlJc w:val="left"/>
      <w:pPr>
        <w:ind w:left="6480" w:hanging="360"/>
      </w:pPr>
      <w:rPr>
        <w:rFonts w:ascii="Wingdings" w:hAnsi="Wingdings" w:hint="default"/>
      </w:rPr>
    </w:lvl>
  </w:abstractNum>
  <w:abstractNum w:abstractNumId="30" w15:restartNumberingAfterBreak="0">
    <w:nsid w:val="53868A89"/>
    <w:multiLevelType w:val="hybridMultilevel"/>
    <w:tmpl w:val="E9E0B4B6"/>
    <w:lvl w:ilvl="0" w:tplc="1E0E7BB8">
      <w:start w:val="1"/>
      <w:numFmt w:val="bullet"/>
      <w:lvlText w:val=""/>
      <w:lvlJc w:val="left"/>
      <w:pPr>
        <w:ind w:left="720" w:hanging="360"/>
      </w:pPr>
      <w:rPr>
        <w:rFonts w:ascii="Symbol" w:hAnsi="Symbol" w:hint="default"/>
      </w:rPr>
    </w:lvl>
    <w:lvl w:ilvl="1" w:tplc="A016DF64">
      <w:start w:val="1"/>
      <w:numFmt w:val="bullet"/>
      <w:lvlText w:val="o"/>
      <w:lvlJc w:val="left"/>
      <w:pPr>
        <w:ind w:left="1440" w:hanging="360"/>
      </w:pPr>
      <w:rPr>
        <w:rFonts w:ascii="Courier New" w:hAnsi="Courier New" w:hint="default"/>
      </w:rPr>
    </w:lvl>
    <w:lvl w:ilvl="2" w:tplc="ADDE966E">
      <w:start w:val="1"/>
      <w:numFmt w:val="bullet"/>
      <w:lvlText w:val=""/>
      <w:lvlJc w:val="left"/>
      <w:pPr>
        <w:ind w:left="2160" w:hanging="360"/>
      </w:pPr>
      <w:rPr>
        <w:rFonts w:ascii="Wingdings" w:hAnsi="Wingdings" w:hint="default"/>
      </w:rPr>
    </w:lvl>
    <w:lvl w:ilvl="3" w:tplc="9CF04FB4">
      <w:start w:val="1"/>
      <w:numFmt w:val="bullet"/>
      <w:lvlText w:val=""/>
      <w:lvlJc w:val="left"/>
      <w:pPr>
        <w:ind w:left="2880" w:hanging="360"/>
      </w:pPr>
      <w:rPr>
        <w:rFonts w:ascii="Symbol" w:hAnsi="Symbol" w:hint="default"/>
      </w:rPr>
    </w:lvl>
    <w:lvl w:ilvl="4" w:tplc="23F4B5AE">
      <w:start w:val="1"/>
      <w:numFmt w:val="bullet"/>
      <w:lvlText w:val="o"/>
      <w:lvlJc w:val="left"/>
      <w:pPr>
        <w:ind w:left="3600" w:hanging="360"/>
      </w:pPr>
      <w:rPr>
        <w:rFonts w:ascii="Courier New" w:hAnsi="Courier New" w:hint="default"/>
      </w:rPr>
    </w:lvl>
    <w:lvl w:ilvl="5" w:tplc="73006712">
      <w:start w:val="1"/>
      <w:numFmt w:val="bullet"/>
      <w:lvlText w:val=""/>
      <w:lvlJc w:val="left"/>
      <w:pPr>
        <w:ind w:left="4320" w:hanging="360"/>
      </w:pPr>
      <w:rPr>
        <w:rFonts w:ascii="Wingdings" w:hAnsi="Wingdings" w:hint="default"/>
      </w:rPr>
    </w:lvl>
    <w:lvl w:ilvl="6" w:tplc="8E76BF2C">
      <w:start w:val="1"/>
      <w:numFmt w:val="bullet"/>
      <w:lvlText w:val=""/>
      <w:lvlJc w:val="left"/>
      <w:pPr>
        <w:ind w:left="5040" w:hanging="360"/>
      </w:pPr>
      <w:rPr>
        <w:rFonts w:ascii="Symbol" w:hAnsi="Symbol" w:hint="default"/>
      </w:rPr>
    </w:lvl>
    <w:lvl w:ilvl="7" w:tplc="B254EAF0">
      <w:start w:val="1"/>
      <w:numFmt w:val="bullet"/>
      <w:lvlText w:val="o"/>
      <w:lvlJc w:val="left"/>
      <w:pPr>
        <w:ind w:left="5760" w:hanging="360"/>
      </w:pPr>
      <w:rPr>
        <w:rFonts w:ascii="Courier New" w:hAnsi="Courier New" w:hint="default"/>
      </w:rPr>
    </w:lvl>
    <w:lvl w:ilvl="8" w:tplc="8DB24D3C">
      <w:start w:val="1"/>
      <w:numFmt w:val="bullet"/>
      <w:lvlText w:val=""/>
      <w:lvlJc w:val="left"/>
      <w:pPr>
        <w:ind w:left="6480" w:hanging="360"/>
      </w:pPr>
      <w:rPr>
        <w:rFonts w:ascii="Wingdings" w:hAnsi="Wingdings" w:hint="default"/>
      </w:rPr>
    </w:lvl>
  </w:abstractNum>
  <w:abstractNum w:abstractNumId="31" w15:restartNumberingAfterBreak="0">
    <w:nsid w:val="70471495"/>
    <w:multiLevelType w:val="hybridMultilevel"/>
    <w:tmpl w:val="DB7A8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1B9A928"/>
    <w:multiLevelType w:val="hybridMultilevel"/>
    <w:tmpl w:val="C2664C86"/>
    <w:lvl w:ilvl="0" w:tplc="2D4280FE">
      <w:start w:val="1"/>
      <w:numFmt w:val="bullet"/>
      <w:lvlText w:val=""/>
      <w:lvlJc w:val="left"/>
      <w:pPr>
        <w:ind w:left="720" w:hanging="360"/>
      </w:pPr>
      <w:rPr>
        <w:rFonts w:ascii="Symbol" w:hAnsi="Symbol" w:hint="default"/>
      </w:rPr>
    </w:lvl>
    <w:lvl w:ilvl="1" w:tplc="10DE92D0">
      <w:start w:val="1"/>
      <w:numFmt w:val="bullet"/>
      <w:lvlText w:val="o"/>
      <w:lvlJc w:val="left"/>
      <w:pPr>
        <w:ind w:left="1440" w:hanging="360"/>
      </w:pPr>
      <w:rPr>
        <w:rFonts w:ascii="Courier New" w:hAnsi="Courier New" w:hint="default"/>
      </w:rPr>
    </w:lvl>
    <w:lvl w:ilvl="2" w:tplc="CBA89E9C">
      <w:start w:val="1"/>
      <w:numFmt w:val="bullet"/>
      <w:lvlText w:val=""/>
      <w:lvlJc w:val="left"/>
      <w:pPr>
        <w:ind w:left="2160" w:hanging="360"/>
      </w:pPr>
      <w:rPr>
        <w:rFonts w:ascii="Wingdings" w:hAnsi="Wingdings" w:hint="default"/>
      </w:rPr>
    </w:lvl>
    <w:lvl w:ilvl="3" w:tplc="4088EEEA">
      <w:start w:val="1"/>
      <w:numFmt w:val="bullet"/>
      <w:lvlText w:val=""/>
      <w:lvlJc w:val="left"/>
      <w:pPr>
        <w:ind w:left="2880" w:hanging="360"/>
      </w:pPr>
      <w:rPr>
        <w:rFonts w:ascii="Symbol" w:hAnsi="Symbol" w:hint="default"/>
      </w:rPr>
    </w:lvl>
    <w:lvl w:ilvl="4" w:tplc="3BFCAFBE">
      <w:start w:val="1"/>
      <w:numFmt w:val="bullet"/>
      <w:lvlText w:val="o"/>
      <w:lvlJc w:val="left"/>
      <w:pPr>
        <w:ind w:left="3600" w:hanging="360"/>
      </w:pPr>
      <w:rPr>
        <w:rFonts w:ascii="Courier New" w:hAnsi="Courier New" w:hint="default"/>
      </w:rPr>
    </w:lvl>
    <w:lvl w:ilvl="5" w:tplc="79B6AEF8">
      <w:start w:val="1"/>
      <w:numFmt w:val="bullet"/>
      <w:lvlText w:val=""/>
      <w:lvlJc w:val="left"/>
      <w:pPr>
        <w:ind w:left="4320" w:hanging="360"/>
      </w:pPr>
      <w:rPr>
        <w:rFonts w:ascii="Wingdings" w:hAnsi="Wingdings" w:hint="default"/>
      </w:rPr>
    </w:lvl>
    <w:lvl w:ilvl="6" w:tplc="00FC2EDA">
      <w:start w:val="1"/>
      <w:numFmt w:val="bullet"/>
      <w:lvlText w:val=""/>
      <w:lvlJc w:val="left"/>
      <w:pPr>
        <w:ind w:left="5040" w:hanging="360"/>
      </w:pPr>
      <w:rPr>
        <w:rFonts w:ascii="Symbol" w:hAnsi="Symbol" w:hint="default"/>
      </w:rPr>
    </w:lvl>
    <w:lvl w:ilvl="7" w:tplc="F05C8278">
      <w:start w:val="1"/>
      <w:numFmt w:val="bullet"/>
      <w:lvlText w:val="o"/>
      <w:lvlJc w:val="left"/>
      <w:pPr>
        <w:ind w:left="5760" w:hanging="360"/>
      </w:pPr>
      <w:rPr>
        <w:rFonts w:ascii="Courier New" w:hAnsi="Courier New" w:hint="default"/>
      </w:rPr>
    </w:lvl>
    <w:lvl w:ilvl="8" w:tplc="97703D7A">
      <w:start w:val="1"/>
      <w:numFmt w:val="bullet"/>
      <w:lvlText w:val=""/>
      <w:lvlJc w:val="left"/>
      <w:pPr>
        <w:ind w:left="6480" w:hanging="360"/>
      </w:pPr>
      <w:rPr>
        <w:rFonts w:ascii="Wingdings" w:hAnsi="Wingdings" w:hint="default"/>
      </w:rPr>
    </w:lvl>
  </w:abstractNum>
  <w:abstractNum w:abstractNumId="33" w15:restartNumberingAfterBreak="0">
    <w:nsid w:val="734A57C4"/>
    <w:multiLevelType w:val="hybridMultilevel"/>
    <w:tmpl w:val="9BFA32EE"/>
    <w:lvl w:ilvl="0" w:tplc="485A0060">
      <w:start w:val="1"/>
      <w:numFmt w:val="bullet"/>
      <w:lvlText w:val=""/>
      <w:lvlJc w:val="left"/>
      <w:pPr>
        <w:ind w:left="720" w:hanging="360"/>
      </w:pPr>
      <w:rPr>
        <w:rFonts w:ascii="Symbol" w:hAnsi="Symbol" w:hint="default"/>
      </w:rPr>
    </w:lvl>
    <w:lvl w:ilvl="1" w:tplc="BEFC7072">
      <w:start w:val="1"/>
      <w:numFmt w:val="bullet"/>
      <w:lvlText w:val="o"/>
      <w:lvlJc w:val="left"/>
      <w:pPr>
        <w:ind w:left="1440" w:hanging="360"/>
      </w:pPr>
      <w:rPr>
        <w:rFonts w:ascii="Courier New" w:hAnsi="Courier New" w:hint="default"/>
      </w:rPr>
    </w:lvl>
    <w:lvl w:ilvl="2" w:tplc="20967068">
      <w:start w:val="1"/>
      <w:numFmt w:val="bullet"/>
      <w:lvlText w:val=""/>
      <w:lvlJc w:val="left"/>
      <w:pPr>
        <w:ind w:left="2160" w:hanging="360"/>
      </w:pPr>
      <w:rPr>
        <w:rFonts w:ascii="Wingdings" w:hAnsi="Wingdings" w:hint="default"/>
      </w:rPr>
    </w:lvl>
    <w:lvl w:ilvl="3" w:tplc="D5F83AAA">
      <w:start w:val="1"/>
      <w:numFmt w:val="bullet"/>
      <w:lvlText w:val=""/>
      <w:lvlJc w:val="left"/>
      <w:pPr>
        <w:ind w:left="2880" w:hanging="360"/>
      </w:pPr>
      <w:rPr>
        <w:rFonts w:ascii="Symbol" w:hAnsi="Symbol" w:hint="default"/>
      </w:rPr>
    </w:lvl>
    <w:lvl w:ilvl="4" w:tplc="D9203B92">
      <w:start w:val="1"/>
      <w:numFmt w:val="bullet"/>
      <w:lvlText w:val="o"/>
      <w:lvlJc w:val="left"/>
      <w:pPr>
        <w:ind w:left="3600" w:hanging="360"/>
      </w:pPr>
      <w:rPr>
        <w:rFonts w:ascii="Courier New" w:hAnsi="Courier New" w:hint="default"/>
      </w:rPr>
    </w:lvl>
    <w:lvl w:ilvl="5" w:tplc="C5D4E4F6">
      <w:start w:val="1"/>
      <w:numFmt w:val="bullet"/>
      <w:lvlText w:val=""/>
      <w:lvlJc w:val="left"/>
      <w:pPr>
        <w:ind w:left="4320" w:hanging="360"/>
      </w:pPr>
      <w:rPr>
        <w:rFonts w:ascii="Wingdings" w:hAnsi="Wingdings" w:hint="default"/>
      </w:rPr>
    </w:lvl>
    <w:lvl w:ilvl="6" w:tplc="4B3A70F8">
      <w:start w:val="1"/>
      <w:numFmt w:val="bullet"/>
      <w:lvlText w:val=""/>
      <w:lvlJc w:val="left"/>
      <w:pPr>
        <w:ind w:left="5040" w:hanging="360"/>
      </w:pPr>
      <w:rPr>
        <w:rFonts w:ascii="Symbol" w:hAnsi="Symbol" w:hint="default"/>
      </w:rPr>
    </w:lvl>
    <w:lvl w:ilvl="7" w:tplc="32704880">
      <w:start w:val="1"/>
      <w:numFmt w:val="bullet"/>
      <w:lvlText w:val="o"/>
      <w:lvlJc w:val="left"/>
      <w:pPr>
        <w:ind w:left="5760" w:hanging="360"/>
      </w:pPr>
      <w:rPr>
        <w:rFonts w:ascii="Courier New" w:hAnsi="Courier New" w:hint="default"/>
      </w:rPr>
    </w:lvl>
    <w:lvl w:ilvl="8" w:tplc="C5225486">
      <w:start w:val="1"/>
      <w:numFmt w:val="bullet"/>
      <w:lvlText w:val=""/>
      <w:lvlJc w:val="left"/>
      <w:pPr>
        <w:ind w:left="6480" w:hanging="360"/>
      </w:pPr>
      <w:rPr>
        <w:rFonts w:ascii="Wingdings" w:hAnsi="Wingdings" w:hint="default"/>
      </w:rPr>
    </w:lvl>
  </w:abstractNum>
  <w:abstractNum w:abstractNumId="34" w15:restartNumberingAfterBreak="0">
    <w:nsid w:val="744A10F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5F29BF9"/>
    <w:multiLevelType w:val="hybridMultilevel"/>
    <w:tmpl w:val="E6E6C50C"/>
    <w:lvl w:ilvl="0" w:tplc="101E94BE">
      <w:start w:val="1"/>
      <w:numFmt w:val="bullet"/>
      <w:lvlText w:val=""/>
      <w:lvlJc w:val="left"/>
      <w:pPr>
        <w:ind w:left="720" w:hanging="360"/>
      </w:pPr>
      <w:rPr>
        <w:rFonts w:ascii="Symbol" w:hAnsi="Symbol" w:hint="default"/>
      </w:rPr>
    </w:lvl>
    <w:lvl w:ilvl="1" w:tplc="E84C2C3C">
      <w:start w:val="1"/>
      <w:numFmt w:val="bullet"/>
      <w:lvlText w:val="o"/>
      <w:lvlJc w:val="left"/>
      <w:pPr>
        <w:ind w:left="1440" w:hanging="360"/>
      </w:pPr>
      <w:rPr>
        <w:rFonts w:ascii="Courier New" w:hAnsi="Courier New" w:hint="default"/>
      </w:rPr>
    </w:lvl>
    <w:lvl w:ilvl="2" w:tplc="5314B6B6">
      <w:start w:val="1"/>
      <w:numFmt w:val="bullet"/>
      <w:lvlText w:val=""/>
      <w:lvlJc w:val="left"/>
      <w:pPr>
        <w:ind w:left="2160" w:hanging="360"/>
      </w:pPr>
      <w:rPr>
        <w:rFonts w:ascii="Wingdings" w:hAnsi="Wingdings" w:hint="default"/>
      </w:rPr>
    </w:lvl>
    <w:lvl w:ilvl="3" w:tplc="E110DDF4">
      <w:start w:val="1"/>
      <w:numFmt w:val="bullet"/>
      <w:lvlText w:val=""/>
      <w:lvlJc w:val="left"/>
      <w:pPr>
        <w:ind w:left="2880" w:hanging="360"/>
      </w:pPr>
      <w:rPr>
        <w:rFonts w:ascii="Symbol" w:hAnsi="Symbol" w:hint="default"/>
      </w:rPr>
    </w:lvl>
    <w:lvl w:ilvl="4" w:tplc="863AD63C">
      <w:start w:val="1"/>
      <w:numFmt w:val="bullet"/>
      <w:lvlText w:val="o"/>
      <w:lvlJc w:val="left"/>
      <w:pPr>
        <w:ind w:left="3600" w:hanging="360"/>
      </w:pPr>
      <w:rPr>
        <w:rFonts w:ascii="Courier New" w:hAnsi="Courier New" w:hint="default"/>
      </w:rPr>
    </w:lvl>
    <w:lvl w:ilvl="5" w:tplc="74A8DA2A">
      <w:start w:val="1"/>
      <w:numFmt w:val="bullet"/>
      <w:lvlText w:val=""/>
      <w:lvlJc w:val="left"/>
      <w:pPr>
        <w:ind w:left="4320" w:hanging="360"/>
      </w:pPr>
      <w:rPr>
        <w:rFonts w:ascii="Wingdings" w:hAnsi="Wingdings" w:hint="default"/>
      </w:rPr>
    </w:lvl>
    <w:lvl w:ilvl="6" w:tplc="F7669684">
      <w:start w:val="1"/>
      <w:numFmt w:val="bullet"/>
      <w:lvlText w:val=""/>
      <w:lvlJc w:val="left"/>
      <w:pPr>
        <w:ind w:left="5040" w:hanging="360"/>
      </w:pPr>
      <w:rPr>
        <w:rFonts w:ascii="Symbol" w:hAnsi="Symbol" w:hint="default"/>
      </w:rPr>
    </w:lvl>
    <w:lvl w:ilvl="7" w:tplc="ECA07B3C">
      <w:start w:val="1"/>
      <w:numFmt w:val="bullet"/>
      <w:lvlText w:val="o"/>
      <w:lvlJc w:val="left"/>
      <w:pPr>
        <w:ind w:left="5760" w:hanging="360"/>
      </w:pPr>
      <w:rPr>
        <w:rFonts w:ascii="Courier New" w:hAnsi="Courier New" w:hint="default"/>
      </w:rPr>
    </w:lvl>
    <w:lvl w:ilvl="8" w:tplc="0B80AED6">
      <w:start w:val="1"/>
      <w:numFmt w:val="bullet"/>
      <w:lvlText w:val=""/>
      <w:lvlJc w:val="left"/>
      <w:pPr>
        <w:ind w:left="6480" w:hanging="360"/>
      </w:pPr>
      <w:rPr>
        <w:rFonts w:ascii="Wingdings" w:hAnsi="Wingdings" w:hint="default"/>
      </w:rPr>
    </w:lvl>
  </w:abstractNum>
  <w:abstractNum w:abstractNumId="36" w15:restartNumberingAfterBreak="0">
    <w:nsid w:val="76F6E0F1"/>
    <w:multiLevelType w:val="hybridMultilevel"/>
    <w:tmpl w:val="BFDAB26E"/>
    <w:lvl w:ilvl="0" w:tplc="C9F2F4C4">
      <w:start w:val="1"/>
      <w:numFmt w:val="bullet"/>
      <w:lvlText w:val=""/>
      <w:lvlJc w:val="left"/>
      <w:pPr>
        <w:ind w:left="360" w:hanging="360"/>
      </w:pPr>
      <w:rPr>
        <w:rFonts w:ascii="Symbol" w:hAnsi="Symbol" w:hint="default"/>
      </w:rPr>
    </w:lvl>
    <w:lvl w:ilvl="1" w:tplc="9680211E">
      <w:start w:val="1"/>
      <w:numFmt w:val="bullet"/>
      <w:lvlText w:val="o"/>
      <w:lvlJc w:val="left"/>
      <w:pPr>
        <w:ind w:left="1080" w:hanging="360"/>
      </w:pPr>
      <w:rPr>
        <w:rFonts w:ascii="Courier New" w:hAnsi="Courier New" w:hint="default"/>
      </w:rPr>
    </w:lvl>
    <w:lvl w:ilvl="2" w:tplc="F9A4B866">
      <w:start w:val="1"/>
      <w:numFmt w:val="bullet"/>
      <w:lvlText w:val=""/>
      <w:lvlJc w:val="left"/>
      <w:pPr>
        <w:ind w:left="1800" w:hanging="360"/>
      </w:pPr>
      <w:rPr>
        <w:rFonts w:ascii="Wingdings" w:hAnsi="Wingdings" w:hint="default"/>
      </w:rPr>
    </w:lvl>
    <w:lvl w:ilvl="3" w:tplc="AD46F95E">
      <w:start w:val="1"/>
      <w:numFmt w:val="bullet"/>
      <w:lvlText w:val=""/>
      <w:lvlJc w:val="left"/>
      <w:pPr>
        <w:ind w:left="2520" w:hanging="360"/>
      </w:pPr>
      <w:rPr>
        <w:rFonts w:ascii="Symbol" w:hAnsi="Symbol" w:hint="default"/>
      </w:rPr>
    </w:lvl>
    <w:lvl w:ilvl="4" w:tplc="48E4B6A2">
      <w:start w:val="1"/>
      <w:numFmt w:val="bullet"/>
      <w:lvlText w:val="o"/>
      <w:lvlJc w:val="left"/>
      <w:pPr>
        <w:ind w:left="3240" w:hanging="360"/>
      </w:pPr>
      <w:rPr>
        <w:rFonts w:ascii="Courier New" w:hAnsi="Courier New" w:hint="default"/>
      </w:rPr>
    </w:lvl>
    <w:lvl w:ilvl="5" w:tplc="DC7C2F4A">
      <w:start w:val="1"/>
      <w:numFmt w:val="bullet"/>
      <w:lvlText w:val=""/>
      <w:lvlJc w:val="left"/>
      <w:pPr>
        <w:ind w:left="3960" w:hanging="360"/>
      </w:pPr>
      <w:rPr>
        <w:rFonts w:ascii="Wingdings" w:hAnsi="Wingdings" w:hint="default"/>
      </w:rPr>
    </w:lvl>
    <w:lvl w:ilvl="6" w:tplc="7DA22668">
      <w:start w:val="1"/>
      <w:numFmt w:val="bullet"/>
      <w:lvlText w:val=""/>
      <w:lvlJc w:val="left"/>
      <w:pPr>
        <w:ind w:left="4680" w:hanging="360"/>
      </w:pPr>
      <w:rPr>
        <w:rFonts w:ascii="Symbol" w:hAnsi="Symbol" w:hint="default"/>
      </w:rPr>
    </w:lvl>
    <w:lvl w:ilvl="7" w:tplc="D43C9502">
      <w:start w:val="1"/>
      <w:numFmt w:val="bullet"/>
      <w:lvlText w:val="o"/>
      <w:lvlJc w:val="left"/>
      <w:pPr>
        <w:ind w:left="5400" w:hanging="360"/>
      </w:pPr>
      <w:rPr>
        <w:rFonts w:ascii="Courier New" w:hAnsi="Courier New" w:hint="default"/>
      </w:rPr>
    </w:lvl>
    <w:lvl w:ilvl="8" w:tplc="1B724B36">
      <w:start w:val="1"/>
      <w:numFmt w:val="bullet"/>
      <w:lvlText w:val=""/>
      <w:lvlJc w:val="left"/>
      <w:pPr>
        <w:ind w:left="6120" w:hanging="360"/>
      </w:pPr>
      <w:rPr>
        <w:rFonts w:ascii="Wingdings" w:hAnsi="Wingdings" w:hint="default"/>
      </w:rPr>
    </w:lvl>
  </w:abstractNum>
  <w:abstractNum w:abstractNumId="37" w15:restartNumberingAfterBreak="0">
    <w:nsid w:val="7AC11945"/>
    <w:multiLevelType w:val="hybridMultilevel"/>
    <w:tmpl w:val="2E5A95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9328B5"/>
    <w:multiLevelType w:val="hybridMultilevel"/>
    <w:tmpl w:val="DAAEDC68"/>
    <w:lvl w:ilvl="0" w:tplc="272AE14A">
      <w:start w:val="1"/>
      <w:numFmt w:val="bullet"/>
      <w:lvlText w:val=""/>
      <w:lvlJc w:val="left"/>
      <w:pPr>
        <w:ind w:left="360" w:hanging="360"/>
      </w:pPr>
      <w:rPr>
        <w:rFonts w:ascii="Symbol" w:hAnsi="Symbol" w:hint="default"/>
      </w:rPr>
    </w:lvl>
    <w:lvl w:ilvl="1" w:tplc="5DFE774E">
      <w:start w:val="1"/>
      <w:numFmt w:val="bullet"/>
      <w:lvlText w:val="o"/>
      <w:lvlJc w:val="left"/>
      <w:pPr>
        <w:ind w:left="1080" w:hanging="360"/>
      </w:pPr>
      <w:rPr>
        <w:rFonts w:ascii="Courier New" w:hAnsi="Courier New" w:hint="default"/>
      </w:rPr>
    </w:lvl>
    <w:lvl w:ilvl="2" w:tplc="498026A8">
      <w:start w:val="1"/>
      <w:numFmt w:val="bullet"/>
      <w:lvlText w:val=""/>
      <w:lvlJc w:val="left"/>
      <w:pPr>
        <w:ind w:left="1800" w:hanging="360"/>
      </w:pPr>
      <w:rPr>
        <w:rFonts w:ascii="Wingdings" w:hAnsi="Wingdings" w:hint="default"/>
      </w:rPr>
    </w:lvl>
    <w:lvl w:ilvl="3" w:tplc="7ACEB7A6">
      <w:start w:val="1"/>
      <w:numFmt w:val="bullet"/>
      <w:lvlText w:val=""/>
      <w:lvlJc w:val="left"/>
      <w:pPr>
        <w:ind w:left="2520" w:hanging="360"/>
      </w:pPr>
      <w:rPr>
        <w:rFonts w:ascii="Symbol" w:hAnsi="Symbol" w:hint="default"/>
      </w:rPr>
    </w:lvl>
    <w:lvl w:ilvl="4" w:tplc="E0E8AC38">
      <w:start w:val="1"/>
      <w:numFmt w:val="bullet"/>
      <w:lvlText w:val="o"/>
      <w:lvlJc w:val="left"/>
      <w:pPr>
        <w:ind w:left="3240" w:hanging="360"/>
      </w:pPr>
      <w:rPr>
        <w:rFonts w:ascii="Courier New" w:hAnsi="Courier New" w:hint="default"/>
      </w:rPr>
    </w:lvl>
    <w:lvl w:ilvl="5" w:tplc="7016824E">
      <w:start w:val="1"/>
      <w:numFmt w:val="bullet"/>
      <w:lvlText w:val=""/>
      <w:lvlJc w:val="left"/>
      <w:pPr>
        <w:ind w:left="3960" w:hanging="360"/>
      </w:pPr>
      <w:rPr>
        <w:rFonts w:ascii="Wingdings" w:hAnsi="Wingdings" w:hint="default"/>
      </w:rPr>
    </w:lvl>
    <w:lvl w:ilvl="6" w:tplc="929A840C">
      <w:start w:val="1"/>
      <w:numFmt w:val="bullet"/>
      <w:lvlText w:val=""/>
      <w:lvlJc w:val="left"/>
      <w:pPr>
        <w:ind w:left="4680" w:hanging="360"/>
      </w:pPr>
      <w:rPr>
        <w:rFonts w:ascii="Symbol" w:hAnsi="Symbol" w:hint="default"/>
      </w:rPr>
    </w:lvl>
    <w:lvl w:ilvl="7" w:tplc="480C482C">
      <w:start w:val="1"/>
      <w:numFmt w:val="bullet"/>
      <w:lvlText w:val="o"/>
      <w:lvlJc w:val="left"/>
      <w:pPr>
        <w:ind w:left="5400" w:hanging="360"/>
      </w:pPr>
      <w:rPr>
        <w:rFonts w:ascii="Courier New" w:hAnsi="Courier New" w:hint="default"/>
      </w:rPr>
    </w:lvl>
    <w:lvl w:ilvl="8" w:tplc="26108C4E">
      <w:start w:val="1"/>
      <w:numFmt w:val="bullet"/>
      <w:lvlText w:val=""/>
      <w:lvlJc w:val="left"/>
      <w:pPr>
        <w:ind w:left="6120" w:hanging="360"/>
      </w:pPr>
      <w:rPr>
        <w:rFonts w:ascii="Wingdings" w:hAnsi="Wingdings" w:hint="default"/>
      </w:rPr>
    </w:lvl>
  </w:abstractNum>
  <w:abstractNum w:abstractNumId="39" w15:restartNumberingAfterBreak="0">
    <w:nsid w:val="7D0428F2"/>
    <w:multiLevelType w:val="hybridMultilevel"/>
    <w:tmpl w:val="2EEC6EDC"/>
    <w:lvl w:ilvl="0" w:tplc="8DB02E7A">
      <w:start w:val="1"/>
      <w:numFmt w:val="bullet"/>
      <w:lvlText w:val=""/>
      <w:lvlJc w:val="left"/>
      <w:pPr>
        <w:ind w:left="360" w:hanging="360"/>
      </w:pPr>
      <w:rPr>
        <w:rFonts w:ascii="Symbol" w:hAnsi="Symbol" w:hint="default"/>
      </w:rPr>
    </w:lvl>
    <w:lvl w:ilvl="1" w:tplc="5B1A8934">
      <w:start w:val="1"/>
      <w:numFmt w:val="bullet"/>
      <w:lvlText w:val="o"/>
      <w:lvlJc w:val="left"/>
      <w:pPr>
        <w:ind w:left="1080" w:hanging="360"/>
      </w:pPr>
      <w:rPr>
        <w:rFonts w:ascii="Courier New" w:hAnsi="Courier New" w:hint="default"/>
      </w:rPr>
    </w:lvl>
    <w:lvl w:ilvl="2" w:tplc="0F4E9724">
      <w:start w:val="1"/>
      <w:numFmt w:val="bullet"/>
      <w:lvlText w:val=""/>
      <w:lvlJc w:val="left"/>
      <w:pPr>
        <w:ind w:left="1800" w:hanging="360"/>
      </w:pPr>
      <w:rPr>
        <w:rFonts w:ascii="Wingdings" w:hAnsi="Wingdings" w:hint="default"/>
      </w:rPr>
    </w:lvl>
    <w:lvl w:ilvl="3" w:tplc="CB4E1B56">
      <w:start w:val="1"/>
      <w:numFmt w:val="bullet"/>
      <w:lvlText w:val=""/>
      <w:lvlJc w:val="left"/>
      <w:pPr>
        <w:ind w:left="2520" w:hanging="360"/>
      </w:pPr>
      <w:rPr>
        <w:rFonts w:ascii="Symbol" w:hAnsi="Symbol" w:hint="default"/>
      </w:rPr>
    </w:lvl>
    <w:lvl w:ilvl="4" w:tplc="2CAC251E">
      <w:start w:val="1"/>
      <w:numFmt w:val="bullet"/>
      <w:lvlText w:val="o"/>
      <w:lvlJc w:val="left"/>
      <w:pPr>
        <w:ind w:left="3240" w:hanging="360"/>
      </w:pPr>
      <w:rPr>
        <w:rFonts w:ascii="Courier New" w:hAnsi="Courier New" w:hint="default"/>
      </w:rPr>
    </w:lvl>
    <w:lvl w:ilvl="5" w:tplc="33E404DA">
      <w:start w:val="1"/>
      <w:numFmt w:val="bullet"/>
      <w:lvlText w:val=""/>
      <w:lvlJc w:val="left"/>
      <w:pPr>
        <w:ind w:left="3960" w:hanging="360"/>
      </w:pPr>
      <w:rPr>
        <w:rFonts w:ascii="Wingdings" w:hAnsi="Wingdings" w:hint="default"/>
      </w:rPr>
    </w:lvl>
    <w:lvl w:ilvl="6" w:tplc="A35A4790">
      <w:start w:val="1"/>
      <w:numFmt w:val="bullet"/>
      <w:lvlText w:val=""/>
      <w:lvlJc w:val="left"/>
      <w:pPr>
        <w:ind w:left="4680" w:hanging="360"/>
      </w:pPr>
      <w:rPr>
        <w:rFonts w:ascii="Symbol" w:hAnsi="Symbol" w:hint="default"/>
      </w:rPr>
    </w:lvl>
    <w:lvl w:ilvl="7" w:tplc="CBD4FA00">
      <w:start w:val="1"/>
      <w:numFmt w:val="bullet"/>
      <w:lvlText w:val="o"/>
      <w:lvlJc w:val="left"/>
      <w:pPr>
        <w:ind w:left="5400" w:hanging="360"/>
      </w:pPr>
      <w:rPr>
        <w:rFonts w:ascii="Courier New" w:hAnsi="Courier New" w:hint="default"/>
      </w:rPr>
    </w:lvl>
    <w:lvl w:ilvl="8" w:tplc="84400CA2">
      <w:start w:val="1"/>
      <w:numFmt w:val="bullet"/>
      <w:lvlText w:val=""/>
      <w:lvlJc w:val="left"/>
      <w:pPr>
        <w:ind w:left="6120" w:hanging="360"/>
      </w:pPr>
      <w:rPr>
        <w:rFonts w:ascii="Wingdings" w:hAnsi="Wingdings" w:hint="default"/>
      </w:rPr>
    </w:lvl>
  </w:abstractNum>
  <w:abstractNum w:abstractNumId="40" w15:restartNumberingAfterBreak="0">
    <w:nsid w:val="7D07A2E7"/>
    <w:multiLevelType w:val="hybridMultilevel"/>
    <w:tmpl w:val="86B4357A"/>
    <w:lvl w:ilvl="0" w:tplc="F1A87C04">
      <w:start w:val="1"/>
      <w:numFmt w:val="bullet"/>
      <w:lvlText w:val=""/>
      <w:lvlJc w:val="left"/>
      <w:pPr>
        <w:ind w:left="360" w:hanging="360"/>
      </w:pPr>
      <w:rPr>
        <w:rFonts w:ascii="Symbol" w:hAnsi="Symbol" w:hint="default"/>
      </w:rPr>
    </w:lvl>
    <w:lvl w:ilvl="1" w:tplc="4A1EB7F8">
      <w:start w:val="1"/>
      <w:numFmt w:val="bullet"/>
      <w:lvlText w:val="o"/>
      <w:lvlJc w:val="left"/>
      <w:pPr>
        <w:ind w:left="1080" w:hanging="360"/>
      </w:pPr>
      <w:rPr>
        <w:rFonts w:ascii="Courier New" w:hAnsi="Courier New" w:hint="default"/>
      </w:rPr>
    </w:lvl>
    <w:lvl w:ilvl="2" w:tplc="41A4B216">
      <w:start w:val="1"/>
      <w:numFmt w:val="bullet"/>
      <w:lvlText w:val=""/>
      <w:lvlJc w:val="left"/>
      <w:pPr>
        <w:ind w:left="1800" w:hanging="360"/>
      </w:pPr>
      <w:rPr>
        <w:rFonts w:ascii="Wingdings" w:hAnsi="Wingdings" w:hint="default"/>
      </w:rPr>
    </w:lvl>
    <w:lvl w:ilvl="3" w:tplc="9A8EB844">
      <w:start w:val="1"/>
      <w:numFmt w:val="bullet"/>
      <w:lvlText w:val=""/>
      <w:lvlJc w:val="left"/>
      <w:pPr>
        <w:ind w:left="2520" w:hanging="360"/>
      </w:pPr>
      <w:rPr>
        <w:rFonts w:ascii="Symbol" w:hAnsi="Symbol" w:hint="default"/>
      </w:rPr>
    </w:lvl>
    <w:lvl w:ilvl="4" w:tplc="A8D817C4">
      <w:start w:val="1"/>
      <w:numFmt w:val="bullet"/>
      <w:lvlText w:val="o"/>
      <w:lvlJc w:val="left"/>
      <w:pPr>
        <w:ind w:left="3240" w:hanging="360"/>
      </w:pPr>
      <w:rPr>
        <w:rFonts w:ascii="Courier New" w:hAnsi="Courier New" w:hint="default"/>
      </w:rPr>
    </w:lvl>
    <w:lvl w:ilvl="5" w:tplc="35E4C4A0">
      <w:start w:val="1"/>
      <w:numFmt w:val="bullet"/>
      <w:lvlText w:val=""/>
      <w:lvlJc w:val="left"/>
      <w:pPr>
        <w:ind w:left="3960" w:hanging="360"/>
      </w:pPr>
      <w:rPr>
        <w:rFonts w:ascii="Wingdings" w:hAnsi="Wingdings" w:hint="default"/>
      </w:rPr>
    </w:lvl>
    <w:lvl w:ilvl="6" w:tplc="BBD679B8">
      <w:start w:val="1"/>
      <w:numFmt w:val="bullet"/>
      <w:lvlText w:val=""/>
      <w:lvlJc w:val="left"/>
      <w:pPr>
        <w:ind w:left="4680" w:hanging="360"/>
      </w:pPr>
      <w:rPr>
        <w:rFonts w:ascii="Symbol" w:hAnsi="Symbol" w:hint="default"/>
      </w:rPr>
    </w:lvl>
    <w:lvl w:ilvl="7" w:tplc="217046F4">
      <w:start w:val="1"/>
      <w:numFmt w:val="bullet"/>
      <w:lvlText w:val="o"/>
      <w:lvlJc w:val="left"/>
      <w:pPr>
        <w:ind w:left="5400" w:hanging="360"/>
      </w:pPr>
      <w:rPr>
        <w:rFonts w:ascii="Courier New" w:hAnsi="Courier New" w:hint="default"/>
      </w:rPr>
    </w:lvl>
    <w:lvl w:ilvl="8" w:tplc="646E352C">
      <w:start w:val="1"/>
      <w:numFmt w:val="bullet"/>
      <w:lvlText w:val=""/>
      <w:lvlJc w:val="left"/>
      <w:pPr>
        <w:ind w:left="6120" w:hanging="360"/>
      </w:pPr>
      <w:rPr>
        <w:rFonts w:ascii="Wingdings" w:hAnsi="Wingdings" w:hint="default"/>
      </w:rPr>
    </w:lvl>
  </w:abstractNum>
  <w:abstractNum w:abstractNumId="41" w15:restartNumberingAfterBreak="0">
    <w:nsid w:val="7DAE60EF"/>
    <w:multiLevelType w:val="hybridMultilevel"/>
    <w:tmpl w:val="6EC846A0"/>
    <w:lvl w:ilvl="0" w:tplc="E59AD59E">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0">
    <w:lvl w:ilvl="0">
      <w:start w:val="1"/>
      <w:numFmt w:val="bullet"/>
      <w:lvlText w:val="•"/>
      <w:pPr>
        <w:ind w:left="567" w:hanging="284"/>
      </w:pPr>
    </w:lvl>
    <w:lvl w:ilvl="1">
      <w:start w:val="1"/>
      <w:numFmt w:val="bullet"/>
      <w:lvlText w:val="•"/>
      <w:pPr>
        <w:ind w:left="1134" w:hanging="284"/>
      </w:pPr>
    </w:lvl>
  </w:abstractNum>
  <w:abstractNum w:abstractNumId="901">
    <w:lvl w:ilvl="0">
      <w:start w:val="1"/>
      <w:numFmt w:val="decimal"/>
      <w:lvlText w:val="%1."/>
      <w:pPr>
        <w:ind w:left="567" w:hanging="284"/>
      </w:pPr>
    </w:lvl>
    <w:lvl w:ilvl="1">
      <w:start w:val="1"/>
      <w:numFmt w:val="lowerLetter"/>
      <w:lvlText w:val="%2."/>
      <w:pPr>
        <w:ind w:left="1134" w:hanging="284"/>
      </w:pPr>
    </w:lvl>
  </w:abstractNum>
  <w:num w:numId="1">
    <w:abstractNumId w:val="23"/>
  </w:num>
  <w:num w:numId="2">
    <w:abstractNumId w:val="33"/>
  </w:num>
  <w:num w:numId="3">
    <w:abstractNumId w:val="5"/>
  </w:num>
  <w:num w:numId="4">
    <w:abstractNumId w:val="35"/>
  </w:num>
  <w:num w:numId="5">
    <w:abstractNumId w:val="24"/>
  </w:num>
  <w:num w:numId="6">
    <w:abstractNumId w:val="1"/>
  </w:num>
  <w:num w:numId="7">
    <w:abstractNumId w:val="21"/>
  </w:num>
  <w:num w:numId="8">
    <w:abstractNumId w:val="40"/>
  </w:num>
  <w:num w:numId="9">
    <w:abstractNumId w:val="27"/>
  </w:num>
  <w:num w:numId="10">
    <w:abstractNumId w:val="9"/>
  </w:num>
  <w:num w:numId="11">
    <w:abstractNumId w:val="4"/>
  </w:num>
  <w:num w:numId="12">
    <w:abstractNumId w:val="30"/>
  </w:num>
  <w:num w:numId="13">
    <w:abstractNumId w:val="29"/>
  </w:num>
  <w:num w:numId="14">
    <w:abstractNumId w:val="26"/>
  </w:num>
  <w:num w:numId="15">
    <w:abstractNumId w:val="32"/>
  </w:num>
  <w:num w:numId="16">
    <w:abstractNumId w:val="39"/>
  </w:num>
  <w:num w:numId="17">
    <w:abstractNumId w:val="17"/>
  </w:num>
  <w:num w:numId="18">
    <w:abstractNumId w:val="22"/>
  </w:num>
  <w:num w:numId="19">
    <w:abstractNumId w:val="36"/>
  </w:num>
  <w:num w:numId="20">
    <w:abstractNumId w:val="38"/>
  </w:num>
  <w:num w:numId="21">
    <w:abstractNumId w:val="11"/>
  </w:num>
  <w:num w:numId="22">
    <w:abstractNumId w:val="25"/>
  </w:num>
  <w:num w:numId="23">
    <w:abstractNumId w:val="28"/>
  </w:num>
  <w:num w:numId="24">
    <w:abstractNumId w:val="7"/>
  </w:num>
  <w:num w:numId="25">
    <w:abstractNumId w:val="13"/>
  </w:num>
  <w:num w:numId="26">
    <w:abstractNumId w:val="6"/>
  </w:num>
  <w:num w:numId="27">
    <w:abstractNumId w:val="19"/>
  </w:num>
  <w:num w:numId="28">
    <w:abstractNumId w:val="16"/>
    <w:lvlOverride w:ilvl="0">
      <w:startOverride w:val="1"/>
    </w:lvlOverride>
  </w:num>
  <w:num w:numId="29">
    <w:abstractNumId w:val="31"/>
  </w:num>
  <w:num w:numId="30">
    <w:abstractNumId w:val="20"/>
  </w:num>
  <w:num w:numId="31">
    <w:abstractNumId w:val="2"/>
  </w:num>
  <w:num w:numId="32">
    <w:abstractNumId w:val="0"/>
  </w:num>
  <w:num w:numId="33">
    <w:abstractNumId w:val="18"/>
  </w:num>
  <w:num w:numId="34">
    <w:abstractNumId w:val="34"/>
  </w:num>
  <w:num w:numId="35">
    <w:abstractNumId w:val="8"/>
  </w:num>
  <w:num w:numId="36">
    <w:abstractNumId w:val="41"/>
  </w:num>
  <w:num w:numId="37">
    <w:abstractNumId w:val="14"/>
  </w:num>
  <w:num w:numId="38">
    <w:abstractNumId w:val="10"/>
    <w:lvlOverride w:ilvl="0">
      <w:startOverride w:val="1"/>
    </w:lvlOverride>
  </w:num>
  <w:num w:numId="39">
    <w:abstractNumId w:val="3"/>
  </w:num>
  <w:num w:numId="40">
    <w:abstractNumId w:val="12"/>
  </w:num>
  <w:num w:numId="41">
    <w:abstractNumId w:val="37"/>
  </w:num>
  <w:num w:numId="42">
    <w:abstractNumId w:val="15"/>
  </w:num>
  <w:numIdMacAtCleanup w:val="34"/>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19F403"/>
    <w:rsid w:val="000008F8"/>
    <w:rsid w:val="00003853"/>
    <w:rsid w:val="000061BA"/>
    <w:rsid w:val="000069B6"/>
    <w:rsid w:val="00010333"/>
    <w:rsid w:val="0001033C"/>
    <w:rsid w:val="00013EDD"/>
    <w:rsid w:val="00020D57"/>
    <w:rsid w:val="000217EB"/>
    <w:rsid w:val="0002449C"/>
    <w:rsid w:val="00025EB4"/>
    <w:rsid w:val="000332AE"/>
    <w:rsid w:val="00035616"/>
    <w:rsid w:val="000378BA"/>
    <w:rsid w:val="00037926"/>
    <w:rsid w:val="0004634B"/>
    <w:rsid w:val="00052CD4"/>
    <w:rsid w:val="000537D4"/>
    <w:rsid w:val="00053ABB"/>
    <w:rsid w:val="00056EF2"/>
    <w:rsid w:val="000576F7"/>
    <w:rsid w:val="000627C6"/>
    <w:rsid w:val="0006462E"/>
    <w:rsid w:val="000665D1"/>
    <w:rsid w:val="0006712E"/>
    <w:rsid w:val="0006B6E1"/>
    <w:rsid w:val="00070C00"/>
    <w:rsid w:val="00082D4E"/>
    <w:rsid w:val="00090A18"/>
    <w:rsid w:val="0009146A"/>
    <w:rsid w:val="00091DFC"/>
    <w:rsid w:val="00092CF9"/>
    <w:rsid w:val="000930E1"/>
    <w:rsid w:val="0009683B"/>
    <w:rsid w:val="00096CCF"/>
    <w:rsid w:val="00097754"/>
    <w:rsid w:val="000A2BFF"/>
    <w:rsid w:val="000A468C"/>
    <w:rsid w:val="000A5E08"/>
    <w:rsid w:val="000A7D36"/>
    <w:rsid w:val="000AEB2D"/>
    <w:rsid w:val="000B14D6"/>
    <w:rsid w:val="000B217A"/>
    <w:rsid w:val="000B2A89"/>
    <w:rsid w:val="000B3954"/>
    <w:rsid w:val="000B52D0"/>
    <w:rsid w:val="000B6440"/>
    <w:rsid w:val="000C2847"/>
    <w:rsid w:val="000C334F"/>
    <w:rsid w:val="000C46A0"/>
    <w:rsid w:val="000C6529"/>
    <w:rsid w:val="000D20BE"/>
    <w:rsid w:val="000D47AC"/>
    <w:rsid w:val="000D4BDE"/>
    <w:rsid w:val="000D5C7C"/>
    <w:rsid w:val="000D6DD7"/>
    <w:rsid w:val="000E18A4"/>
    <w:rsid w:val="000E640A"/>
    <w:rsid w:val="000E6C47"/>
    <w:rsid w:val="000F000F"/>
    <w:rsid w:val="000F6004"/>
    <w:rsid w:val="000F7471"/>
    <w:rsid w:val="001024AD"/>
    <w:rsid w:val="00102CBF"/>
    <w:rsid w:val="00103814"/>
    <w:rsid w:val="00104898"/>
    <w:rsid w:val="00107390"/>
    <w:rsid w:val="00107A2E"/>
    <w:rsid w:val="00111D18"/>
    <w:rsid w:val="001136AD"/>
    <w:rsid w:val="00113EFF"/>
    <w:rsid w:val="00120046"/>
    <w:rsid w:val="00120155"/>
    <w:rsid w:val="0012030D"/>
    <w:rsid w:val="00120EAC"/>
    <w:rsid w:val="0012492C"/>
    <w:rsid w:val="00126CCA"/>
    <w:rsid w:val="00132FAE"/>
    <w:rsid w:val="00136697"/>
    <w:rsid w:val="001378F7"/>
    <w:rsid w:val="001442DA"/>
    <w:rsid w:val="00150BE4"/>
    <w:rsid w:val="00152BA9"/>
    <w:rsid w:val="00152EB4"/>
    <w:rsid w:val="00153969"/>
    <w:rsid w:val="0015637F"/>
    <w:rsid w:val="00156C66"/>
    <w:rsid w:val="00157852"/>
    <w:rsid w:val="00157F33"/>
    <w:rsid w:val="001607BA"/>
    <w:rsid w:val="0016254F"/>
    <w:rsid w:val="00167056"/>
    <w:rsid w:val="0017178D"/>
    <w:rsid w:val="001717C0"/>
    <w:rsid w:val="00171EC5"/>
    <w:rsid w:val="0017236C"/>
    <w:rsid w:val="00174A8B"/>
    <w:rsid w:val="001755B3"/>
    <w:rsid w:val="00183965"/>
    <w:rsid w:val="00184C81"/>
    <w:rsid w:val="00186438"/>
    <w:rsid w:val="001938A8"/>
    <w:rsid w:val="0019491B"/>
    <w:rsid w:val="001960F7"/>
    <w:rsid w:val="001A0ADF"/>
    <w:rsid w:val="001A2D2D"/>
    <w:rsid w:val="001A6BB9"/>
    <w:rsid w:val="001B0443"/>
    <w:rsid w:val="001B071E"/>
    <w:rsid w:val="001B0EFB"/>
    <w:rsid w:val="001B2535"/>
    <w:rsid w:val="001B2EE3"/>
    <w:rsid w:val="001B386D"/>
    <w:rsid w:val="001B40BF"/>
    <w:rsid w:val="001B4403"/>
    <w:rsid w:val="001B45E2"/>
    <w:rsid w:val="001C5FA9"/>
    <w:rsid w:val="001D07CF"/>
    <w:rsid w:val="001D1A0B"/>
    <w:rsid w:val="001D1A8C"/>
    <w:rsid w:val="001D25B0"/>
    <w:rsid w:val="001D32A7"/>
    <w:rsid w:val="001D32C5"/>
    <w:rsid w:val="001D3854"/>
    <w:rsid w:val="001D64F0"/>
    <w:rsid w:val="001D6FF6"/>
    <w:rsid w:val="001E0DEF"/>
    <w:rsid w:val="001E1995"/>
    <w:rsid w:val="001E2AFD"/>
    <w:rsid w:val="001E572C"/>
    <w:rsid w:val="001E6261"/>
    <w:rsid w:val="001E725C"/>
    <w:rsid w:val="001E7CB3"/>
    <w:rsid w:val="001F2612"/>
    <w:rsid w:val="001F28BD"/>
    <w:rsid w:val="001F2BE7"/>
    <w:rsid w:val="001F2D6D"/>
    <w:rsid w:val="001F3030"/>
    <w:rsid w:val="001F32DC"/>
    <w:rsid w:val="001F3F84"/>
    <w:rsid w:val="001F408F"/>
    <w:rsid w:val="001F44EF"/>
    <w:rsid w:val="002025C1"/>
    <w:rsid w:val="00203E03"/>
    <w:rsid w:val="002043B8"/>
    <w:rsid w:val="0020566E"/>
    <w:rsid w:val="00210936"/>
    <w:rsid w:val="00210DC3"/>
    <w:rsid w:val="00211A29"/>
    <w:rsid w:val="00213191"/>
    <w:rsid w:val="0021335A"/>
    <w:rsid w:val="00213F96"/>
    <w:rsid w:val="002145EF"/>
    <w:rsid w:val="0021621D"/>
    <w:rsid w:val="002214A9"/>
    <w:rsid w:val="002230CD"/>
    <w:rsid w:val="00224661"/>
    <w:rsid w:val="002248FC"/>
    <w:rsid w:val="002257B6"/>
    <w:rsid w:val="00225E69"/>
    <w:rsid w:val="00226CAF"/>
    <w:rsid w:val="00230724"/>
    <w:rsid w:val="002312BC"/>
    <w:rsid w:val="002316FA"/>
    <w:rsid w:val="00233144"/>
    <w:rsid w:val="00236251"/>
    <w:rsid w:val="002367E2"/>
    <w:rsid w:val="00236B12"/>
    <w:rsid w:val="00237FB0"/>
    <w:rsid w:val="002412F7"/>
    <w:rsid w:val="00241FB1"/>
    <w:rsid w:val="00244941"/>
    <w:rsid w:val="00244DDF"/>
    <w:rsid w:val="002459F9"/>
    <w:rsid w:val="002505F5"/>
    <w:rsid w:val="002513CB"/>
    <w:rsid w:val="00261D6E"/>
    <w:rsid w:val="00272D31"/>
    <w:rsid w:val="00285087"/>
    <w:rsid w:val="00287400"/>
    <w:rsid w:val="00287F41"/>
    <w:rsid w:val="00291005"/>
    <w:rsid w:val="00291790"/>
    <w:rsid w:val="00291FD2"/>
    <w:rsid w:val="00292306"/>
    <w:rsid w:val="00293F60"/>
    <w:rsid w:val="00294ED5"/>
    <w:rsid w:val="00295BCD"/>
    <w:rsid w:val="00297DFF"/>
    <w:rsid w:val="00297F0F"/>
    <w:rsid w:val="002A0DA0"/>
    <w:rsid w:val="002A3807"/>
    <w:rsid w:val="002A5911"/>
    <w:rsid w:val="002B00E7"/>
    <w:rsid w:val="002B045C"/>
    <w:rsid w:val="002B0970"/>
    <w:rsid w:val="002B0E61"/>
    <w:rsid w:val="002B0F5C"/>
    <w:rsid w:val="002B18F2"/>
    <w:rsid w:val="002B1ACF"/>
    <w:rsid w:val="002B2473"/>
    <w:rsid w:val="002B27B9"/>
    <w:rsid w:val="002B2AF3"/>
    <w:rsid w:val="002B5E95"/>
    <w:rsid w:val="002B5FB2"/>
    <w:rsid w:val="002C05CC"/>
    <w:rsid w:val="002C4AFF"/>
    <w:rsid w:val="002C7E22"/>
    <w:rsid w:val="002D0407"/>
    <w:rsid w:val="002D14F9"/>
    <w:rsid w:val="002D1E03"/>
    <w:rsid w:val="002D4739"/>
    <w:rsid w:val="002D64C1"/>
    <w:rsid w:val="002D6A5C"/>
    <w:rsid w:val="002D6AB0"/>
    <w:rsid w:val="002D6D20"/>
    <w:rsid w:val="002E008C"/>
    <w:rsid w:val="002E0C7E"/>
    <w:rsid w:val="002E31B0"/>
    <w:rsid w:val="002E7A56"/>
    <w:rsid w:val="002F1070"/>
    <w:rsid w:val="002F1E74"/>
    <w:rsid w:val="002F1FD7"/>
    <w:rsid w:val="002F2FE1"/>
    <w:rsid w:val="002F39BF"/>
    <w:rsid w:val="002F573F"/>
    <w:rsid w:val="00301378"/>
    <w:rsid w:val="00303BFE"/>
    <w:rsid w:val="0030647F"/>
    <w:rsid w:val="00306759"/>
    <w:rsid w:val="00307078"/>
    <w:rsid w:val="0031128B"/>
    <w:rsid w:val="0031395D"/>
    <w:rsid w:val="00313DE3"/>
    <w:rsid w:val="00316C06"/>
    <w:rsid w:val="00317065"/>
    <w:rsid w:val="00320E26"/>
    <w:rsid w:val="00321D02"/>
    <w:rsid w:val="00322EF5"/>
    <w:rsid w:val="003236CF"/>
    <w:rsid w:val="003238EB"/>
    <w:rsid w:val="00330A1C"/>
    <w:rsid w:val="00334B0F"/>
    <w:rsid w:val="003359AE"/>
    <w:rsid w:val="00335BCB"/>
    <w:rsid w:val="003376F2"/>
    <w:rsid w:val="0033878A"/>
    <w:rsid w:val="00340054"/>
    <w:rsid w:val="003400C6"/>
    <w:rsid w:val="00341AC8"/>
    <w:rsid w:val="003430F9"/>
    <w:rsid w:val="0034321C"/>
    <w:rsid w:val="00346533"/>
    <w:rsid w:val="003524AF"/>
    <w:rsid w:val="00352D4C"/>
    <w:rsid w:val="00355F96"/>
    <w:rsid w:val="0035627B"/>
    <w:rsid w:val="00356F92"/>
    <w:rsid w:val="00357382"/>
    <w:rsid w:val="003637CD"/>
    <w:rsid w:val="003713C4"/>
    <w:rsid w:val="00371A3F"/>
    <w:rsid w:val="003739FD"/>
    <w:rsid w:val="0037413A"/>
    <w:rsid w:val="003748B6"/>
    <w:rsid w:val="00374D3C"/>
    <w:rsid w:val="00380A6B"/>
    <w:rsid w:val="003853E1"/>
    <w:rsid w:val="003854A7"/>
    <w:rsid w:val="00390705"/>
    <w:rsid w:val="00390C75"/>
    <w:rsid w:val="00391466"/>
    <w:rsid w:val="00391528"/>
    <w:rsid w:val="00391772"/>
    <w:rsid w:val="00392258"/>
    <w:rsid w:val="00393618"/>
    <w:rsid w:val="00394942"/>
    <w:rsid w:val="00395866"/>
    <w:rsid w:val="003971B8"/>
    <w:rsid w:val="003A3B2F"/>
    <w:rsid w:val="003A3B78"/>
    <w:rsid w:val="003A484E"/>
    <w:rsid w:val="003A7C6B"/>
    <w:rsid w:val="003B0CC8"/>
    <w:rsid w:val="003B624D"/>
    <w:rsid w:val="003C14F0"/>
    <w:rsid w:val="003C17CC"/>
    <w:rsid w:val="003C2E4A"/>
    <w:rsid w:val="003C3C67"/>
    <w:rsid w:val="003C6A59"/>
    <w:rsid w:val="003D0E7B"/>
    <w:rsid w:val="003D2352"/>
    <w:rsid w:val="003D400E"/>
    <w:rsid w:val="003D4DD1"/>
    <w:rsid w:val="003E16C3"/>
    <w:rsid w:val="003E1912"/>
    <w:rsid w:val="003E1B57"/>
    <w:rsid w:val="003E263E"/>
    <w:rsid w:val="003E47C5"/>
    <w:rsid w:val="003E532D"/>
    <w:rsid w:val="003E5402"/>
    <w:rsid w:val="003E5EB8"/>
    <w:rsid w:val="003E66E0"/>
    <w:rsid w:val="003E6A85"/>
    <w:rsid w:val="003E7AF2"/>
    <w:rsid w:val="003F0F81"/>
    <w:rsid w:val="003F2284"/>
    <w:rsid w:val="003F4004"/>
    <w:rsid w:val="003F4C0A"/>
    <w:rsid w:val="003F4D2D"/>
    <w:rsid w:val="003F741D"/>
    <w:rsid w:val="003F7719"/>
    <w:rsid w:val="004011F2"/>
    <w:rsid w:val="0040193E"/>
    <w:rsid w:val="00402E81"/>
    <w:rsid w:val="00403D9C"/>
    <w:rsid w:val="004054B3"/>
    <w:rsid w:val="0040580F"/>
    <w:rsid w:val="0041021D"/>
    <w:rsid w:val="0041030D"/>
    <w:rsid w:val="00410D0A"/>
    <w:rsid w:val="00414626"/>
    <w:rsid w:val="00416737"/>
    <w:rsid w:val="00416B20"/>
    <w:rsid w:val="00417885"/>
    <w:rsid w:val="0042173A"/>
    <w:rsid w:val="00422FD8"/>
    <w:rsid w:val="00423CD7"/>
    <w:rsid w:val="004261E2"/>
    <w:rsid w:val="00431EFA"/>
    <w:rsid w:val="00441E9E"/>
    <w:rsid w:val="00444967"/>
    <w:rsid w:val="004451BA"/>
    <w:rsid w:val="00445312"/>
    <w:rsid w:val="00445DBE"/>
    <w:rsid w:val="004463BB"/>
    <w:rsid w:val="00446651"/>
    <w:rsid w:val="0044669F"/>
    <w:rsid w:val="004510BE"/>
    <w:rsid w:val="00451AE3"/>
    <w:rsid w:val="00453A81"/>
    <w:rsid w:val="00455DDD"/>
    <w:rsid w:val="004568DB"/>
    <w:rsid w:val="00461FDC"/>
    <w:rsid w:val="00463A6F"/>
    <w:rsid w:val="0046557F"/>
    <w:rsid w:val="00471A52"/>
    <w:rsid w:val="00474494"/>
    <w:rsid w:val="00474FF3"/>
    <w:rsid w:val="004816B9"/>
    <w:rsid w:val="00481AC3"/>
    <w:rsid w:val="00485EF6"/>
    <w:rsid w:val="0049304C"/>
    <w:rsid w:val="00495218"/>
    <w:rsid w:val="00495CF6"/>
    <w:rsid w:val="00496148"/>
    <w:rsid w:val="00496A5E"/>
    <w:rsid w:val="00497054"/>
    <w:rsid w:val="004A28DD"/>
    <w:rsid w:val="004A2C4E"/>
    <w:rsid w:val="004A314C"/>
    <w:rsid w:val="004A65D5"/>
    <w:rsid w:val="004A7F7F"/>
    <w:rsid w:val="004B0569"/>
    <w:rsid w:val="004B3D9F"/>
    <w:rsid w:val="004B445C"/>
    <w:rsid w:val="004B4819"/>
    <w:rsid w:val="004B49D1"/>
    <w:rsid w:val="004B5225"/>
    <w:rsid w:val="004C1274"/>
    <w:rsid w:val="004C15D3"/>
    <w:rsid w:val="004C288B"/>
    <w:rsid w:val="004C481C"/>
    <w:rsid w:val="004C6562"/>
    <w:rsid w:val="004D0407"/>
    <w:rsid w:val="004D0F8A"/>
    <w:rsid w:val="004D1408"/>
    <w:rsid w:val="004D1B31"/>
    <w:rsid w:val="004D21CC"/>
    <w:rsid w:val="004D5FB7"/>
    <w:rsid w:val="004D6E8F"/>
    <w:rsid w:val="004E023C"/>
    <w:rsid w:val="004E0B51"/>
    <w:rsid w:val="004E1DE7"/>
    <w:rsid w:val="004E3BF6"/>
    <w:rsid w:val="004E554F"/>
    <w:rsid w:val="004E584E"/>
    <w:rsid w:val="004E5E79"/>
    <w:rsid w:val="004E5F73"/>
    <w:rsid w:val="004F135A"/>
    <w:rsid w:val="004F44C9"/>
    <w:rsid w:val="004F44FD"/>
    <w:rsid w:val="004F4F41"/>
    <w:rsid w:val="004F738D"/>
    <w:rsid w:val="005002DC"/>
    <w:rsid w:val="00504BBB"/>
    <w:rsid w:val="00506BF0"/>
    <w:rsid w:val="00514027"/>
    <w:rsid w:val="0051683E"/>
    <w:rsid w:val="00520173"/>
    <w:rsid w:val="00521FB4"/>
    <w:rsid w:val="005237C8"/>
    <w:rsid w:val="005255D2"/>
    <w:rsid w:val="00527272"/>
    <w:rsid w:val="00530185"/>
    <w:rsid w:val="005306EF"/>
    <w:rsid w:val="00530A76"/>
    <w:rsid w:val="00531B07"/>
    <w:rsid w:val="00531F3C"/>
    <w:rsid w:val="00536A0F"/>
    <w:rsid w:val="005377C0"/>
    <w:rsid w:val="005438EE"/>
    <w:rsid w:val="005451E4"/>
    <w:rsid w:val="00550F7B"/>
    <w:rsid w:val="005543A1"/>
    <w:rsid w:val="0055505B"/>
    <w:rsid w:val="00555C69"/>
    <w:rsid w:val="00560930"/>
    <w:rsid w:val="00560F70"/>
    <w:rsid w:val="00561371"/>
    <w:rsid w:val="00562683"/>
    <w:rsid w:val="00565003"/>
    <w:rsid w:val="00570B12"/>
    <w:rsid w:val="00574837"/>
    <w:rsid w:val="00574DC0"/>
    <w:rsid w:val="005759FA"/>
    <w:rsid w:val="005768D4"/>
    <w:rsid w:val="00577036"/>
    <w:rsid w:val="005771B1"/>
    <w:rsid w:val="005813BE"/>
    <w:rsid w:val="00582460"/>
    <w:rsid w:val="00582558"/>
    <w:rsid w:val="00583DCC"/>
    <w:rsid w:val="00584D53"/>
    <w:rsid w:val="0059021C"/>
    <w:rsid w:val="00594242"/>
    <w:rsid w:val="0059462D"/>
    <w:rsid w:val="00596362"/>
    <w:rsid w:val="005A4C37"/>
    <w:rsid w:val="005A59FD"/>
    <w:rsid w:val="005A7A6D"/>
    <w:rsid w:val="005B04DE"/>
    <w:rsid w:val="005B25A0"/>
    <w:rsid w:val="005B33C2"/>
    <w:rsid w:val="005B48A1"/>
    <w:rsid w:val="005B52E0"/>
    <w:rsid w:val="005B6D23"/>
    <w:rsid w:val="005C2BD7"/>
    <w:rsid w:val="005C47BC"/>
    <w:rsid w:val="005D3F1B"/>
    <w:rsid w:val="005D4808"/>
    <w:rsid w:val="005E5899"/>
    <w:rsid w:val="005E653B"/>
    <w:rsid w:val="005F06F0"/>
    <w:rsid w:val="005F1374"/>
    <w:rsid w:val="005F168A"/>
    <w:rsid w:val="005F1B32"/>
    <w:rsid w:val="005F44CC"/>
    <w:rsid w:val="005F6362"/>
    <w:rsid w:val="005F6939"/>
    <w:rsid w:val="00601052"/>
    <w:rsid w:val="00602953"/>
    <w:rsid w:val="00602F34"/>
    <w:rsid w:val="006061A5"/>
    <w:rsid w:val="00613153"/>
    <w:rsid w:val="00616B0D"/>
    <w:rsid w:val="006178FE"/>
    <w:rsid w:val="006202F2"/>
    <w:rsid w:val="00621183"/>
    <w:rsid w:val="00622579"/>
    <w:rsid w:val="00631E8C"/>
    <w:rsid w:val="006336A6"/>
    <w:rsid w:val="00633B84"/>
    <w:rsid w:val="00633C4C"/>
    <w:rsid w:val="00635872"/>
    <w:rsid w:val="00635E1F"/>
    <w:rsid w:val="00636BB3"/>
    <w:rsid w:val="00640F1C"/>
    <w:rsid w:val="00642233"/>
    <w:rsid w:val="006449DA"/>
    <w:rsid w:val="006464A9"/>
    <w:rsid w:val="0064654D"/>
    <w:rsid w:val="00646C6E"/>
    <w:rsid w:val="00650601"/>
    <w:rsid w:val="00650ECB"/>
    <w:rsid w:val="00651D25"/>
    <w:rsid w:val="0065405D"/>
    <w:rsid w:val="00655843"/>
    <w:rsid w:val="0066187A"/>
    <w:rsid w:val="006618CF"/>
    <w:rsid w:val="00661D8B"/>
    <w:rsid w:val="006626FA"/>
    <w:rsid w:val="00662F7C"/>
    <w:rsid w:val="00663AE0"/>
    <w:rsid w:val="00664094"/>
    <w:rsid w:val="00665594"/>
    <w:rsid w:val="006659ED"/>
    <w:rsid w:val="0067072C"/>
    <w:rsid w:val="006717DF"/>
    <w:rsid w:val="00672F6C"/>
    <w:rsid w:val="006738C6"/>
    <w:rsid w:val="006772C2"/>
    <w:rsid w:val="0067744C"/>
    <w:rsid w:val="006838CD"/>
    <w:rsid w:val="00683DDA"/>
    <w:rsid w:val="00685263"/>
    <w:rsid w:val="006866A7"/>
    <w:rsid w:val="0069141F"/>
    <w:rsid w:val="00695EA7"/>
    <w:rsid w:val="00696128"/>
    <w:rsid w:val="006A23BC"/>
    <w:rsid w:val="006A248A"/>
    <w:rsid w:val="006A3B22"/>
    <w:rsid w:val="006B5661"/>
    <w:rsid w:val="006B5F03"/>
    <w:rsid w:val="006B6876"/>
    <w:rsid w:val="006B6B22"/>
    <w:rsid w:val="006B71DC"/>
    <w:rsid w:val="006B7CB7"/>
    <w:rsid w:val="006C0823"/>
    <w:rsid w:val="006C1CEA"/>
    <w:rsid w:val="006C2A73"/>
    <w:rsid w:val="006C2D96"/>
    <w:rsid w:val="006C64B2"/>
    <w:rsid w:val="006D0B6B"/>
    <w:rsid w:val="006D3027"/>
    <w:rsid w:val="006D5E7F"/>
    <w:rsid w:val="006D6099"/>
    <w:rsid w:val="006D7709"/>
    <w:rsid w:val="006D7E65"/>
    <w:rsid w:val="006E10F9"/>
    <w:rsid w:val="006E37F4"/>
    <w:rsid w:val="006E3E72"/>
    <w:rsid w:val="006E423A"/>
    <w:rsid w:val="006E4C6F"/>
    <w:rsid w:val="006E4CB5"/>
    <w:rsid w:val="006E4D58"/>
    <w:rsid w:val="006F0E1B"/>
    <w:rsid w:val="006F1F88"/>
    <w:rsid w:val="006F502C"/>
    <w:rsid w:val="006F5FD5"/>
    <w:rsid w:val="006F647E"/>
    <w:rsid w:val="007015CF"/>
    <w:rsid w:val="007037E8"/>
    <w:rsid w:val="00704537"/>
    <w:rsid w:val="007055B6"/>
    <w:rsid w:val="00707751"/>
    <w:rsid w:val="00707D4F"/>
    <w:rsid w:val="007102D3"/>
    <w:rsid w:val="00712019"/>
    <w:rsid w:val="0071256B"/>
    <w:rsid w:val="00712A62"/>
    <w:rsid w:val="00713B8A"/>
    <w:rsid w:val="00714C78"/>
    <w:rsid w:val="0072074B"/>
    <w:rsid w:val="007217DE"/>
    <w:rsid w:val="00723DAA"/>
    <w:rsid w:val="00730EDD"/>
    <w:rsid w:val="00732E65"/>
    <w:rsid w:val="00734B70"/>
    <w:rsid w:val="0073587F"/>
    <w:rsid w:val="00735A6E"/>
    <w:rsid w:val="00736170"/>
    <w:rsid w:val="00737079"/>
    <w:rsid w:val="00737731"/>
    <w:rsid w:val="00737FB9"/>
    <w:rsid w:val="00741AC8"/>
    <w:rsid w:val="00743EC5"/>
    <w:rsid w:val="00744956"/>
    <w:rsid w:val="00747B57"/>
    <w:rsid w:val="00754A98"/>
    <w:rsid w:val="007554EA"/>
    <w:rsid w:val="007579ED"/>
    <w:rsid w:val="007601F4"/>
    <w:rsid w:val="00760D4B"/>
    <w:rsid w:val="007613F4"/>
    <w:rsid w:val="007647BE"/>
    <w:rsid w:val="00764D8F"/>
    <w:rsid w:val="00764FC0"/>
    <w:rsid w:val="00770572"/>
    <w:rsid w:val="0077165F"/>
    <w:rsid w:val="00771A2D"/>
    <w:rsid w:val="00771F58"/>
    <w:rsid w:val="00772386"/>
    <w:rsid w:val="007725EC"/>
    <w:rsid w:val="007727F6"/>
    <w:rsid w:val="007737EF"/>
    <w:rsid w:val="00774C54"/>
    <w:rsid w:val="0078079E"/>
    <w:rsid w:val="0078224B"/>
    <w:rsid w:val="007836B4"/>
    <w:rsid w:val="00785102"/>
    <w:rsid w:val="00785F5A"/>
    <w:rsid w:val="00786A3A"/>
    <w:rsid w:val="007872AC"/>
    <w:rsid w:val="0079181B"/>
    <w:rsid w:val="007955BF"/>
    <w:rsid w:val="0079597B"/>
    <w:rsid w:val="00796E85"/>
    <w:rsid w:val="007A1BA6"/>
    <w:rsid w:val="007A21A6"/>
    <w:rsid w:val="007A44E9"/>
    <w:rsid w:val="007A4CB2"/>
    <w:rsid w:val="007A6180"/>
    <w:rsid w:val="007A7F8C"/>
    <w:rsid w:val="007B01FE"/>
    <w:rsid w:val="007B2642"/>
    <w:rsid w:val="007B28BD"/>
    <w:rsid w:val="007B3D56"/>
    <w:rsid w:val="007B4949"/>
    <w:rsid w:val="007B55D9"/>
    <w:rsid w:val="007B6202"/>
    <w:rsid w:val="007C0D2C"/>
    <w:rsid w:val="007C3ADF"/>
    <w:rsid w:val="007C54B2"/>
    <w:rsid w:val="007D17A3"/>
    <w:rsid w:val="007D41FB"/>
    <w:rsid w:val="007D4AB7"/>
    <w:rsid w:val="007D4B42"/>
    <w:rsid w:val="007D54D2"/>
    <w:rsid w:val="007E2873"/>
    <w:rsid w:val="007E4138"/>
    <w:rsid w:val="007E42B3"/>
    <w:rsid w:val="007E7C94"/>
    <w:rsid w:val="007F00AA"/>
    <w:rsid w:val="007F2B2C"/>
    <w:rsid w:val="00801C80"/>
    <w:rsid w:val="008043CB"/>
    <w:rsid w:val="00811814"/>
    <w:rsid w:val="008126C5"/>
    <w:rsid w:val="00812F13"/>
    <w:rsid w:val="00814C01"/>
    <w:rsid w:val="00815D3F"/>
    <w:rsid w:val="008161F9"/>
    <w:rsid w:val="00821CB5"/>
    <w:rsid w:val="008224A8"/>
    <w:rsid w:val="00822C64"/>
    <w:rsid w:val="00825F96"/>
    <w:rsid w:val="00830C38"/>
    <w:rsid w:val="008319CB"/>
    <w:rsid w:val="00832EDF"/>
    <w:rsid w:val="008341F0"/>
    <w:rsid w:val="00836BDE"/>
    <w:rsid w:val="00837515"/>
    <w:rsid w:val="00842C7C"/>
    <w:rsid w:val="00844C06"/>
    <w:rsid w:val="008479D8"/>
    <w:rsid w:val="008515E0"/>
    <w:rsid w:val="008521E1"/>
    <w:rsid w:val="00852515"/>
    <w:rsid w:val="008526AD"/>
    <w:rsid w:val="008533B7"/>
    <w:rsid w:val="008557DD"/>
    <w:rsid w:val="00856657"/>
    <w:rsid w:val="0085694E"/>
    <w:rsid w:val="00857BBC"/>
    <w:rsid w:val="008623F3"/>
    <w:rsid w:val="0086463B"/>
    <w:rsid w:val="008658E6"/>
    <w:rsid w:val="00873644"/>
    <w:rsid w:val="00874450"/>
    <w:rsid w:val="008747DD"/>
    <w:rsid w:val="008765CC"/>
    <w:rsid w:val="00880926"/>
    <w:rsid w:val="00882DE5"/>
    <w:rsid w:val="008923D6"/>
    <w:rsid w:val="00893AB1"/>
    <w:rsid w:val="00896036"/>
    <w:rsid w:val="00896D6B"/>
    <w:rsid w:val="008A0CCA"/>
    <w:rsid w:val="008A40EB"/>
    <w:rsid w:val="008A49E0"/>
    <w:rsid w:val="008A586F"/>
    <w:rsid w:val="008B24FC"/>
    <w:rsid w:val="008B4896"/>
    <w:rsid w:val="008C1564"/>
    <w:rsid w:val="008C320A"/>
    <w:rsid w:val="008C4423"/>
    <w:rsid w:val="008D0B9B"/>
    <w:rsid w:val="008D0ECB"/>
    <w:rsid w:val="008D2DC1"/>
    <w:rsid w:val="008D354F"/>
    <w:rsid w:val="008D5367"/>
    <w:rsid w:val="008D72BF"/>
    <w:rsid w:val="008E1948"/>
    <w:rsid w:val="008E4640"/>
    <w:rsid w:val="008E4BD8"/>
    <w:rsid w:val="008E5F17"/>
    <w:rsid w:val="008F1EC5"/>
    <w:rsid w:val="008F34C1"/>
    <w:rsid w:val="008F5897"/>
    <w:rsid w:val="008F61B9"/>
    <w:rsid w:val="008F64CA"/>
    <w:rsid w:val="008F6E7C"/>
    <w:rsid w:val="00900451"/>
    <w:rsid w:val="00901051"/>
    <w:rsid w:val="00902853"/>
    <w:rsid w:val="00903ED1"/>
    <w:rsid w:val="0090413E"/>
    <w:rsid w:val="009049E8"/>
    <w:rsid w:val="00904C23"/>
    <w:rsid w:val="00907709"/>
    <w:rsid w:val="009115D5"/>
    <w:rsid w:val="009124B1"/>
    <w:rsid w:val="00921B0B"/>
    <w:rsid w:val="00923272"/>
    <w:rsid w:val="00923B0D"/>
    <w:rsid w:val="0092411E"/>
    <w:rsid w:val="00925745"/>
    <w:rsid w:val="00926A82"/>
    <w:rsid w:val="009278BF"/>
    <w:rsid w:val="00932401"/>
    <w:rsid w:val="00933F5A"/>
    <w:rsid w:val="00936CA1"/>
    <w:rsid w:val="009370B4"/>
    <w:rsid w:val="00943CD6"/>
    <w:rsid w:val="00944648"/>
    <w:rsid w:val="00946565"/>
    <w:rsid w:val="00954105"/>
    <w:rsid w:val="0095708F"/>
    <w:rsid w:val="00958E35"/>
    <w:rsid w:val="00963A1E"/>
    <w:rsid w:val="00970288"/>
    <w:rsid w:val="00974502"/>
    <w:rsid w:val="00975488"/>
    <w:rsid w:val="00976ECF"/>
    <w:rsid w:val="0098137A"/>
    <w:rsid w:val="0098200B"/>
    <w:rsid w:val="00986CD8"/>
    <w:rsid w:val="00991861"/>
    <w:rsid w:val="00993937"/>
    <w:rsid w:val="0099535A"/>
    <w:rsid w:val="0099659F"/>
    <w:rsid w:val="009A1D35"/>
    <w:rsid w:val="009A52D8"/>
    <w:rsid w:val="009A5F6F"/>
    <w:rsid w:val="009A60D0"/>
    <w:rsid w:val="009A759E"/>
    <w:rsid w:val="009B0465"/>
    <w:rsid w:val="009B23B5"/>
    <w:rsid w:val="009B4498"/>
    <w:rsid w:val="009C01B0"/>
    <w:rsid w:val="009C024D"/>
    <w:rsid w:val="009C2CDF"/>
    <w:rsid w:val="009C3440"/>
    <w:rsid w:val="009C3C02"/>
    <w:rsid w:val="009C403F"/>
    <w:rsid w:val="009C6695"/>
    <w:rsid w:val="009C7868"/>
    <w:rsid w:val="009C78E0"/>
    <w:rsid w:val="009C7EB3"/>
    <w:rsid w:val="009D02A3"/>
    <w:rsid w:val="009D05CB"/>
    <w:rsid w:val="009D0724"/>
    <w:rsid w:val="009D15A1"/>
    <w:rsid w:val="009D1A8B"/>
    <w:rsid w:val="009D1B51"/>
    <w:rsid w:val="009D258D"/>
    <w:rsid w:val="009D4DE7"/>
    <w:rsid w:val="009D531B"/>
    <w:rsid w:val="009D770C"/>
    <w:rsid w:val="009D7788"/>
    <w:rsid w:val="009D77C9"/>
    <w:rsid w:val="009D7C80"/>
    <w:rsid w:val="009E6E68"/>
    <w:rsid w:val="009E7CB2"/>
    <w:rsid w:val="009F091B"/>
    <w:rsid w:val="009F10B6"/>
    <w:rsid w:val="009F131E"/>
    <w:rsid w:val="009F133F"/>
    <w:rsid w:val="009F228C"/>
    <w:rsid w:val="009F23BE"/>
    <w:rsid w:val="009F363A"/>
    <w:rsid w:val="009F7054"/>
    <w:rsid w:val="00A05133"/>
    <w:rsid w:val="00A05306"/>
    <w:rsid w:val="00A0685D"/>
    <w:rsid w:val="00A114C4"/>
    <w:rsid w:val="00A14148"/>
    <w:rsid w:val="00A17F56"/>
    <w:rsid w:val="00A2213D"/>
    <w:rsid w:val="00A222FE"/>
    <w:rsid w:val="00A2320F"/>
    <w:rsid w:val="00A2433C"/>
    <w:rsid w:val="00A246BB"/>
    <w:rsid w:val="00A275F1"/>
    <w:rsid w:val="00A31C8F"/>
    <w:rsid w:val="00A325C7"/>
    <w:rsid w:val="00A3424C"/>
    <w:rsid w:val="00A34572"/>
    <w:rsid w:val="00A350DA"/>
    <w:rsid w:val="00A3643D"/>
    <w:rsid w:val="00A4332A"/>
    <w:rsid w:val="00A439A4"/>
    <w:rsid w:val="00A44C28"/>
    <w:rsid w:val="00A44F1B"/>
    <w:rsid w:val="00A4784C"/>
    <w:rsid w:val="00A51E16"/>
    <w:rsid w:val="00A5201D"/>
    <w:rsid w:val="00A53A5B"/>
    <w:rsid w:val="00A5472E"/>
    <w:rsid w:val="00A55F22"/>
    <w:rsid w:val="00A56ABC"/>
    <w:rsid w:val="00A56DBF"/>
    <w:rsid w:val="00A56E10"/>
    <w:rsid w:val="00A60550"/>
    <w:rsid w:val="00A606EA"/>
    <w:rsid w:val="00A62A0C"/>
    <w:rsid w:val="00A66AD8"/>
    <w:rsid w:val="00A6703A"/>
    <w:rsid w:val="00A70A4E"/>
    <w:rsid w:val="00A73615"/>
    <w:rsid w:val="00A9096A"/>
    <w:rsid w:val="00A9146F"/>
    <w:rsid w:val="00A94CAE"/>
    <w:rsid w:val="00A94ED2"/>
    <w:rsid w:val="00A96154"/>
    <w:rsid w:val="00A9646C"/>
    <w:rsid w:val="00A96D68"/>
    <w:rsid w:val="00AA14CE"/>
    <w:rsid w:val="00AA1613"/>
    <w:rsid w:val="00AA2920"/>
    <w:rsid w:val="00AA298B"/>
    <w:rsid w:val="00AA3216"/>
    <w:rsid w:val="00AB3F81"/>
    <w:rsid w:val="00AB5069"/>
    <w:rsid w:val="00AC117D"/>
    <w:rsid w:val="00AC223E"/>
    <w:rsid w:val="00AC2856"/>
    <w:rsid w:val="00AC324D"/>
    <w:rsid w:val="00AC35B7"/>
    <w:rsid w:val="00AC3926"/>
    <w:rsid w:val="00AC7450"/>
    <w:rsid w:val="00AD1E98"/>
    <w:rsid w:val="00AD36CD"/>
    <w:rsid w:val="00AD3CA9"/>
    <w:rsid w:val="00AD5AC3"/>
    <w:rsid w:val="00AD6744"/>
    <w:rsid w:val="00AD7172"/>
    <w:rsid w:val="00AE2255"/>
    <w:rsid w:val="00AE2A10"/>
    <w:rsid w:val="00AE5C99"/>
    <w:rsid w:val="00AE6CFD"/>
    <w:rsid w:val="00AF0F98"/>
    <w:rsid w:val="00AF2F8A"/>
    <w:rsid w:val="00AF3183"/>
    <w:rsid w:val="00AF3D5F"/>
    <w:rsid w:val="00AF3E2F"/>
    <w:rsid w:val="00AF4F9C"/>
    <w:rsid w:val="00AF5AD6"/>
    <w:rsid w:val="00AF6A87"/>
    <w:rsid w:val="00AF6D44"/>
    <w:rsid w:val="00B00C12"/>
    <w:rsid w:val="00B0141E"/>
    <w:rsid w:val="00B01787"/>
    <w:rsid w:val="00B0445F"/>
    <w:rsid w:val="00B064D6"/>
    <w:rsid w:val="00B06D12"/>
    <w:rsid w:val="00B06F74"/>
    <w:rsid w:val="00B07E72"/>
    <w:rsid w:val="00B1696A"/>
    <w:rsid w:val="00B16CE6"/>
    <w:rsid w:val="00B226DA"/>
    <w:rsid w:val="00B232FF"/>
    <w:rsid w:val="00B24309"/>
    <w:rsid w:val="00B24DDC"/>
    <w:rsid w:val="00B279D4"/>
    <w:rsid w:val="00B30FB2"/>
    <w:rsid w:val="00B32E8B"/>
    <w:rsid w:val="00B335DE"/>
    <w:rsid w:val="00B37E0A"/>
    <w:rsid w:val="00B41F2A"/>
    <w:rsid w:val="00B44CC7"/>
    <w:rsid w:val="00B46AD7"/>
    <w:rsid w:val="00B502F6"/>
    <w:rsid w:val="00B53120"/>
    <w:rsid w:val="00B542A4"/>
    <w:rsid w:val="00B56037"/>
    <w:rsid w:val="00B5713D"/>
    <w:rsid w:val="00B61EE8"/>
    <w:rsid w:val="00B627F8"/>
    <w:rsid w:val="00B66261"/>
    <w:rsid w:val="00B670FB"/>
    <w:rsid w:val="00B7178D"/>
    <w:rsid w:val="00B77849"/>
    <w:rsid w:val="00B77D1C"/>
    <w:rsid w:val="00B805BF"/>
    <w:rsid w:val="00B84D1F"/>
    <w:rsid w:val="00B855DB"/>
    <w:rsid w:val="00B865A9"/>
    <w:rsid w:val="00B8741D"/>
    <w:rsid w:val="00B8781B"/>
    <w:rsid w:val="00B910FC"/>
    <w:rsid w:val="00B936AC"/>
    <w:rsid w:val="00B939FF"/>
    <w:rsid w:val="00B96202"/>
    <w:rsid w:val="00B965F3"/>
    <w:rsid w:val="00B96860"/>
    <w:rsid w:val="00BA005B"/>
    <w:rsid w:val="00BA0B51"/>
    <w:rsid w:val="00BA10AE"/>
    <w:rsid w:val="00BA21EE"/>
    <w:rsid w:val="00BA376D"/>
    <w:rsid w:val="00BA5F89"/>
    <w:rsid w:val="00BB00E2"/>
    <w:rsid w:val="00BB42F4"/>
    <w:rsid w:val="00BB4CFC"/>
    <w:rsid w:val="00BB5FA9"/>
    <w:rsid w:val="00BC2212"/>
    <w:rsid w:val="00BC34E1"/>
    <w:rsid w:val="00BC4D44"/>
    <w:rsid w:val="00BC5DBB"/>
    <w:rsid w:val="00BD1294"/>
    <w:rsid w:val="00BD258A"/>
    <w:rsid w:val="00BD3D65"/>
    <w:rsid w:val="00BD68EF"/>
    <w:rsid w:val="00BD6A00"/>
    <w:rsid w:val="00BDFEE8"/>
    <w:rsid w:val="00BE1690"/>
    <w:rsid w:val="00BE6352"/>
    <w:rsid w:val="00BE6EE2"/>
    <w:rsid w:val="00BF46A3"/>
    <w:rsid w:val="00BF6EE4"/>
    <w:rsid w:val="00BF7034"/>
    <w:rsid w:val="00C01646"/>
    <w:rsid w:val="00C04F3F"/>
    <w:rsid w:val="00C05E79"/>
    <w:rsid w:val="00C06974"/>
    <w:rsid w:val="00C07F0C"/>
    <w:rsid w:val="00C120DC"/>
    <w:rsid w:val="00C14E7C"/>
    <w:rsid w:val="00C1548F"/>
    <w:rsid w:val="00C15F42"/>
    <w:rsid w:val="00C17EB9"/>
    <w:rsid w:val="00C20150"/>
    <w:rsid w:val="00C2252F"/>
    <w:rsid w:val="00C234E1"/>
    <w:rsid w:val="00C24306"/>
    <w:rsid w:val="00C26162"/>
    <w:rsid w:val="00C33D88"/>
    <w:rsid w:val="00C40BE9"/>
    <w:rsid w:val="00C41725"/>
    <w:rsid w:val="00C41DD5"/>
    <w:rsid w:val="00C43221"/>
    <w:rsid w:val="00C442F3"/>
    <w:rsid w:val="00C4593D"/>
    <w:rsid w:val="00C50234"/>
    <w:rsid w:val="00C506EB"/>
    <w:rsid w:val="00C53C6B"/>
    <w:rsid w:val="00C53C94"/>
    <w:rsid w:val="00C570AF"/>
    <w:rsid w:val="00C57594"/>
    <w:rsid w:val="00C5794B"/>
    <w:rsid w:val="00C70C04"/>
    <w:rsid w:val="00C71005"/>
    <w:rsid w:val="00C726F7"/>
    <w:rsid w:val="00C751CE"/>
    <w:rsid w:val="00C754E9"/>
    <w:rsid w:val="00C764C2"/>
    <w:rsid w:val="00C77C92"/>
    <w:rsid w:val="00C816A9"/>
    <w:rsid w:val="00C91048"/>
    <w:rsid w:val="00C926C9"/>
    <w:rsid w:val="00C95625"/>
    <w:rsid w:val="00CA0FB4"/>
    <w:rsid w:val="00CA18E9"/>
    <w:rsid w:val="00CA23CE"/>
    <w:rsid w:val="00CA2A3A"/>
    <w:rsid w:val="00CA5893"/>
    <w:rsid w:val="00CB081E"/>
    <w:rsid w:val="00CB3400"/>
    <w:rsid w:val="00CB40EC"/>
    <w:rsid w:val="00CB6033"/>
    <w:rsid w:val="00CB70D4"/>
    <w:rsid w:val="00CB7203"/>
    <w:rsid w:val="00CC11F6"/>
    <w:rsid w:val="00CC227A"/>
    <w:rsid w:val="00CC3A40"/>
    <w:rsid w:val="00CC76E0"/>
    <w:rsid w:val="00CD1A8F"/>
    <w:rsid w:val="00CD75C7"/>
    <w:rsid w:val="00CD7B65"/>
    <w:rsid w:val="00CE03A7"/>
    <w:rsid w:val="00CE4696"/>
    <w:rsid w:val="00CE5EF7"/>
    <w:rsid w:val="00CE5F71"/>
    <w:rsid w:val="00CE684E"/>
    <w:rsid w:val="00CEDD81"/>
    <w:rsid w:val="00CF00AA"/>
    <w:rsid w:val="00CF3E3C"/>
    <w:rsid w:val="00CF4AF0"/>
    <w:rsid w:val="00CF614D"/>
    <w:rsid w:val="00CF7CC0"/>
    <w:rsid w:val="00D012F7"/>
    <w:rsid w:val="00D018BD"/>
    <w:rsid w:val="00D02C96"/>
    <w:rsid w:val="00D02F90"/>
    <w:rsid w:val="00D0329A"/>
    <w:rsid w:val="00D076A0"/>
    <w:rsid w:val="00D13524"/>
    <w:rsid w:val="00D1542D"/>
    <w:rsid w:val="00D15B94"/>
    <w:rsid w:val="00D16B00"/>
    <w:rsid w:val="00D19089"/>
    <w:rsid w:val="00D21EB4"/>
    <w:rsid w:val="00D22979"/>
    <w:rsid w:val="00D26ACE"/>
    <w:rsid w:val="00D27A6D"/>
    <w:rsid w:val="00D30AF3"/>
    <w:rsid w:val="00D35851"/>
    <w:rsid w:val="00D41C56"/>
    <w:rsid w:val="00D4200B"/>
    <w:rsid w:val="00D43AD3"/>
    <w:rsid w:val="00D469DF"/>
    <w:rsid w:val="00D50B80"/>
    <w:rsid w:val="00D5240E"/>
    <w:rsid w:val="00D53333"/>
    <w:rsid w:val="00D53A4F"/>
    <w:rsid w:val="00D53F37"/>
    <w:rsid w:val="00D540D9"/>
    <w:rsid w:val="00D54C4F"/>
    <w:rsid w:val="00D552C8"/>
    <w:rsid w:val="00D57E48"/>
    <w:rsid w:val="00D62D4C"/>
    <w:rsid w:val="00D63E68"/>
    <w:rsid w:val="00D66B3E"/>
    <w:rsid w:val="00D704E8"/>
    <w:rsid w:val="00D7101C"/>
    <w:rsid w:val="00D72ADF"/>
    <w:rsid w:val="00D72F86"/>
    <w:rsid w:val="00D7675E"/>
    <w:rsid w:val="00D8093B"/>
    <w:rsid w:val="00D80BDE"/>
    <w:rsid w:val="00D817A6"/>
    <w:rsid w:val="00D82639"/>
    <w:rsid w:val="00D82DB4"/>
    <w:rsid w:val="00D82FE0"/>
    <w:rsid w:val="00D83620"/>
    <w:rsid w:val="00D83899"/>
    <w:rsid w:val="00D83BE6"/>
    <w:rsid w:val="00D848FC"/>
    <w:rsid w:val="00D908AE"/>
    <w:rsid w:val="00D93D50"/>
    <w:rsid w:val="00D97EAF"/>
    <w:rsid w:val="00DA0438"/>
    <w:rsid w:val="00DA5FD6"/>
    <w:rsid w:val="00DB0950"/>
    <w:rsid w:val="00DB3348"/>
    <w:rsid w:val="00DB76A2"/>
    <w:rsid w:val="00DC213F"/>
    <w:rsid w:val="00DC420A"/>
    <w:rsid w:val="00DD07B2"/>
    <w:rsid w:val="00DD2EDD"/>
    <w:rsid w:val="00DD2FF5"/>
    <w:rsid w:val="00DD3182"/>
    <w:rsid w:val="00DD4748"/>
    <w:rsid w:val="00DD64F5"/>
    <w:rsid w:val="00DD6766"/>
    <w:rsid w:val="00DE176E"/>
    <w:rsid w:val="00DE7D93"/>
    <w:rsid w:val="00DF23B6"/>
    <w:rsid w:val="00DF2611"/>
    <w:rsid w:val="00DF7719"/>
    <w:rsid w:val="00E01101"/>
    <w:rsid w:val="00E07AC8"/>
    <w:rsid w:val="00E104DB"/>
    <w:rsid w:val="00E10790"/>
    <w:rsid w:val="00E11C48"/>
    <w:rsid w:val="00E12095"/>
    <w:rsid w:val="00E13E5E"/>
    <w:rsid w:val="00E16833"/>
    <w:rsid w:val="00E1708C"/>
    <w:rsid w:val="00E218E2"/>
    <w:rsid w:val="00E2284A"/>
    <w:rsid w:val="00E22E73"/>
    <w:rsid w:val="00E230DD"/>
    <w:rsid w:val="00E25136"/>
    <w:rsid w:val="00E274A3"/>
    <w:rsid w:val="00E30193"/>
    <w:rsid w:val="00E32309"/>
    <w:rsid w:val="00E3385C"/>
    <w:rsid w:val="00E34C6F"/>
    <w:rsid w:val="00E34FFD"/>
    <w:rsid w:val="00E3515E"/>
    <w:rsid w:val="00E37490"/>
    <w:rsid w:val="00E37C01"/>
    <w:rsid w:val="00E40D94"/>
    <w:rsid w:val="00E412CF"/>
    <w:rsid w:val="00E423F7"/>
    <w:rsid w:val="00E44C8D"/>
    <w:rsid w:val="00E5071F"/>
    <w:rsid w:val="00E50802"/>
    <w:rsid w:val="00E544DB"/>
    <w:rsid w:val="00E57D3C"/>
    <w:rsid w:val="00E630BD"/>
    <w:rsid w:val="00E646C1"/>
    <w:rsid w:val="00E66976"/>
    <w:rsid w:val="00E66FE4"/>
    <w:rsid w:val="00E66FF5"/>
    <w:rsid w:val="00E672C3"/>
    <w:rsid w:val="00E70285"/>
    <w:rsid w:val="00E74F43"/>
    <w:rsid w:val="00E7667B"/>
    <w:rsid w:val="00E77F42"/>
    <w:rsid w:val="00E838D6"/>
    <w:rsid w:val="00E86F39"/>
    <w:rsid w:val="00E97470"/>
    <w:rsid w:val="00EA0CBC"/>
    <w:rsid w:val="00EA102C"/>
    <w:rsid w:val="00EA235F"/>
    <w:rsid w:val="00EA2AA1"/>
    <w:rsid w:val="00EA2DCA"/>
    <w:rsid w:val="00EA5D7E"/>
    <w:rsid w:val="00EA6AF1"/>
    <w:rsid w:val="00EB0784"/>
    <w:rsid w:val="00EB153D"/>
    <w:rsid w:val="00EB22EC"/>
    <w:rsid w:val="00EB3EE6"/>
    <w:rsid w:val="00EB5951"/>
    <w:rsid w:val="00EC0C59"/>
    <w:rsid w:val="00EC3131"/>
    <w:rsid w:val="00EC542E"/>
    <w:rsid w:val="00EC5902"/>
    <w:rsid w:val="00ED0457"/>
    <w:rsid w:val="00ED0B16"/>
    <w:rsid w:val="00ED1280"/>
    <w:rsid w:val="00ED3999"/>
    <w:rsid w:val="00EE0DC4"/>
    <w:rsid w:val="00EE140E"/>
    <w:rsid w:val="00EE31CE"/>
    <w:rsid w:val="00EE3C76"/>
    <w:rsid w:val="00EE3FBA"/>
    <w:rsid w:val="00EE4CC2"/>
    <w:rsid w:val="00EF12F0"/>
    <w:rsid w:val="00EF272D"/>
    <w:rsid w:val="00EF2B35"/>
    <w:rsid w:val="00EF7474"/>
    <w:rsid w:val="00EF7615"/>
    <w:rsid w:val="00F07625"/>
    <w:rsid w:val="00F11B67"/>
    <w:rsid w:val="00F1287F"/>
    <w:rsid w:val="00F12B6D"/>
    <w:rsid w:val="00F12CA2"/>
    <w:rsid w:val="00F14203"/>
    <w:rsid w:val="00F153C5"/>
    <w:rsid w:val="00F155A0"/>
    <w:rsid w:val="00F1615C"/>
    <w:rsid w:val="00F161FD"/>
    <w:rsid w:val="00F17736"/>
    <w:rsid w:val="00F20C39"/>
    <w:rsid w:val="00F2217D"/>
    <w:rsid w:val="00F24DF5"/>
    <w:rsid w:val="00F252EB"/>
    <w:rsid w:val="00F3060E"/>
    <w:rsid w:val="00F33421"/>
    <w:rsid w:val="00F40FC3"/>
    <w:rsid w:val="00F421BF"/>
    <w:rsid w:val="00F430D1"/>
    <w:rsid w:val="00F44680"/>
    <w:rsid w:val="00F45B7A"/>
    <w:rsid w:val="00F46366"/>
    <w:rsid w:val="00F52C1D"/>
    <w:rsid w:val="00F54098"/>
    <w:rsid w:val="00F564CC"/>
    <w:rsid w:val="00F577A7"/>
    <w:rsid w:val="00F62B16"/>
    <w:rsid w:val="00F65F66"/>
    <w:rsid w:val="00F676EE"/>
    <w:rsid w:val="00F7156B"/>
    <w:rsid w:val="00F7210A"/>
    <w:rsid w:val="00F737DD"/>
    <w:rsid w:val="00F74ECE"/>
    <w:rsid w:val="00F811D5"/>
    <w:rsid w:val="00F83B0E"/>
    <w:rsid w:val="00F878DF"/>
    <w:rsid w:val="00F9138A"/>
    <w:rsid w:val="00F93995"/>
    <w:rsid w:val="00F94A0F"/>
    <w:rsid w:val="00F94EBF"/>
    <w:rsid w:val="00F951EC"/>
    <w:rsid w:val="00F951F2"/>
    <w:rsid w:val="00F95889"/>
    <w:rsid w:val="00F97549"/>
    <w:rsid w:val="00FA4DDA"/>
    <w:rsid w:val="00FA505F"/>
    <w:rsid w:val="00FA778A"/>
    <w:rsid w:val="00FB4FDA"/>
    <w:rsid w:val="00FB5D31"/>
    <w:rsid w:val="00FB5FEF"/>
    <w:rsid w:val="00FB722A"/>
    <w:rsid w:val="00FB7527"/>
    <w:rsid w:val="00FC2B06"/>
    <w:rsid w:val="00FC32CF"/>
    <w:rsid w:val="00FC336A"/>
    <w:rsid w:val="00FC4005"/>
    <w:rsid w:val="00FC40CD"/>
    <w:rsid w:val="00FD3F7A"/>
    <w:rsid w:val="00FE2FB5"/>
    <w:rsid w:val="00FE3845"/>
    <w:rsid w:val="00FE3E58"/>
    <w:rsid w:val="00FE5DBE"/>
    <w:rsid w:val="00FE6A98"/>
    <w:rsid w:val="00FF0233"/>
    <w:rsid w:val="00FF1425"/>
    <w:rsid w:val="00FF2686"/>
    <w:rsid w:val="00FF320E"/>
    <w:rsid w:val="00FF4393"/>
    <w:rsid w:val="00FF5ACA"/>
    <w:rsid w:val="00FF6325"/>
    <w:rsid w:val="00FF740F"/>
    <w:rsid w:val="0115BCDA"/>
    <w:rsid w:val="01223014"/>
    <w:rsid w:val="012798D5"/>
    <w:rsid w:val="012849B9"/>
    <w:rsid w:val="013057E8"/>
    <w:rsid w:val="01446627"/>
    <w:rsid w:val="0147168A"/>
    <w:rsid w:val="015825B4"/>
    <w:rsid w:val="016718E0"/>
    <w:rsid w:val="019856B3"/>
    <w:rsid w:val="01C82554"/>
    <w:rsid w:val="01CE345D"/>
    <w:rsid w:val="01E6AE52"/>
    <w:rsid w:val="02092987"/>
    <w:rsid w:val="021931B9"/>
    <w:rsid w:val="0225A519"/>
    <w:rsid w:val="0229D6C1"/>
    <w:rsid w:val="025A6111"/>
    <w:rsid w:val="0264FED4"/>
    <w:rsid w:val="026E5014"/>
    <w:rsid w:val="0280F6BE"/>
    <w:rsid w:val="0281DBD8"/>
    <w:rsid w:val="02873B62"/>
    <w:rsid w:val="028B5793"/>
    <w:rsid w:val="029260F6"/>
    <w:rsid w:val="02926B9C"/>
    <w:rsid w:val="029D8737"/>
    <w:rsid w:val="02A1A3E4"/>
    <w:rsid w:val="02B9B885"/>
    <w:rsid w:val="02C61220"/>
    <w:rsid w:val="02F59B77"/>
    <w:rsid w:val="02FBDE05"/>
    <w:rsid w:val="032FA9EB"/>
    <w:rsid w:val="033279FB"/>
    <w:rsid w:val="0348CC40"/>
    <w:rsid w:val="0369FD1C"/>
    <w:rsid w:val="0385F7FF"/>
    <w:rsid w:val="03A0E200"/>
    <w:rsid w:val="03B0E83A"/>
    <w:rsid w:val="03BDDAA3"/>
    <w:rsid w:val="03C9ED14"/>
    <w:rsid w:val="03D30253"/>
    <w:rsid w:val="03DBB867"/>
    <w:rsid w:val="03E4B9DF"/>
    <w:rsid w:val="03EF08DF"/>
    <w:rsid w:val="040A93E3"/>
    <w:rsid w:val="041B355E"/>
    <w:rsid w:val="045772BD"/>
    <w:rsid w:val="04619AE8"/>
    <w:rsid w:val="04629C7A"/>
    <w:rsid w:val="04685EFA"/>
    <w:rsid w:val="046DEE27"/>
    <w:rsid w:val="048B37D0"/>
    <w:rsid w:val="049DFA49"/>
    <w:rsid w:val="04B48506"/>
    <w:rsid w:val="04CA4BFA"/>
    <w:rsid w:val="04D67C83"/>
    <w:rsid w:val="04F9AF2E"/>
    <w:rsid w:val="0540D02E"/>
    <w:rsid w:val="05624F3F"/>
    <w:rsid w:val="05859B52"/>
    <w:rsid w:val="05A5C02F"/>
    <w:rsid w:val="05A89062"/>
    <w:rsid w:val="05C04E0B"/>
    <w:rsid w:val="05CF504D"/>
    <w:rsid w:val="05E1C17A"/>
    <w:rsid w:val="05FD8A82"/>
    <w:rsid w:val="061BF551"/>
    <w:rsid w:val="062FFA1A"/>
    <w:rsid w:val="06361CCF"/>
    <w:rsid w:val="0650A141"/>
    <w:rsid w:val="0689A486"/>
    <w:rsid w:val="068A760E"/>
    <w:rsid w:val="06ADD209"/>
    <w:rsid w:val="06B47787"/>
    <w:rsid w:val="06B96C1F"/>
    <w:rsid w:val="06BE7130"/>
    <w:rsid w:val="06DBEA72"/>
    <w:rsid w:val="06EA7931"/>
    <w:rsid w:val="06EC8739"/>
    <w:rsid w:val="0714174F"/>
    <w:rsid w:val="071A8BAC"/>
    <w:rsid w:val="072510F4"/>
    <w:rsid w:val="0730C827"/>
    <w:rsid w:val="07399EA4"/>
    <w:rsid w:val="073DCFF7"/>
    <w:rsid w:val="0740A17D"/>
    <w:rsid w:val="0752AF3A"/>
    <w:rsid w:val="076771E8"/>
    <w:rsid w:val="07798A45"/>
    <w:rsid w:val="0788F19A"/>
    <w:rsid w:val="07A1A690"/>
    <w:rsid w:val="07A9A088"/>
    <w:rsid w:val="07AD020C"/>
    <w:rsid w:val="07AD192A"/>
    <w:rsid w:val="07C6CB71"/>
    <w:rsid w:val="07CCFEAE"/>
    <w:rsid w:val="07D81372"/>
    <w:rsid w:val="07DCCA9F"/>
    <w:rsid w:val="07DDD98C"/>
    <w:rsid w:val="07E05E2A"/>
    <w:rsid w:val="07F2BAC7"/>
    <w:rsid w:val="08104F2A"/>
    <w:rsid w:val="0811AA48"/>
    <w:rsid w:val="081F644B"/>
    <w:rsid w:val="084D3173"/>
    <w:rsid w:val="084D5D62"/>
    <w:rsid w:val="088006AA"/>
    <w:rsid w:val="089642F2"/>
    <w:rsid w:val="08A95B86"/>
    <w:rsid w:val="08ABCABC"/>
    <w:rsid w:val="08E071E9"/>
    <w:rsid w:val="08E89E20"/>
    <w:rsid w:val="08EAA461"/>
    <w:rsid w:val="08F879F7"/>
    <w:rsid w:val="08FA4330"/>
    <w:rsid w:val="0901B9AE"/>
    <w:rsid w:val="0903DCA5"/>
    <w:rsid w:val="0907CE97"/>
    <w:rsid w:val="09186A2D"/>
    <w:rsid w:val="09390224"/>
    <w:rsid w:val="0958C175"/>
    <w:rsid w:val="09731375"/>
    <w:rsid w:val="0981F994"/>
    <w:rsid w:val="098965A7"/>
    <w:rsid w:val="09985258"/>
    <w:rsid w:val="09AAFB09"/>
    <w:rsid w:val="09ED2660"/>
    <w:rsid w:val="09F8294F"/>
    <w:rsid w:val="0A016CFF"/>
    <w:rsid w:val="0A042402"/>
    <w:rsid w:val="0A0C5E43"/>
    <w:rsid w:val="0A0E1998"/>
    <w:rsid w:val="0A150EAB"/>
    <w:rsid w:val="0A3723B2"/>
    <w:rsid w:val="0A396DAA"/>
    <w:rsid w:val="0A4A8C17"/>
    <w:rsid w:val="0A5D5179"/>
    <w:rsid w:val="0A5EFDF4"/>
    <w:rsid w:val="0A67FBBD"/>
    <w:rsid w:val="0A7A4161"/>
    <w:rsid w:val="0A7C0B0C"/>
    <w:rsid w:val="0A842642"/>
    <w:rsid w:val="0A92A6D2"/>
    <w:rsid w:val="0AA5E6AC"/>
    <w:rsid w:val="0AAB8084"/>
    <w:rsid w:val="0AB402EC"/>
    <w:rsid w:val="0ABCF80C"/>
    <w:rsid w:val="0B12FDBD"/>
    <w:rsid w:val="0B255AFC"/>
    <w:rsid w:val="0B2F50EE"/>
    <w:rsid w:val="0B320FFA"/>
    <w:rsid w:val="0B33BA5C"/>
    <w:rsid w:val="0B340F5F"/>
    <w:rsid w:val="0B34A7A8"/>
    <w:rsid w:val="0B376F29"/>
    <w:rsid w:val="0B4131A4"/>
    <w:rsid w:val="0B759D7F"/>
    <w:rsid w:val="0B945258"/>
    <w:rsid w:val="0B991B29"/>
    <w:rsid w:val="0BAA11DF"/>
    <w:rsid w:val="0BB68055"/>
    <w:rsid w:val="0BD48558"/>
    <w:rsid w:val="0BD5B00E"/>
    <w:rsid w:val="0BD785FC"/>
    <w:rsid w:val="0BE04145"/>
    <w:rsid w:val="0BEBC876"/>
    <w:rsid w:val="0BEBD59C"/>
    <w:rsid w:val="0C050B51"/>
    <w:rsid w:val="0C0CDAFB"/>
    <w:rsid w:val="0C23ED5D"/>
    <w:rsid w:val="0C2D5D5D"/>
    <w:rsid w:val="0C3CE3BA"/>
    <w:rsid w:val="0C4EF8D5"/>
    <w:rsid w:val="0C52BEB5"/>
    <w:rsid w:val="0C53C7B2"/>
    <w:rsid w:val="0C973BFA"/>
    <w:rsid w:val="0C9C4CED"/>
    <w:rsid w:val="0CA072A9"/>
    <w:rsid w:val="0CB79D6C"/>
    <w:rsid w:val="0CBDBF3E"/>
    <w:rsid w:val="0CDCF37C"/>
    <w:rsid w:val="0CE78745"/>
    <w:rsid w:val="0CE8F68E"/>
    <w:rsid w:val="0CFBF5F0"/>
    <w:rsid w:val="0D3B2942"/>
    <w:rsid w:val="0D3E6B3D"/>
    <w:rsid w:val="0D446677"/>
    <w:rsid w:val="0D506331"/>
    <w:rsid w:val="0D559706"/>
    <w:rsid w:val="0D5A82EB"/>
    <w:rsid w:val="0D7A1E21"/>
    <w:rsid w:val="0D8C3B50"/>
    <w:rsid w:val="0D9DC53D"/>
    <w:rsid w:val="0DAA4F49"/>
    <w:rsid w:val="0DBE4428"/>
    <w:rsid w:val="0DD39CDB"/>
    <w:rsid w:val="0DEACC4B"/>
    <w:rsid w:val="0DF38434"/>
    <w:rsid w:val="0DF9ADE0"/>
    <w:rsid w:val="0E0A5FB1"/>
    <w:rsid w:val="0E19EA36"/>
    <w:rsid w:val="0E1D588E"/>
    <w:rsid w:val="0E2618D1"/>
    <w:rsid w:val="0E2F257B"/>
    <w:rsid w:val="0E531881"/>
    <w:rsid w:val="0E6D6F2C"/>
    <w:rsid w:val="0E75475B"/>
    <w:rsid w:val="0E8157E9"/>
    <w:rsid w:val="0E9996C8"/>
    <w:rsid w:val="0E99B67C"/>
    <w:rsid w:val="0EA14563"/>
    <w:rsid w:val="0EA81090"/>
    <w:rsid w:val="0EACD483"/>
    <w:rsid w:val="0EAF27E3"/>
    <w:rsid w:val="0EB48CA4"/>
    <w:rsid w:val="0EBFA7E4"/>
    <w:rsid w:val="0ECC1CD3"/>
    <w:rsid w:val="0ED789AC"/>
    <w:rsid w:val="0EE1FEA5"/>
    <w:rsid w:val="0EF57E64"/>
    <w:rsid w:val="0F0DA29A"/>
    <w:rsid w:val="0F2EB501"/>
    <w:rsid w:val="0F30DDA4"/>
    <w:rsid w:val="0F354048"/>
    <w:rsid w:val="0F467A04"/>
    <w:rsid w:val="0F578ED1"/>
    <w:rsid w:val="0F585F03"/>
    <w:rsid w:val="0F5AA38D"/>
    <w:rsid w:val="0F94AFF8"/>
    <w:rsid w:val="0F98CB89"/>
    <w:rsid w:val="0FADED23"/>
    <w:rsid w:val="0FB6023A"/>
    <w:rsid w:val="0FC92035"/>
    <w:rsid w:val="0FCD3B65"/>
    <w:rsid w:val="0FE17333"/>
    <w:rsid w:val="104D2CC8"/>
    <w:rsid w:val="1058521B"/>
    <w:rsid w:val="105A7766"/>
    <w:rsid w:val="105D6EE5"/>
    <w:rsid w:val="10662FA2"/>
    <w:rsid w:val="10698553"/>
    <w:rsid w:val="107406DC"/>
    <w:rsid w:val="1090DD20"/>
    <w:rsid w:val="10A82871"/>
    <w:rsid w:val="10AD6BC1"/>
    <w:rsid w:val="10C02912"/>
    <w:rsid w:val="10C85737"/>
    <w:rsid w:val="10CEA96B"/>
    <w:rsid w:val="10DFA964"/>
    <w:rsid w:val="1107AAB1"/>
    <w:rsid w:val="110E35CC"/>
    <w:rsid w:val="1121910B"/>
    <w:rsid w:val="1139DF1F"/>
    <w:rsid w:val="113D0781"/>
    <w:rsid w:val="1140417C"/>
    <w:rsid w:val="11468219"/>
    <w:rsid w:val="1148B9C9"/>
    <w:rsid w:val="1163767E"/>
    <w:rsid w:val="11719F1D"/>
    <w:rsid w:val="11B26AA5"/>
    <w:rsid w:val="11C080E7"/>
    <w:rsid w:val="11C29162"/>
    <w:rsid w:val="11EEA121"/>
    <w:rsid w:val="120018EB"/>
    <w:rsid w:val="122959A0"/>
    <w:rsid w:val="123051DA"/>
    <w:rsid w:val="1230B415"/>
    <w:rsid w:val="1231611A"/>
    <w:rsid w:val="1232D71D"/>
    <w:rsid w:val="123CE0AD"/>
    <w:rsid w:val="124E5AA3"/>
    <w:rsid w:val="125AA799"/>
    <w:rsid w:val="12660E84"/>
    <w:rsid w:val="126D9C27"/>
    <w:rsid w:val="1273C313"/>
    <w:rsid w:val="127B37EF"/>
    <w:rsid w:val="127E0D20"/>
    <w:rsid w:val="1292F2A3"/>
    <w:rsid w:val="12C79BDF"/>
    <w:rsid w:val="12D33431"/>
    <w:rsid w:val="12D988A0"/>
    <w:rsid w:val="12DDF99A"/>
    <w:rsid w:val="12E42888"/>
    <w:rsid w:val="12E510AF"/>
    <w:rsid w:val="12EA80F7"/>
    <w:rsid w:val="12F15EF8"/>
    <w:rsid w:val="12F5E18E"/>
    <w:rsid w:val="1308B280"/>
    <w:rsid w:val="1313FF23"/>
    <w:rsid w:val="13423D87"/>
    <w:rsid w:val="1343D864"/>
    <w:rsid w:val="13686435"/>
    <w:rsid w:val="136D468C"/>
    <w:rsid w:val="1374017D"/>
    <w:rsid w:val="1386F1AB"/>
    <w:rsid w:val="138AC55F"/>
    <w:rsid w:val="13A23044"/>
    <w:rsid w:val="13B4BE27"/>
    <w:rsid w:val="13C1DE0E"/>
    <w:rsid w:val="13F851C7"/>
    <w:rsid w:val="13F9FF8F"/>
    <w:rsid w:val="13FA820B"/>
    <w:rsid w:val="141372C4"/>
    <w:rsid w:val="14542E3B"/>
    <w:rsid w:val="14776EE4"/>
    <w:rsid w:val="147D13AF"/>
    <w:rsid w:val="14B6C99D"/>
    <w:rsid w:val="14DEB3D0"/>
    <w:rsid w:val="14ED7B9E"/>
    <w:rsid w:val="14EE34F7"/>
    <w:rsid w:val="14F3A884"/>
    <w:rsid w:val="1507EFD4"/>
    <w:rsid w:val="151DDD16"/>
    <w:rsid w:val="153E3A15"/>
    <w:rsid w:val="154708EA"/>
    <w:rsid w:val="155B2133"/>
    <w:rsid w:val="1573D111"/>
    <w:rsid w:val="15894C63"/>
    <w:rsid w:val="159474E1"/>
    <w:rsid w:val="15AC3F04"/>
    <w:rsid w:val="15AEC0D0"/>
    <w:rsid w:val="15C64A96"/>
    <w:rsid w:val="15C9823B"/>
    <w:rsid w:val="15DAD585"/>
    <w:rsid w:val="15DC50CD"/>
    <w:rsid w:val="15F3B16E"/>
    <w:rsid w:val="15F80B25"/>
    <w:rsid w:val="15F977C5"/>
    <w:rsid w:val="15FB5D12"/>
    <w:rsid w:val="1604705D"/>
    <w:rsid w:val="1609480C"/>
    <w:rsid w:val="160AA47B"/>
    <w:rsid w:val="160D3316"/>
    <w:rsid w:val="1619A6EA"/>
    <w:rsid w:val="16227515"/>
    <w:rsid w:val="1622A80B"/>
    <w:rsid w:val="16253221"/>
    <w:rsid w:val="1636E20E"/>
    <w:rsid w:val="16473A8C"/>
    <w:rsid w:val="165E64E4"/>
    <w:rsid w:val="1668BEFD"/>
    <w:rsid w:val="1685BDC0"/>
    <w:rsid w:val="168EFE7B"/>
    <w:rsid w:val="169A080F"/>
    <w:rsid w:val="16BE866B"/>
    <w:rsid w:val="16C45030"/>
    <w:rsid w:val="16C754EF"/>
    <w:rsid w:val="16D2D7C2"/>
    <w:rsid w:val="16E5AD7B"/>
    <w:rsid w:val="16F74BBF"/>
    <w:rsid w:val="16FACD8A"/>
    <w:rsid w:val="17093E04"/>
    <w:rsid w:val="170D18BB"/>
    <w:rsid w:val="17338A66"/>
    <w:rsid w:val="173F59E5"/>
    <w:rsid w:val="1742A328"/>
    <w:rsid w:val="1747368C"/>
    <w:rsid w:val="1757D94C"/>
    <w:rsid w:val="17650336"/>
    <w:rsid w:val="176AD087"/>
    <w:rsid w:val="176D83F5"/>
    <w:rsid w:val="177D8A43"/>
    <w:rsid w:val="177E4881"/>
    <w:rsid w:val="1782A1C9"/>
    <w:rsid w:val="17A51542"/>
    <w:rsid w:val="17A9BCAD"/>
    <w:rsid w:val="17A9EBDB"/>
    <w:rsid w:val="17C76CF0"/>
    <w:rsid w:val="17CC10DB"/>
    <w:rsid w:val="180F3916"/>
    <w:rsid w:val="18288A95"/>
    <w:rsid w:val="182DCE73"/>
    <w:rsid w:val="1845EFA2"/>
    <w:rsid w:val="18480729"/>
    <w:rsid w:val="1849A171"/>
    <w:rsid w:val="184BD3F8"/>
    <w:rsid w:val="1854B402"/>
    <w:rsid w:val="185533E6"/>
    <w:rsid w:val="186308A5"/>
    <w:rsid w:val="1863E033"/>
    <w:rsid w:val="186B60C2"/>
    <w:rsid w:val="18A40C74"/>
    <w:rsid w:val="18B4323C"/>
    <w:rsid w:val="18D78803"/>
    <w:rsid w:val="18D87293"/>
    <w:rsid w:val="18DB0C86"/>
    <w:rsid w:val="18E3BAA8"/>
    <w:rsid w:val="18ED3287"/>
    <w:rsid w:val="18F91427"/>
    <w:rsid w:val="1911F4B9"/>
    <w:rsid w:val="1912E31F"/>
    <w:rsid w:val="1958F19B"/>
    <w:rsid w:val="19666D29"/>
    <w:rsid w:val="19861A4D"/>
    <w:rsid w:val="199EE1D5"/>
    <w:rsid w:val="19A21B13"/>
    <w:rsid w:val="19B5A59A"/>
    <w:rsid w:val="19C90ECD"/>
    <w:rsid w:val="19D66111"/>
    <w:rsid w:val="19DD1064"/>
    <w:rsid w:val="1A150522"/>
    <w:rsid w:val="1A1B0025"/>
    <w:rsid w:val="1A213062"/>
    <w:rsid w:val="1A24A3FA"/>
    <w:rsid w:val="1A25210C"/>
    <w:rsid w:val="1A5F8451"/>
    <w:rsid w:val="1A73685C"/>
    <w:rsid w:val="1A92BAA6"/>
    <w:rsid w:val="1A9E7F85"/>
    <w:rsid w:val="1AA5C78D"/>
    <w:rsid w:val="1AA88B74"/>
    <w:rsid w:val="1AAC6AEF"/>
    <w:rsid w:val="1AB747CA"/>
    <w:rsid w:val="1AC34BB9"/>
    <w:rsid w:val="1ACA599D"/>
    <w:rsid w:val="1ACF029C"/>
    <w:rsid w:val="1AD9D098"/>
    <w:rsid w:val="1ADC9B56"/>
    <w:rsid w:val="1AF2967C"/>
    <w:rsid w:val="1AFF7A0F"/>
    <w:rsid w:val="1B17CB32"/>
    <w:rsid w:val="1B19074A"/>
    <w:rsid w:val="1B1D9C87"/>
    <w:rsid w:val="1B223E60"/>
    <w:rsid w:val="1B2FB249"/>
    <w:rsid w:val="1B36BBCE"/>
    <w:rsid w:val="1B3F6CA8"/>
    <w:rsid w:val="1B4B2FAE"/>
    <w:rsid w:val="1B524BE9"/>
    <w:rsid w:val="1B5E6757"/>
    <w:rsid w:val="1B5F4C68"/>
    <w:rsid w:val="1B7235DE"/>
    <w:rsid w:val="1B7342B9"/>
    <w:rsid w:val="1B7B93E7"/>
    <w:rsid w:val="1B8203A1"/>
    <w:rsid w:val="1B8CE7AA"/>
    <w:rsid w:val="1B8ECDF5"/>
    <w:rsid w:val="1BA27E99"/>
    <w:rsid w:val="1BA9935F"/>
    <w:rsid w:val="1BB43879"/>
    <w:rsid w:val="1BC0CDC1"/>
    <w:rsid w:val="1BCC2383"/>
    <w:rsid w:val="1BCE53A0"/>
    <w:rsid w:val="1BD0E2B7"/>
    <w:rsid w:val="1BD3D5CF"/>
    <w:rsid w:val="1BE58F1D"/>
    <w:rsid w:val="1BF0D5A0"/>
    <w:rsid w:val="1BF60487"/>
    <w:rsid w:val="1C137E52"/>
    <w:rsid w:val="1C1A6E71"/>
    <w:rsid w:val="1C225766"/>
    <w:rsid w:val="1C22E370"/>
    <w:rsid w:val="1C244C25"/>
    <w:rsid w:val="1C2F4B8D"/>
    <w:rsid w:val="1C33408B"/>
    <w:rsid w:val="1C38475C"/>
    <w:rsid w:val="1C5D55E1"/>
    <w:rsid w:val="1C5EAB73"/>
    <w:rsid w:val="1C642033"/>
    <w:rsid w:val="1C688BD5"/>
    <w:rsid w:val="1C6C1AF4"/>
    <w:rsid w:val="1C80FEC6"/>
    <w:rsid w:val="1C8F8542"/>
    <w:rsid w:val="1C978345"/>
    <w:rsid w:val="1CA926AC"/>
    <w:rsid w:val="1CB80732"/>
    <w:rsid w:val="1CC30C3C"/>
    <w:rsid w:val="1CFB04F8"/>
    <w:rsid w:val="1D1C3F62"/>
    <w:rsid w:val="1D35D795"/>
    <w:rsid w:val="1D407C04"/>
    <w:rsid w:val="1D42B0D0"/>
    <w:rsid w:val="1D513866"/>
    <w:rsid w:val="1D606D09"/>
    <w:rsid w:val="1D60EBFA"/>
    <w:rsid w:val="1D632154"/>
    <w:rsid w:val="1D637DE3"/>
    <w:rsid w:val="1D6EAA0D"/>
    <w:rsid w:val="1D779D04"/>
    <w:rsid w:val="1D893E5B"/>
    <w:rsid w:val="1D996AFB"/>
    <w:rsid w:val="1DA64EF3"/>
    <w:rsid w:val="1DAC99DC"/>
    <w:rsid w:val="1DACF954"/>
    <w:rsid w:val="1DC25B13"/>
    <w:rsid w:val="1DC4292C"/>
    <w:rsid w:val="1DCFDCF5"/>
    <w:rsid w:val="1DD2B3A7"/>
    <w:rsid w:val="1DDB81C5"/>
    <w:rsid w:val="1DE72750"/>
    <w:rsid w:val="1DF58B25"/>
    <w:rsid w:val="1DF9600B"/>
    <w:rsid w:val="1DFA84F2"/>
    <w:rsid w:val="1E2BB58F"/>
    <w:rsid w:val="1E33654E"/>
    <w:rsid w:val="1E5D9A12"/>
    <w:rsid w:val="1E63F797"/>
    <w:rsid w:val="1E6DD5D0"/>
    <w:rsid w:val="1E6E578F"/>
    <w:rsid w:val="1E7C9B5F"/>
    <w:rsid w:val="1E82D6BC"/>
    <w:rsid w:val="1E96C3F9"/>
    <w:rsid w:val="1EA2049C"/>
    <w:rsid w:val="1EAA4E19"/>
    <w:rsid w:val="1EAE0FD5"/>
    <w:rsid w:val="1EB2FB95"/>
    <w:rsid w:val="1EB4918A"/>
    <w:rsid w:val="1EB5D4BD"/>
    <w:rsid w:val="1EDC613B"/>
    <w:rsid w:val="1EF0C2D2"/>
    <w:rsid w:val="1EF7F1ED"/>
    <w:rsid w:val="1F0A674B"/>
    <w:rsid w:val="1F13A180"/>
    <w:rsid w:val="1F1AEB12"/>
    <w:rsid w:val="1F2CC6AF"/>
    <w:rsid w:val="1F320504"/>
    <w:rsid w:val="1F5621D5"/>
    <w:rsid w:val="1F5872BE"/>
    <w:rsid w:val="1F5A6C21"/>
    <w:rsid w:val="1F5CCA6F"/>
    <w:rsid w:val="1F702798"/>
    <w:rsid w:val="1F7062A3"/>
    <w:rsid w:val="1F731C7C"/>
    <w:rsid w:val="1F7FDE38"/>
    <w:rsid w:val="1F82BBA8"/>
    <w:rsid w:val="1F87D8B6"/>
    <w:rsid w:val="1F8C1DC7"/>
    <w:rsid w:val="1F9FA0AF"/>
    <w:rsid w:val="1FA7F11A"/>
    <w:rsid w:val="1FDE5895"/>
    <w:rsid w:val="1FE908B0"/>
    <w:rsid w:val="1FE98E1A"/>
    <w:rsid w:val="1FEAF99E"/>
    <w:rsid w:val="1FFBA487"/>
    <w:rsid w:val="1FFD8280"/>
    <w:rsid w:val="202809A8"/>
    <w:rsid w:val="20331A5A"/>
    <w:rsid w:val="2050A1B9"/>
    <w:rsid w:val="20708913"/>
    <w:rsid w:val="20A09C02"/>
    <w:rsid w:val="20A38202"/>
    <w:rsid w:val="20AED3C1"/>
    <w:rsid w:val="20DF02C7"/>
    <w:rsid w:val="20E0537C"/>
    <w:rsid w:val="21070842"/>
    <w:rsid w:val="21269EE1"/>
    <w:rsid w:val="212F94D1"/>
    <w:rsid w:val="21603206"/>
    <w:rsid w:val="216C49FB"/>
    <w:rsid w:val="2182B97E"/>
    <w:rsid w:val="21DB86CF"/>
    <w:rsid w:val="21F37830"/>
    <w:rsid w:val="2216C2CE"/>
    <w:rsid w:val="222F5D15"/>
    <w:rsid w:val="2234E3CB"/>
    <w:rsid w:val="223B3FB1"/>
    <w:rsid w:val="2249640B"/>
    <w:rsid w:val="2251FE92"/>
    <w:rsid w:val="22734183"/>
    <w:rsid w:val="2283AA58"/>
    <w:rsid w:val="228795DA"/>
    <w:rsid w:val="22C1BC1C"/>
    <w:rsid w:val="22CB4FD7"/>
    <w:rsid w:val="22DCFB13"/>
    <w:rsid w:val="22DD0D9F"/>
    <w:rsid w:val="22DD7878"/>
    <w:rsid w:val="22DF8302"/>
    <w:rsid w:val="22E5CE86"/>
    <w:rsid w:val="22E8F2D2"/>
    <w:rsid w:val="22EA82E4"/>
    <w:rsid w:val="22ECAC13"/>
    <w:rsid w:val="22F8EAFA"/>
    <w:rsid w:val="231086AC"/>
    <w:rsid w:val="23124136"/>
    <w:rsid w:val="2331B26A"/>
    <w:rsid w:val="23336925"/>
    <w:rsid w:val="2341B958"/>
    <w:rsid w:val="2353CB8B"/>
    <w:rsid w:val="23656377"/>
    <w:rsid w:val="236CC900"/>
    <w:rsid w:val="23764C8D"/>
    <w:rsid w:val="238E5513"/>
    <w:rsid w:val="23942CE4"/>
    <w:rsid w:val="23A104A9"/>
    <w:rsid w:val="23A1E80E"/>
    <w:rsid w:val="23AAB5FD"/>
    <w:rsid w:val="23BE1D5B"/>
    <w:rsid w:val="23DBBEF2"/>
    <w:rsid w:val="23E61B12"/>
    <w:rsid w:val="23EB0A43"/>
    <w:rsid w:val="24061D87"/>
    <w:rsid w:val="240AA32D"/>
    <w:rsid w:val="241A8B4E"/>
    <w:rsid w:val="242862E8"/>
    <w:rsid w:val="244E6B19"/>
    <w:rsid w:val="2455D6C6"/>
    <w:rsid w:val="246932FA"/>
    <w:rsid w:val="246E1F1E"/>
    <w:rsid w:val="24D7025C"/>
    <w:rsid w:val="24EACEBD"/>
    <w:rsid w:val="24F2F081"/>
    <w:rsid w:val="25040021"/>
    <w:rsid w:val="2504D20C"/>
    <w:rsid w:val="250A8BE1"/>
    <w:rsid w:val="251704DE"/>
    <w:rsid w:val="251A32F4"/>
    <w:rsid w:val="252A51CA"/>
    <w:rsid w:val="253C19E3"/>
    <w:rsid w:val="2547B079"/>
    <w:rsid w:val="254A1E8D"/>
    <w:rsid w:val="255A8EA2"/>
    <w:rsid w:val="256B2707"/>
    <w:rsid w:val="25720E0B"/>
    <w:rsid w:val="2596BC05"/>
    <w:rsid w:val="25AD99CC"/>
    <w:rsid w:val="25B06FD3"/>
    <w:rsid w:val="25C6006F"/>
    <w:rsid w:val="25EBA827"/>
    <w:rsid w:val="2602F85E"/>
    <w:rsid w:val="2608C753"/>
    <w:rsid w:val="260C22EB"/>
    <w:rsid w:val="2622CDF1"/>
    <w:rsid w:val="265247E5"/>
    <w:rsid w:val="2665D559"/>
    <w:rsid w:val="266D448A"/>
    <w:rsid w:val="26789D4B"/>
    <w:rsid w:val="267B880D"/>
    <w:rsid w:val="26A72766"/>
    <w:rsid w:val="26AD01B8"/>
    <w:rsid w:val="26AFDA8E"/>
    <w:rsid w:val="26BBC36E"/>
    <w:rsid w:val="26D555D3"/>
    <w:rsid w:val="2781DD6E"/>
    <w:rsid w:val="27AA206E"/>
    <w:rsid w:val="27F295BB"/>
    <w:rsid w:val="27F7841A"/>
    <w:rsid w:val="28188B66"/>
    <w:rsid w:val="281EE8F3"/>
    <w:rsid w:val="28287456"/>
    <w:rsid w:val="2834BF61"/>
    <w:rsid w:val="2841E01A"/>
    <w:rsid w:val="2852C66C"/>
    <w:rsid w:val="28577558"/>
    <w:rsid w:val="285A77F0"/>
    <w:rsid w:val="2861CAEE"/>
    <w:rsid w:val="287D45F0"/>
    <w:rsid w:val="288DC8FC"/>
    <w:rsid w:val="28989C44"/>
    <w:rsid w:val="289AB9A1"/>
    <w:rsid w:val="28B8E688"/>
    <w:rsid w:val="28C8DC5A"/>
    <w:rsid w:val="28D3E638"/>
    <w:rsid w:val="28E9901A"/>
    <w:rsid w:val="28FE23A3"/>
    <w:rsid w:val="29011CF6"/>
    <w:rsid w:val="29132FAB"/>
    <w:rsid w:val="2915BEBE"/>
    <w:rsid w:val="292D77AC"/>
    <w:rsid w:val="2939990E"/>
    <w:rsid w:val="294190D9"/>
    <w:rsid w:val="2958F764"/>
    <w:rsid w:val="296B43ED"/>
    <w:rsid w:val="29957D3E"/>
    <w:rsid w:val="29AE12DF"/>
    <w:rsid w:val="29B04B9A"/>
    <w:rsid w:val="29B90A4C"/>
    <w:rsid w:val="29C15652"/>
    <w:rsid w:val="29CA62C0"/>
    <w:rsid w:val="29CD1B6A"/>
    <w:rsid w:val="29F6985E"/>
    <w:rsid w:val="29FB6525"/>
    <w:rsid w:val="2A1D16CD"/>
    <w:rsid w:val="2A45E59A"/>
    <w:rsid w:val="2A54FC2F"/>
    <w:rsid w:val="2A570349"/>
    <w:rsid w:val="2A6C198C"/>
    <w:rsid w:val="2A6CC003"/>
    <w:rsid w:val="2A75D153"/>
    <w:rsid w:val="2A7AE36A"/>
    <w:rsid w:val="2AB713DA"/>
    <w:rsid w:val="2AC0B1B5"/>
    <w:rsid w:val="2ACC057D"/>
    <w:rsid w:val="2AD6DAEE"/>
    <w:rsid w:val="2AFC0813"/>
    <w:rsid w:val="2AFE9421"/>
    <w:rsid w:val="2B00C315"/>
    <w:rsid w:val="2B22FDEA"/>
    <w:rsid w:val="2B23E1DA"/>
    <w:rsid w:val="2B43711D"/>
    <w:rsid w:val="2B6963F3"/>
    <w:rsid w:val="2B75215F"/>
    <w:rsid w:val="2BAB5DE2"/>
    <w:rsid w:val="2BB40B11"/>
    <w:rsid w:val="2BC5282B"/>
    <w:rsid w:val="2BDD5976"/>
    <w:rsid w:val="2BE1A685"/>
    <w:rsid w:val="2BE846E2"/>
    <w:rsid w:val="2BF730C6"/>
    <w:rsid w:val="2BFE22D9"/>
    <w:rsid w:val="2C171810"/>
    <w:rsid w:val="2C1F6584"/>
    <w:rsid w:val="2C29098C"/>
    <w:rsid w:val="2C3795D2"/>
    <w:rsid w:val="2C387231"/>
    <w:rsid w:val="2C3D3CFA"/>
    <w:rsid w:val="2C4F2154"/>
    <w:rsid w:val="2C58010F"/>
    <w:rsid w:val="2C5FF1FE"/>
    <w:rsid w:val="2C6259EB"/>
    <w:rsid w:val="2C68B9A5"/>
    <w:rsid w:val="2C73F2F4"/>
    <w:rsid w:val="2C74D347"/>
    <w:rsid w:val="2C7514DC"/>
    <w:rsid w:val="2C775CB8"/>
    <w:rsid w:val="2C7C5741"/>
    <w:rsid w:val="2C7EEE23"/>
    <w:rsid w:val="2C96FCA2"/>
    <w:rsid w:val="2C9A1CC5"/>
    <w:rsid w:val="2CA74F5F"/>
    <w:rsid w:val="2CB652F2"/>
    <w:rsid w:val="2CBA1AF2"/>
    <w:rsid w:val="2CC8CB93"/>
    <w:rsid w:val="2CCF2F90"/>
    <w:rsid w:val="2CDBE528"/>
    <w:rsid w:val="2CDC2CA2"/>
    <w:rsid w:val="2CF96A8A"/>
    <w:rsid w:val="2D005F95"/>
    <w:rsid w:val="2D062850"/>
    <w:rsid w:val="2D17038C"/>
    <w:rsid w:val="2D1FA5C5"/>
    <w:rsid w:val="2D29C6D4"/>
    <w:rsid w:val="2D315E3F"/>
    <w:rsid w:val="2D332AFF"/>
    <w:rsid w:val="2D62CC2E"/>
    <w:rsid w:val="2D8D97B0"/>
    <w:rsid w:val="2D9B8F16"/>
    <w:rsid w:val="2DA402EA"/>
    <w:rsid w:val="2DAAE739"/>
    <w:rsid w:val="2DBFEE7A"/>
    <w:rsid w:val="2DC14A89"/>
    <w:rsid w:val="2DCF435E"/>
    <w:rsid w:val="2DD2CFB5"/>
    <w:rsid w:val="2DD7CE63"/>
    <w:rsid w:val="2DE2D704"/>
    <w:rsid w:val="2DE72B3C"/>
    <w:rsid w:val="2DEEC186"/>
    <w:rsid w:val="2E0F8B85"/>
    <w:rsid w:val="2E1735B9"/>
    <w:rsid w:val="2E32B671"/>
    <w:rsid w:val="2E3DEA3D"/>
    <w:rsid w:val="2E4E3CFF"/>
    <w:rsid w:val="2E5126E5"/>
    <w:rsid w:val="2E63C631"/>
    <w:rsid w:val="2E658A75"/>
    <w:rsid w:val="2E7CD718"/>
    <w:rsid w:val="2E84C73E"/>
    <w:rsid w:val="2E855E89"/>
    <w:rsid w:val="2E89B7B5"/>
    <w:rsid w:val="2ED66FBD"/>
    <w:rsid w:val="2EFCE819"/>
    <w:rsid w:val="2F0D3AE0"/>
    <w:rsid w:val="2F11CCBB"/>
    <w:rsid w:val="2F166BC7"/>
    <w:rsid w:val="2F191F6A"/>
    <w:rsid w:val="2F23D600"/>
    <w:rsid w:val="2F283759"/>
    <w:rsid w:val="2F33E057"/>
    <w:rsid w:val="2F377AE2"/>
    <w:rsid w:val="2F73C81F"/>
    <w:rsid w:val="2F96E4B8"/>
    <w:rsid w:val="2FA56234"/>
    <w:rsid w:val="2FB100BD"/>
    <w:rsid w:val="2FC483A8"/>
    <w:rsid w:val="2FC76368"/>
    <w:rsid w:val="2FCE4D50"/>
    <w:rsid w:val="2FE76FD3"/>
    <w:rsid w:val="301E2C0C"/>
    <w:rsid w:val="30440537"/>
    <w:rsid w:val="3066DEF7"/>
    <w:rsid w:val="307CD1AF"/>
    <w:rsid w:val="3087AB48"/>
    <w:rsid w:val="30A6906E"/>
    <w:rsid w:val="30B2309A"/>
    <w:rsid w:val="30B2C10F"/>
    <w:rsid w:val="30D8B1BE"/>
    <w:rsid w:val="3112719E"/>
    <w:rsid w:val="312602F5"/>
    <w:rsid w:val="31363D64"/>
    <w:rsid w:val="315B30C7"/>
    <w:rsid w:val="315BD6A0"/>
    <w:rsid w:val="316D30EA"/>
    <w:rsid w:val="3199053B"/>
    <w:rsid w:val="31AA8F49"/>
    <w:rsid w:val="31AB5EF9"/>
    <w:rsid w:val="31BE0AAA"/>
    <w:rsid w:val="31C69402"/>
    <w:rsid w:val="31C9D3BF"/>
    <w:rsid w:val="31E99EB4"/>
    <w:rsid w:val="31F78AEF"/>
    <w:rsid w:val="3217CCA2"/>
    <w:rsid w:val="321A551D"/>
    <w:rsid w:val="32447AE9"/>
    <w:rsid w:val="325933B1"/>
    <w:rsid w:val="3260A979"/>
    <w:rsid w:val="326B42BA"/>
    <w:rsid w:val="326F7D86"/>
    <w:rsid w:val="327C2BBF"/>
    <w:rsid w:val="327FA2C2"/>
    <w:rsid w:val="329092C1"/>
    <w:rsid w:val="329B89CC"/>
    <w:rsid w:val="32ACF189"/>
    <w:rsid w:val="32B4F6CA"/>
    <w:rsid w:val="32BD5886"/>
    <w:rsid w:val="32CE3A97"/>
    <w:rsid w:val="32CFFBB7"/>
    <w:rsid w:val="32D6C7BB"/>
    <w:rsid w:val="32D798E8"/>
    <w:rsid w:val="32E7EFE2"/>
    <w:rsid w:val="32EB23A3"/>
    <w:rsid w:val="32F89B21"/>
    <w:rsid w:val="32FB4C00"/>
    <w:rsid w:val="32FCE30F"/>
    <w:rsid w:val="3304C76F"/>
    <w:rsid w:val="330AE22D"/>
    <w:rsid w:val="33338577"/>
    <w:rsid w:val="33366AC8"/>
    <w:rsid w:val="333AF418"/>
    <w:rsid w:val="333C980B"/>
    <w:rsid w:val="3340A43D"/>
    <w:rsid w:val="3340E6E8"/>
    <w:rsid w:val="334B67FE"/>
    <w:rsid w:val="3364B9ED"/>
    <w:rsid w:val="3377078D"/>
    <w:rsid w:val="33C3A0B2"/>
    <w:rsid w:val="33C92DAA"/>
    <w:rsid w:val="33CA1821"/>
    <w:rsid w:val="33E7AA99"/>
    <w:rsid w:val="33F07A80"/>
    <w:rsid w:val="34027C39"/>
    <w:rsid w:val="340DBB6E"/>
    <w:rsid w:val="34141DAA"/>
    <w:rsid w:val="3415A6A6"/>
    <w:rsid w:val="3416EC9B"/>
    <w:rsid w:val="34355DC1"/>
    <w:rsid w:val="3456783A"/>
    <w:rsid w:val="34669F9A"/>
    <w:rsid w:val="3469F4B7"/>
    <w:rsid w:val="346C7074"/>
    <w:rsid w:val="346E6211"/>
    <w:rsid w:val="3478CF3B"/>
    <w:rsid w:val="3482BA85"/>
    <w:rsid w:val="348D6B9F"/>
    <w:rsid w:val="349640A6"/>
    <w:rsid w:val="34A5E485"/>
    <w:rsid w:val="34AD9A54"/>
    <w:rsid w:val="34B5F5C4"/>
    <w:rsid w:val="34BCCBFC"/>
    <w:rsid w:val="34C8CDA4"/>
    <w:rsid w:val="34D35B00"/>
    <w:rsid w:val="34E1CD8F"/>
    <w:rsid w:val="34F98486"/>
    <w:rsid w:val="3507EBCE"/>
    <w:rsid w:val="35172961"/>
    <w:rsid w:val="3517F137"/>
    <w:rsid w:val="3519088A"/>
    <w:rsid w:val="35301BD3"/>
    <w:rsid w:val="35314422"/>
    <w:rsid w:val="35369F15"/>
    <w:rsid w:val="3551A6DF"/>
    <w:rsid w:val="35730253"/>
    <w:rsid w:val="35748755"/>
    <w:rsid w:val="3577AD6D"/>
    <w:rsid w:val="35796B04"/>
    <w:rsid w:val="35930F4A"/>
    <w:rsid w:val="35A9B26D"/>
    <w:rsid w:val="35AABAE3"/>
    <w:rsid w:val="35B66080"/>
    <w:rsid w:val="35D43868"/>
    <w:rsid w:val="35F8CE15"/>
    <w:rsid w:val="35FA80D0"/>
    <w:rsid w:val="36015ADF"/>
    <w:rsid w:val="360205EB"/>
    <w:rsid w:val="36152BEB"/>
    <w:rsid w:val="3626E1AF"/>
    <w:rsid w:val="36642857"/>
    <w:rsid w:val="3678D6E1"/>
    <w:rsid w:val="3680E5AB"/>
    <w:rsid w:val="3687BB34"/>
    <w:rsid w:val="36963763"/>
    <w:rsid w:val="36989967"/>
    <w:rsid w:val="369FBC82"/>
    <w:rsid w:val="36A1D7B3"/>
    <w:rsid w:val="36BA39AF"/>
    <w:rsid w:val="36CA7A0B"/>
    <w:rsid w:val="36DAF299"/>
    <w:rsid w:val="36DB7F9E"/>
    <w:rsid w:val="36EAF199"/>
    <w:rsid w:val="36F56335"/>
    <w:rsid w:val="37339519"/>
    <w:rsid w:val="373D1CFF"/>
    <w:rsid w:val="373E2F22"/>
    <w:rsid w:val="374B7335"/>
    <w:rsid w:val="37588848"/>
    <w:rsid w:val="3758BD61"/>
    <w:rsid w:val="37647F06"/>
    <w:rsid w:val="3765E763"/>
    <w:rsid w:val="376D3E57"/>
    <w:rsid w:val="37915CCB"/>
    <w:rsid w:val="37BBB1C1"/>
    <w:rsid w:val="37BDD41F"/>
    <w:rsid w:val="37C3F9A8"/>
    <w:rsid w:val="37CBF4BF"/>
    <w:rsid w:val="37E54267"/>
    <w:rsid w:val="37EE9055"/>
    <w:rsid w:val="37EF2B70"/>
    <w:rsid w:val="37FBBAFC"/>
    <w:rsid w:val="37FE86CC"/>
    <w:rsid w:val="3809DF6C"/>
    <w:rsid w:val="383AC34E"/>
    <w:rsid w:val="3861E0EB"/>
    <w:rsid w:val="38686685"/>
    <w:rsid w:val="386B66CE"/>
    <w:rsid w:val="38BEDE7C"/>
    <w:rsid w:val="38C12F63"/>
    <w:rsid w:val="38E91CAD"/>
    <w:rsid w:val="3906DD12"/>
    <w:rsid w:val="39088A87"/>
    <w:rsid w:val="391C9A91"/>
    <w:rsid w:val="3921AB45"/>
    <w:rsid w:val="3965ADC1"/>
    <w:rsid w:val="396C6D2A"/>
    <w:rsid w:val="39A2196F"/>
    <w:rsid w:val="39B2466F"/>
    <w:rsid w:val="39B2514F"/>
    <w:rsid w:val="39B7F02D"/>
    <w:rsid w:val="39DD8FE7"/>
    <w:rsid w:val="39EB972A"/>
    <w:rsid w:val="39F3523E"/>
    <w:rsid w:val="3A04F32B"/>
    <w:rsid w:val="3A0814E6"/>
    <w:rsid w:val="3A1752ED"/>
    <w:rsid w:val="3A23BB6B"/>
    <w:rsid w:val="3A2EB1A9"/>
    <w:rsid w:val="3A41EC14"/>
    <w:rsid w:val="3A45FEC2"/>
    <w:rsid w:val="3A551589"/>
    <w:rsid w:val="3A66014C"/>
    <w:rsid w:val="3A72EBC0"/>
    <w:rsid w:val="3A83797B"/>
    <w:rsid w:val="3A9200C3"/>
    <w:rsid w:val="3A92D039"/>
    <w:rsid w:val="3AB20324"/>
    <w:rsid w:val="3AEE25BC"/>
    <w:rsid w:val="3B0E8304"/>
    <w:rsid w:val="3B10CAEA"/>
    <w:rsid w:val="3B1875BC"/>
    <w:rsid w:val="3B1F1BA0"/>
    <w:rsid w:val="3B4E3A9C"/>
    <w:rsid w:val="3B4F7757"/>
    <w:rsid w:val="3B5D3889"/>
    <w:rsid w:val="3B5E3C30"/>
    <w:rsid w:val="3B5E9597"/>
    <w:rsid w:val="3B928E64"/>
    <w:rsid w:val="3B95092C"/>
    <w:rsid w:val="3BB68690"/>
    <w:rsid w:val="3BC32FDA"/>
    <w:rsid w:val="3BCC6ACC"/>
    <w:rsid w:val="3BCD58EE"/>
    <w:rsid w:val="3BD991CA"/>
    <w:rsid w:val="3BE0C5AD"/>
    <w:rsid w:val="3BE3A313"/>
    <w:rsid w:val="3BF74A6F"/>
    <w:rsid w:val="3C025C02"/>
    <w:rsid w:val="3C15B6BE"/>
    <w:rsid w:val="3C1B6BBD"/>
    <w:rsid w:val="3C35B2E5"/>
    <w:rsid w:val="3C3863F4"/>
    <w:rsid w:val="3C3886AD"/>
    <w:rsid w:val="3C48DB5E"/>
    <w:rsid w:val="3C5AB84E"/>
    <w:rsid w:val="3C60EB1E"/>
    <w:rsid w:val="3C88C202"/>
    <w:rsid w:val="3C96DBB0"/>
    <w:rsid w:val="3C9BC427"/>
    <w:rsid w:val="3CB7B42E"/>
    <w:rsid w:val="3CBDC0DA"/>
    <w:rsid w:val="3CCAF039"/>
    <w:rsid w:val="3CCB2A1F"/>
    <w:rsid w:val="3CE75771"/>
    <w:rsid w:val="3CF9B456"/>
    <w:rsid w:val="3D09FC15"/>
    <w:rsid w:val="3D0DAAF0"/>
    <w:rsid w:val="3D18D561"/>
    <w:rsid w:val="3D395412"/>
    <w:rsid w:val="3D4A91A6"/>
    <w:rsid w:val="3D517C6F"/>
    <w:rsid w:val="3D58E09D"/>
    <w:rsid w:val="3D6B6600"/>
    <w:rsid w:val="3D79F39A"/>
    <w:rsid w:val="3D7E449A"/>
    <w:rsid w:val="3D832968"/>
    <w:rsid w:val="3D85500B"/>
    <w:rsid w:val="3D8ADE01"/>
    <w:rsid w:val="3D8F30EF"/>
    <w:rsid w:val="3D9B9BD0"/>
    <w:rsid w:val="3DE29395"/>
    <w:rsid w:val="3DE5AA2A"/>
    <w:rsid w:val="3DF83B83"/>
    <w:rsid w:val="3DFC0860"/>
    <w:rsid w:val="3E003BFC"/>
    <w:rsid w:val="3E159B2F"/>
    <w:rsid w:val="3E24C248"/>
    <w:rsid w:val="3E4D81C6"/>
    <w:rsid w:val="3E57E54E"/>
    <w:rsid w:val="3E70843F"/>
    <w:rsid w:val="3E7CA30E"/>
    <w:rsid w:val="3EBD1E62"/>
    <w:rsid w:val="3ED465FF"/>
    <w:rsid w:val="3ED8B85D"/>
    <w:rsid w:val="3EF21985"/>
    <w:rsid w:val="3F05B68D"/>
    <w:rsid w:val="3F0A24DA"/>
    <w:rsid w:val="3F0D8B81"/>
    <w:rsid w:val="3F0FECC2"/>
    <w:rsid w:val="3F249DD6"/>
    <w:rsid w:val="3F27D5ED"/>
    <w:rsid w:val="3F3E248C"/>
    <w:rsid w:val="3F8E46EB"/>
    <w:rsid w:val="3F99711E"/>
    <w:rsid w:val="3F9D4EDF"/>
    <w:rsid w:val="3FAFB505"/>
    <w:rsid w:val="3FB0E473"/>
    <w:rsid w:val="3FCBE825"/>
    <w:rsid w:val="3FCFC689"/>
    <w:rsid w:val="3FE69958"/>
    <w:rsid w:val="3FE95568"/>
    <w:rsid w:val="3FEDDF04"/>
    <w:rsid w:val="3FF636D9"/>
    <w:rsid w:val="402573A9"/>
    <w:rsid w:val="402C4E85"/>
    <w:rsid w:val="40327AE9"/>
    <w:rsid w:val="403F163F"/>
    <w:rsid w:val="4045FE08"/>
    <w:rsid w:val="406419C4"/>
    <w:rsid w:val="406F737C"/>
    <w:rsid w:val="40D0E881"/>
    <w:rsid w:val="40DC1628"/>
    <w:rsid w:val="40F1FB31"/>
    <w:rsid w:val="41604ACE"/>
    <w:rsid w:val="416AE4BF"/>
    <w:rsid w:val="41A476F9"/>
    <w:rsid w:val="41C802E1"/>
    <w:rsid w:val="41CF5F03"/>
    <w:rsid w:val="41D10831"/>
    <w:rsid w:val="41F9BD22"/>
    <w:rsid w:val="42074788"/>
    <w:rsid w:val="4210FDF1"/>
    <w:rsid w:val="422EDA76"/>
    <w:rsid w:val="42359489"/>
    <w:rsid w:val="4256C1AA"/>
    <w:rsid w:val="425A0D29"/>
    <w:rsid w:val="425B246D"/>
    <w:rsid w:val="425E9124"/>
    <w:rsid w:val="4266A029"/>
    <w:rsid w:val="429BF6DE"/>
    <w:rsid w:val="429E58D9"/>
    <w:rsid w:val="42A979B0"/>
    <w:rsid w:val="42CE47F4"/>
    <w:rsid w:val="42E5F5AD"/>
    <w:rsid w:val="42F3067D"/>
    <w:rsid w:val="42F642C4"/>
    <w:rsid w:val="43062CD1"/>
    <w:rsid w:val="4331D3C3"/>
    <w:rsid w:val="43393AAD"/>
    <w:rsid w:val="434A6169"/>
    <w:rsid w:val="435CC985"/>
    <w:rsid w:val="43634919"/>
    <w:rsid w:val="436D0176"/>
    <w:rsid w:val="436FEA16"/>
    <w:rsid w:val="438FBC49"/>
    <w:rsid w:val="43A4B2E8"/>
    <w:rsid w:val="43CA75C7"/>
    <w:rsid w:val="43CFB99D"/>
    <w:rsid w:val="43E42149"/>
    <w:rsid w:val="43FCE771"/>
    <w:rsid w:val="441F05DE"/>
    <w:rsid w:val="44487366"/>
    <w:rsid w:val="4454061F"/>
    <w:rsid w:val="447678DC"/>
    <w:rsid w:val="447C1484"/>
    <w:rsid w:val="44944D6B"/>
    <w:rsid w:val="449E4895"/>
    <w:rsid w:val="449F1AFD"/>
    <w:rsid w:val="44A0C8B2"/>
    <w:rsid w:val="44A12F9F"/>
    <w:rsid w:val="44AB1145"/>
    <w:rsid w:val="44E46DCC"/>
    <w:rsid w:val="44EE441A"/>
    <w:rsid w:val="44EF45A7"/>
    <w:rsid w:val="45324D45"/>
    <w:rsid w:val="4537C0D0"/>
    <w:rsid w:val="4543D4BB"/>
    <w:rsid w:val="454C67E9"/>
    <w:rsid w:val="45638D8D"/>
    <w:rsid w:val="4574A54C"/>
    <w:rsid w:val="45929C2E"/>
    <w:rsid w:val="459EAF7B"/>
    <w:rsid w:val="459FC0AD"/>
    <w:rsid w:val="45BFB7C1"/>
    <w:rsid w:val="45C8F785"/>
    <w:rsid w:val="45D45E17"/>
    <w:rsid w:val="45D7B3C0"/>
    <w:rsid w:val="45DFD496"/>
    <w:rsid w:val="45EB1336"/>
    <w:rsid w:val="45F01D32"/>
    <w:rsid w:val="45F4A554"/>
    <w:rsid w:val="45F6D349"/>
    <w:rsid w:val="45F6DE39"/>
    <w:rsid w:val="46138630"/>
    <w:rsid w:val="4614B6F0"/>
    <w:rsid w:val="462B211A"/>
    <w:rsid w:val="4647078A"/>
    <w:rsid w:val="4647B35B"/>
    <w:rsid w:val="46491E88"/>
    <w:rsid w:val="464A0493"/>
    <w:rsid w:val="465E7499"/>
    <w:rsid w:val="467A4276"/>
    <w:rsid w:val="467D6F15"/>
    <w:rsid w:val="4684AB7D"/>
    <w:rsid w:val="46910712"/>
    <w:rsid w:val="46A3FF71"/>
    <w:rsid w:val="46AF4FDB"/>
    <w:rsid w:val="46B0D0BD"/>
    <w:rsid w:val="46B12413"/>
    <w:rsid w:val="46BA3AAC"/>
    <w:rsid w:val="46BC21E9"/>
    <w:rsid w:val="46BF0CEC"/>
    <w:rsid w:val="46D4F679"/>
    <w:rsid w:val="46E08035"/>
    <w:rsid w:val="46ED6B94"/>
    <w:rsid w:val="46ED6D78"/>
    <w:rsid w:val="47027B7F"/>
    <w:rsid w:val="4716D09C"/>
    <w:rsid w:val="471CCA61"/>
    <w:rsid w:val="47279117"/>
    <w:rsid w:val="476811E1"/>
    <w:rsid w:val="47756DDE"/>
    <w:rsid w:val="4783928C"/>
    <w:rsid w:val="4786A502"/>
    <w:rsid w:val="4799C583"/>
    <w:rsid w:val="47B18816"/>
    <w:rsid w:val="47C0D5F2"/>
    <w:rsid w:val="47CA352D"/>
    <w:rsid w:val="47D8CC17"/>
    <w:rsid w:val="47EA5EB8"/>
    <w:rsid w:val="47EE6B2F"/>
    <w:rsid w:val="47F478FF"/>
    <w:rsid w:val="47F50716"/>
    <w:rsid w:val="480D54A5"/>
    <w:rsid w:val="482622AE"/>
    <w:rsid w:val="482EDC91"/>
    <w:rsid w:val="4836AE52"/>
    <w:rsid w:val="4840B213"/>
    <w:rsid w:val="48431901"/>
    <w:rsid w:val="484502A6"/>
    <w:rsid w:val="484A7848"/>
    <w:rsid w:val="484C28B3"/>
    <w:rsid w:val="485769BD"/>
    <w:rsid w:val="485D7A0B"/>
    <w:rsid w:val="4861688C"/>
    <w:rsid w:val="4879F129"/>
    <w:rsid w:val="48823983"/>
    <w:rsid w:val="4885C781"/>
    <w:rsid w:val="489DFBD5"/>
    <w:rsid w:val="48A2B389"/>
    <w:rsid w:val="48A4DFE3"/>
    <w:rsid w:val="48A6AEFA"/>
    <w:rsid w:val="48DEFBE0"/>
    <w:rsid w:val="48E4CB05"/>
    <w:rsid w:val="48E9D015"/>
    <w:rsid w:val="490391A3"/>
    <w:rsid w:val="4909D2B2"/>
    <w:rsid w:val="491AFDF7"/>
    <w:rsid w:val="492BBDEC"/>
    <w:rsid w:val="496AC85C"/>
    <w:rsid w:val="49750757"/>
    <w:rsid w:val="4981CB43"/>
    <w:rsid w:val="4981EFF6"/>
    <w:rsid w:val="4988F09D"/>
    <w:rsid w:val="49892D29"/>
    <w:rsid w:val="499387FE"/>
    <w:rsid w:val="49B588C9"/>
    <w:rsid w:val="49B5F823"/>
    <w:rsid w:val="49BCB93A"/>
    <w:rsid w:val="49BD1564"/>
    <w:rsid w:val="4A099793"/>
    <w:rsid w:val="4A1E5033"/>
    <w:rsid w:val="4A2A0AE0"/>
    <w:rsid w:val="4A351463"/>
    <w:rsid w:val="4A362328"/>
    <w:rsid w:val="4A5592D8"/>
    <w:rsid w:val="4A5B39F7"/>
    <w:rsid w:val="4A651734"/>
    <w:rsid w:val="4A7F19FA"/>
    <w:rsid w:val="4AAB0033"/>
    <w:rsid w:val="4ABB2BDC"/>
    <w:rsid w:val="4AD3C6BC"/>
    <w:rsid w:val="4AE4D948"/>
    <w:rsid w:val="4AEA17C8"/>
    <w:rsid w:val="4AF087A4"/>
    <w:rsid w:val="4B05DCB9"/>
    <w:rsid w:val="4B11C77C"/>
    <w:rsid w:val="4B194B45"/>
    <w:rsid w:val="4B2336E8"/>
    <w:rsid w:val="4B241552"/>
    <w:rsid w:val="4B38780F"/>
    <w:rsid w:val="4B440A75"/>
    <w:rsid w:val="4B4AD97C"/>
    <w:rsid w:val="4B6B9DFD"/>
    <w:rsid w:val="4B6D3D29"/>
    <w:rsid w:val="4B76D3C2"/>
    <w:rsid w:val="4B8D5082"/>
    <w:rsid w:val="4B94245E"/>
    <w:rsid w:val="4BC24B6D"/>
    <w:rsid w:val="4BC35C64"/>
    <w:rsid w:val="4BEA07F4"/>
    <w:rsid w:val="4BFED73A"/>
    <w:rsid w:val="4C2C059C"/>
    <w:rsid w:val="4C2CA864"/>
    <w:rsid w:val="4C660A4B"/>
    <w:rsid w:val="4C677265"/>
    <w:rsid w:val="4C866069"/>
    <w:rsid w:val="4C9298B4"/>
    <w:rsid w:val="4C99C4F2"/>
    <w:rsid w:val="4C9CE14B"/>
    <w:rsid w:val="4CCBF57F"/>
    <w:rsid w:val="4CE08E41"/>
    <w:rsid w:val="4CFEA6D0"/>
    <w:rsid w:val="4D1CE3BC"/>
    <w:rsid w:val="4D2F3C0D"/>
    <w:rsid w:val="4D3BE413"/>
    <w:rsid w:val="4D434947"/>
    <w:rsid w:val="4D54BE65"/>
    <w:rsid w:val="4D6D2D55"/>
    <w:rsid w:val="4D85BFE7"/>
    <w:rsid w:val="4D92A33B"/>
    <w:rsid w:val="4D989F16"/>
    <w:rsid w:val="4DC80FC6"/>
    <w:rsid w:val="4DD73ED4"/>
    <w:rsid w:val="4DD7E3D9"/>
    <w:rsid w:val="4DDE4FAA"/>
    <w:rsid w:val="4E07F927"/>
    <w:rsid w:val="4E14D421"/>
    <w:rsid w:val="4E17E24D"/>
    <w:rsid w:val="4E2AE59B"/>
    <w:rsid w:val="4E2DDCAC"/>
    <w:rsid w:val="4E5A7E2E"/>
    <w:rsid w:val="4E5D6A2A"/>
    <w:rsid w:val="4E604786"/>
    <w:rsid w:val="4E74F03C"/>
    <w:rsid w:val="4E8FA52D"/>
    <w:rsid w:val="4E9675A0"/>
    <w:rsid w:val="4E9C6AFD"/>
    <w:rsid w:val="4EA6488B"/>
    <w:rsid w:val="4EBD2838"/>
    <w:rsid w:val="4EEF7250"/>
    <w:rsid w:val="4F2669A3"/>
    <w:rsid w:val="4F2F2574"/>
    <w:rsid w:val="4F32AFB0"/>
    <w:rsid w:val="4F6EA7D6"/>
    <w:rsid w:val="4F740C6D"/>
    <w:rsid w:val="4F7D9614"/>
    <w:rsid w:val="4F825BBE"/>
    <w:rsid w:val="4F8F0596"/>
    <w:rsid w:val="4FB13BAC"/>
    <w:rsid w:val="4FBB189F"/>
    <w:rsid w:val="4FC52EF2"/>
    <w:rsid w:val="4FC58CA2"/>
    <w:rsid w:val="4FC7F283"/>
    <w:rsid w:val="4FCA531E"/>
    <w:rsid w:val="4FD7D504"/>
    <w:rsid w:val="4FF06B32"/>
    <w:rsid w:val="500B9166"/>
    <w:rsid w:val="50199E56"/>
    <w:rsid w:val="502A6D7C"/>
    <w:rsid w:val="50452772"/>
    <w:rsid w:val="504A4432"/>
    <w:rsid w:val="504C5029"/>
    <w:rsid w:val="50599BAA"/>
    <w:rsid w:val="50684C01"/>
    <w:rsid w:val="508FDE28"/>
    <w:rsid w:val="509B656B"/>
    <w:rsid w:val="50A9A9FB"/>
    <w:rsid w:val="50C25D4F"/>
    <w:rsid w:val="50C3BD27"/>
    <w:rsid w:val="50F0D39C"/>
    <w:rsid w:val="50F19AA4"/>
    <w:rsid w:val="50FC846D"/>
    <w:rsid w:val="5114C35B"/>
    <w:rsid w:val="513D74BC"/>
    <w:rsid w:val="5142C551"/>
    <w:rsid w:val="5146F0F5"/>
    <w:rsid w:val="5152EB92"/>
    <w:rsid w:val="515CA8A4"/>
    <w:rsid w:val="51645A16"/>
    <w:rsid w:val="51719081"/>
    <w:rsid w:val="51983C93"/>
    <w:rsid w:val="51B02A85"/>
    <w:rsid w:val="51BA670D"/>
    <w:rsid w:val="51D095B2"/>
    <w:rsid w:val="51E249C3"/>
    <w:rsid w:val="521D5235"/>
    <w:rsid w:val="522DF389"/>
    <w:rsid w:val="5234906F"/>
    <w:rsid w:val="526554BD"/>
    <w:rsid w:val="5284E3F8"/>
    <w:rsid w:val="52B4E84A"/>
    <w:rsid w:val="52C078B3"/>
    <w:rsid w:val="52C8CD82"/>
    <w:rsid w:val="52CC625C"/>
    <w:rsid w:val="52E66056"/>
    <w:rsid w:val="53019D16"/>
    <w:rsid w:val="5303451E"/>
    <w:rsid w:val="5315D1B4"/>
    <w:rsid w:val="5330FB0C"/>
    <w:rsid w:val="533450BD"/>
    <w:rsid w:val="5334FC31"/>
    <w:rsid w:val="533D8840"/>
    <w:rsid w:val="53475502"/>
    <w:rsid w:val="53675219"/>
    <w:rsid w:val="53713866"/>
    <w:rsid w:val="537917DD"/>
    <w:rsid w:val="537AFF35"/>
    <w:rsid w:val="538524AB"/>
    <w:rsid w:val="5385F454"/>
    <w:rsid w:val="5396C50A"/>
    <w:rsid w:val="539A9436"/>
    <w:rsid w:val="53AC211B"/>
    <w:rsid w:val="53AF3B36"/>
    <w:rsid w:val="53BB659B"/>
    <w:rsid w:val="53F49F5C"/>
    <w:rsid w:val="53F56D1F"/>
    <w:rsid w:val="53FA64E3"/>
    <w:rsid w:val="53FD4948"/>
    <w:rsid w:val="54224066"/>
    <w:rsid w:val="54421A02"/>
    <w:rsid w:val="54442420"/>
    <w:rsid w:val="545E3F0A"/>
    <w:rsid w:val="547FB484"/>
    <w:rsid w:val="548003F7"/>
    <w:rsid w:val="5491476F"/>
    <w:rsid w:val="54944036"/>
    <w:rsid w:val="549F202E"/>
    <w:rsid w:val="54B5F135"/>
    <w:rsid w:val="54C51ACF"/>
    <w:rsid w:val="54C8D953"/>
    <w:rsid w:val="54C9943A"/>
    <w:rsid w:val="54EFBC22"/>
    <w:rsid w:val="54F8213F"/>
    <w:rsid w:val="55291CBC"/>
    <w:rsid w:val="553650C8"/>
    <w:rsid w:val="553B1AAC"/>
    <w:rsid w:val="553D4ECE"/>
    <w:rsid w:val="553F9D1D"/>
    <w:rsid w:val="554A0009"/>
    <w:rsid w:val="554A0244"/>
    <w:rsid w:val="5556BDA0"/>
    <w:rsid w:val="555A32C7"/>
    <w:rsid w:val="55680C1B"/>
    <w:rsid w:val="557380B1"/>
    <w:rsid w:val="5581AFBF"/>
    <w:rsid w:val="5593418D"/>
    <w:rsid w:val="55934801"/>
    <w:rsid w:val="55B4E450"/>
    <w:rsid w:val="55BD53E4"/>
    <w:rsid w:val="55CDC16C"/>
    <w:rsid w:val="55E25BB6"/>
    <w:rsid w:val="565B06C8"/>
    <w:rsid w:val="565F5B4C"/>
    <w:rsid w:val="567BACB2"/>
    <w:rsid w:val="567D5B9B"/>
    <w:rsid w:val="56838CF2"/>
    <w:rsid w:val="5685D51B"/>
    <w:rsid w:val="568BA1A8"/>
    <w:rsid w:val="568DBE6C"/>
    <w:rsid w:val="56972710"/>
    <w:rsid w:val="56BEE2C7"/>
    <w:rsid w:val="56C115D6"/>
    <w:rsid w:val="56CAED3D"/>
    <w:rsid w:val="56D2AFCA"/>
    <w:rsid w:val="56DE3265"/>
    <w:rsid w:val="56E1D664"/>
    <w:rsid w:val="56F5DFE0"/>
    <w:rsid w:val="56FA1D7E"/>
    <w:rsid w:val="5705393F"/>
    <w:rsid w:val="5705966B"/>
    <w:rsid w:val="570B9AEF"/>
    <w:rsid w:val="571469D8"/>
    <w:rsid w:val="57290264"/>
    <w:rsid w:val="574393A6"/>
    <w:rsid w:val="578CC13E"/>
    <w:rsid w:val="57B72218"/>
    <w:rsid w:val="57DF97C6"/>
    <w:rsid w:val="57E4B3D6"/>
    <w:rsid w:val="57E7CF19"/>
    <w:rsid w:val="582AA803"/>
    <w:rsid w:val="586FC5E6"/>
    <w:rsid w:val="58758C01"/>
    <w:rsid w:val="58A0A85C"/>
    <w:rsid w:val="58A457DF"/>
    <w:rsid w:val="58B61A33"/>
    <w:rsid w:val="58B67440"/>
    <w:rsid w:val="58BE89CB"/>
    <w:rsid w:val="58C67907"/>
    <w:rsid w:val="58D81905"/>
    <w:rsid w:val="58E58B21"/>
    <w:rsid w:val="58FBC2DD"/>
    <w:rsid w:val="58FDEB66"/>
    <w:rsid w:val="590D4D8B"/>
    <w:rsid w:val="59198C5E"/>
    <w:rsid w:val="5932B18A"/>
    <w:rsid w:val="594A39D6"/>
    <w:rsid w:val="598707F7"/>
    <w:rsid w:val="5991DE39"/>
    <w:rsid w:val="5991F733"/>
    <w:rsid w:val="5993EE42"/>
    <w:rsid w:val="59BF1371"/>
    <w:rsid w:val="59C7C53F"/>
    <w:rsid w:val="59CBCF98"/>
    <w:rsid w:val="59D4E43E"/>
    <w:rsid w:val="59EBC3A9"/>
    <w:rsid w:val="59F1C173"/>
    <w:rsid w:val="5A01FDD8"/>
    <w:rsid w:val="5A0DE7C6"/>
    <w:rsid w:val="5A13CDFD"/>
    <w:rsid w:val="5A143423"/>
    <w:rsid w:val="5A296A44"/>
    <w:rsid w:val="5A48FE84"/>
    <w:rsid w:val="5A494C02"/>
    <w:rsid w:val="5A522E92"/>
    <w:rsid w:val="5A554794"/>
    <w:rsid w:val="5A971499"/>
    <w:rsid w:val="5A99812D"/>
    <w:rsid w:val="5A9F4FD9"/>
    <w:rsid w:val="5AADCA3A"/>
    <w:rsid w:val="5AC200AD"/>
    <w:rsid w:val="5AC84F5D"/>
    <w:rsid w:val="5B19F403"/>
    <w:rsid w:val="5B26EACA"/>
    <w:rsid w:val="5B30208C"/>
    <w:rsid w:val="5B440164"/>
    <w:rsid w:val="5B6A8AFC"/>
    <w:rsid w:val="5B6BB353"/>
    <w:rsid w:val="5B6C26B8"/>
    <w:rsid w:val="5B834DB4"/>
    <w:rsid w:val="5B85A63E"/>
    <w:rsid w:val="5B8C0C52"/>
    <w:rsid w:val="5B8FF93E"/>
    <w:rsid w:val="5B98474A"/>
    <w:rsid w:val="5B9A8FD6"/>
    <w:rsid w:val="5BB162E4"/>
    <w:rsid w:val="5BC778DB"/>
    <w:rsid w:val="5BD97D02"/>
    <w:rsid w:val="5BDF75D6"/>
    <w:rsid w:val="5BE08C3F"/>
    <w:rsid w:val="5BE5F60F"/>
    <w:rsid w:val="5BF507E5"/>
    <w:rsid w:val="5BF7C23C"/>
    <w:rsid w:val="5BFD30C6"/>
    <w:rsid w:val="5BFEAED3"/>
    <w:rsid w:val="5C05D807"/>
    <w:rsid w:val="5C24E4ED"/>
    <w:rsid w:val="5C3F2526"/>
    <w:rsid w:val="5C4CF2BC"/>
    <w:rsid w:val="5C598999"/>
    <w:rsid w:val="5C8008A1"/>
    <w:rsid w:val="5C94958E"/>
    <w:rsid w:val="5C976E9A"/>
    <w:rsid w:val="5CB75905"/>
    <w:rsid w:val="5CDA29F7"/>
    <w:rsid w:val="5CE02329"/>
    <w:rsid w:val="5CEE5100"/>
    <w:rsid w:val="5CF2B619"/>
    <w:rsid w:val="5D0DD57F"/>
    <w:rsid w:val="5D204963"/>
    <w:rsid w:val="5D2FC195"/>
    <w:rsid w:val="5D2FF93A"/>
    <w:rsid w:val="5D38B02B"/>
    <w:rsid w:val="5D4A3214"/>
    <w:rsid w:val="5D4B9392"/>
    <w:rsid w:val="5D6AC752"/>
    <w:rsid w:val="5D6D8C39"/>
    <w:rsid w:val="5D6E8CAE"/>
    <w:rsid w:val="5D817306"/>
    <w:rsid w:val="5D81BB61"/>
    <w:rsid w:val="5D936C54"/>
    <w:rsid w:val="5D9F4598"/>
    <w:rsid w:val="5DB30F8A"/>
    <w:rsid w:val="5DBD0B6C"/>
    <w:rsid w:val="5DE263ED"/>
    <w:rsid w:val="5DF84C8B"/>
    <w:rsid w:val="5E1E76A5"/>
    <w:rsid w:val="5E2830A3"/>
    <w:rsid w:val="5E30F4DC"/>
    <w:rsid w:val="5E35316E"/>
    <w:rsid w:val="5E389152"/>
    <w:rsid w:val="5E6A1518"/>
    <w:rsid w:val="5E6A20CE"/>
    <w:rsid w:val="5E737225"/>
    <w:rsid w:val="5EA403D7"/>
    <w:rsid w:val="5EBAEE02"/>
    <w:rsid w:val="5EC25DFF"/>
    <w:rsid w:val="5ED88326"/>
    <w:rsid w:val="5EDBCF68"/>
    <w:rsid w:val="5EFE6993"/>
    <w:rsid w:val="5F0897B5"/>
    <w:rsid w:val="5F095C7F"/>
    <w:rsid w:val="5F0FE1AE"/>
    <w:rsid w:val="5F171D4A"/>
    <w:rsid w:val="5F1BAF9B"/>
    <w:rsid w:val="5F35B13C"/>
    <w:rsid w:val="5F41C3DD"/>
    <w:rsid w:val="5F489EBF"/>
    <w:rsid w:val="5F5864E1"/>
    <w:rsid w:val="5F5B8A9A"/>
    <w:rsid w:val="5F937E01"/>
    <w:rsid w:val="5F9E7666"/>
    <w:rsid w:val="5FCD23AF"/>
    <w:rsid w:val="5FD20400"/>
    <w:rsid w:val="5FDEAA08"/>
    <w:rsid w:val="5FFA3DD9"/>
    <w:rsid w:val="600339A6"/>
    <w:rsid w:val="60042A3C"/>
    <w:rsid w:val="60059D05"/>
    <w:rsid w:val="600626C6"/>
    <w:rsid w:val="601594FB"/>
    <w:rsid w:val="60279BB9"/>
    <w:rsid w:val="60312E40"/>
    <w:rsid w:val="603534E2"/>
    <w:rsid w:val="603C202D"/>
    <w:rsid w:val="603D0696"/>
    <w:rsid w:val="6042B53A"/>
    <w:rsid w:val="60501E5E"/>
    <w:rsid w:val="606A112E"/>
    <w:rsid w:val="607AC09A"/>
    <w:rsid w:val="60896E31"/>
    <w:rsid w:val="60C8B7D2"/>
    <w:rsid w:val="60CC798F"/>
    <w:rsid w:val="60CDF0FF"/>
    <w:rsid w:val="60D5431E"/>
    <w:rsid w:val="60DFC33C"/>
    <w:rsid w:val="60FA61DC"/>
    <w:rsid w:val="6109DD09"/>
    <w:rsid w:val="6135DF0A"/>
    <w:rsid w:val="6136145A"/>
    <w:rsid w:val="613BDDC1"/>
    <w:rsid w:val="61444E36"/>
    <w:rsid w:val="61836A9A"/>
    <w:rsid w:val="618E2518"/>
    <w:rsid w:val="61900EE4"/>
    <w:rsid w:val="61956E85"/>
    <w:rsid w:val="61A28D7A"/>
    <w:rsid w:val="61A2B859"/>
    <w:rsid w:val="61B89370"/>
    <w:rsid w:val="61BF434C"/>
    <w:rsid w:val="61F6E43A"/>
    <w:rsid w:val="62099190"/>
    <w:rsid w:val="62191C5E"/>
    <w:rsid w:val="621E7B31"/>
    <w:rsid w:val="62262C20"/>
    <w:rsid w:val="622C6212"/>
    <w:rsid w:val="6235F6D2"/>
    <w:rsid w:val="623B6512"/>
    <w:rsid w:val="624A7F7A"/>
    <w:rsid w:val="624B3807"/>
    <w:rsid w:val="625A03C2"/>
    <w:rsid w:val="626D964C"/>
    <w:rsid w:val="62712BB2"/>
    <w:rsid w:val="6277681A"/>
    <w:rsid w:val="628D76E3"/>
    <w:rsid w:val="629F2250"/>
    <w:rsid w:val="62D30558"/>
    <w:rsid w:val="630B7B10"/>
    <w:rsid w:val="631A3977"/>
    <w:rsid w:val="631DC453"/>
    <w:rsid w:val="631FE3DB"/>
    <w:rsid w:val="632C713A"/>
    <w:rsid w:val="6332F982"/>
    <w:rsid w:val="633DB9C2"/>
    <w:rsid w:val="6377AA86"/>
    <w:rsid w:val="63918609"/>
    <w:rsid w:val="6391BF9B"/>
    <w:rsid w:val="6395A746"/>
    <w:rsid w:val="63D9868D"/>
    <w:rsid w:val="63E0DF31"/>
    <w:rsid w:val="63E5ADAC"/>
    <w:rsid w:val="63F8F54B"/>
    <w:rsid w:val="640AF7DC"/>
    <w:rsid w:val="64106CD2"/>
    <w:rsid w:val="641C9C66"/>
    <w:rsid w:val="645D0DC2"/>
    <w:rsid w:val="6486B26B"/>
    <w:rsid w:val="648E7583"/>
    <w:rsid w:val="64908718"/>
    <w:rsid w:val="64CEFFEC"/>
    <w:rsid w:val="64DCAAED"/>
    <w:rsid w:val="64F2522E"/>
    <w:rsid w:val="64F2BED4"/>
    <w:rsid w:val="652884E2"/>
    <w:rsid w:val="65477A4D"/>
    <w:rsid w:val="6559A63B"/>
    <w:rsid w:val="6563C17F"/>
    <w:rsid w:val="6564BE7F"/>
    <w:rsid w:val="657CF698"/>
    <w:rsid w:val="6586C3FE"/>
    <w:rsid w:val="659F0ABD"/>
    <w:rsid w:val="65AD27C6"/>
    <w:rsid w:val="65B17B1F"/>
    <w:rsid w:val="65DF924B"/>
    <w:rsid w:val="65DFBC62"/>
    <w:rsid w:val="65E58011"/>
    <w:rsid w:val="65F91D9B"/>
    <w:rsid w:val="65FF1749"/>
    <w:rsid w:val="661CD8F4"/>
    <w:rsid w:val="6625A249"/>
    <w:rsid w:val="668B71F3"/>
    <w:rsid w:val="669A1C22"/>
    <w:rsid w:val="669FF602"/>
    <w:rsid w:val="66B4AAB5"/>
    <w:rsid w:val="66C8D52D"/>
    <w:rsid w:val="66EE799D"/>
    <w:rsid w:val="6707F126"/>
    <w:rsid w:val="670F7916"/>
    <w:rsid w:val="6715F171"/>
    <w:rsid w:val="671AA4FE"/>
    <w:rsid w:val="67208785"/>
    <w:rsid w:val="6736D472"/>
    <w:rsid w:val="673A85DA"/>
    <w:rsid w:val="673B8662"/>
    <w:rsid w:val="6758299E"/>
    <w:rsid w:val="676325B8"/>
    <w:rsid w:val="677265B9"/>
    <w:rsid w:val="679CD062"/>
    <w:rsid w:val="67E4E6FD"/>
    <w:rsid w:val="67E5DD9F"/>
    <w:rsid w:val="67F4ED32"/>
    <w:rsid w:val="6812ED8F"/>
    <w:rsid w:val="6830E4B1"/>
    <w:rsid w:val="683A0FD2"/>
    <w:rsid w:val="683B954D"/>
    <w:rsid w:val="684C1880"/>
    <w:rsid w:val="6857EF0A"/>
    <w:rsid w:val="686420C5"/>
    <w:rsid w:val="6880EA3E"/>
    <w:rsid w:val="68840763"/>
    <w:rsid w:val="689AF095"/>
    <w:rsid w:val="68A5F078"/>
    <w:rsid w:val="68AA7BC6"/>
    <w:rsid w:val="68ADB760"/>
    <w:rsid w:val="68AE52E6"/>
    <w:rsid w:val="68AFD983"/>
    <w:rsid w:val="68C55A74"/>
    <w:rsid w:val="68C81435"/>
    <w:rsid w:val="68CDCFBF"/>
    <w:rsid w:val="68D16C93"/>
    <w:rsid w:val="68EA7413"/>
    <w:rsid w:val="691FD4E5"/>
    <w:rsid w:val="6931352B"/>
    <w:rsid w:val="694A7B31"/>
    <w:rsid w:val="6963569D"/>
    <w:rsid w:val="69722008"/>
    <w:rsid w:val="69867D79"/>
    <w:rsid w:val="69988BD7"/>
    <w:rsid w:val="69A2330C"/>
    <w:rsid w:val="69B304BD"/>
    <w:rsid w:val="69BFBD7C"/>
    <w:rsid w:val="69C5D599"/>
    <w:rsid w:val="69C6142E"/>
    <w:rsid w:val="69DFC2DD"/>
    <w:rsid w:val="69FCB1DA"/>
    <w:rsid w:val="6A07A86B"/>
    <w:rsid w:val="6A07F9D2"/>
    <w:rsid w:val="6A15742D"/>
    <w:rsid w:val="6A163B23"/>
    <w:rsid w:val="6A16DD1E"/>
    <w:rsid w:val="6A1C5C37"/>
    <w:rsid w:val="6A2AB7DB"/>
    <w:rsid w:val="6A3486F0"/>
    <w:rsid w:val="6A593947"/>
    <w:rsid w:val="6A5ED0BA"/>
    <w:rsid w:val="6A6A8CC8"/>
    <w:rsid w:val="6A6D781F"/>
    <w:rsid w:val="6A7BCA90"/>
    <w:rsid w:val="6A9BD22A"/>
    <w:rsid w:val="6A9D62A6"/>
    <w:rsid w:val="6AA6640A"/>
    <w:rsid w:val="6AAA5FE8"/>
    <w:rsid w:val="6AB7538E"/>
    <w:rsid w:val="6AC15E62"/>
    <w:rsid w:val="6ADA3847"/>
    <w:rsid w:val="6AFA37FD"/>
    <w:rsid w:val="6B563505"/>
    <w:rsid w:val="6B5C7856"/>
    <w:rsid w:val="6B614B55"/>
    <w:rsid w:val="6B701499"/>
    <w:rsid w:val="6B7B3929"/>
    <w:rsid w:val="6B880961"/>
    <w:rsid w:val="6BA374B3"/>
    <w:rsid w:val="6BC073C4"/>
    <w:rsid w:val="6BCFA383"/>
    <w:rsid w:val="6BDC6AB3"/>
    <w:rsid w:val="6BEFD514"/>
    <w:rsid w:val="6BF8FACF"/>
    <w:rsid w:val="6BFFBF01"/>
    <w:rsid w:val="6C275309"/>
    <w:rsid w:val="6C371AD3"/>
    <w:rsid w:val="6C3AB989"/>
    <w:rsid w:val="6C3D189F"/>
    <w:rsid w:val="6C464559"/>
    <w:rsid w:val="6C6363A2"/>
    <w:rsid w:val="6C6EF072"/>
    <w:rsid w:val="6C75FD00"/>
    <w:rsid w:val="6C78D697"/>
    <w:rsid w:val="6C8A5771"/>
    <w:rsid w:val="6C8EEA00"/>
    <w:rsid w:val="6CA3E6ED"/>
    <w:rsid w:val="6CACFD6E"/>
    <w:rsid w:val="6CB3F4B7"/>
    <w:rsid w:val="6CC2B276"/>
    <w:rsid w:val="6CD46EE1"/>
    <w:rsid w:val="6CE51CB1"/>
    <w:rsid w:val="6D07873A"/>
    <w:rsid w:val="6D0FCD6C"/>
    <w:rsid w:val="6D103146"/>
    <w:rsid w:val="6D1072FE"/>
    <w:rsid w:val="6D176F77"/>
    <w:rsid w:val="6D1A28C0"/>
    <w:rsid w:val="6D283F79"/>
    <w:rsid w:val="6D418135"/>
    <w:rsid w:val="6D4E3179"/>
    <w:rsid w:val="6D528495"/>
    <w:rsid w:val="6D5B3DA0"/>
    <w:rsid w:val="6D621E7F"/>
    <w:rsid w:val="6D662DB6"/>
    <w:rsid w:val="6D87BCE5"/>
    <w:rsid w:val="6D8C2419"/>
    <w:rsid w:val="6D9A8DF3"/>
    <w:rsid w:val="6D9B7F10"/>
    <w:rsid w:val="6D9E760B"/>
    <w:rsid w:val="6DADD365"/>
    <w:rsid w:val="6DAE4CA0"/>
    <w:rsid w:val="6DCF26D3"/>
    <w:rsid w:val="6DD74A26"/>
    <w:rsid w:val="6DE76F2C"/>
    <w:rsid w:val="6E0B9FA9"/>
    <w:rsid w:val="6E187D67"/>
    <w:rsid w:val="6E257337"/>
    <w:rsid w:val="6E2992BD"/>
    <w:rsid w:val="6E30D91B"/>
    <w:rsid w:val="6E37520D"/>
    <w:rsid w:val="6E3D6FBA"/>
    <w:rsid w:val="6E426284"/>
    <w:rsid w:val="6E5A78DD"/>
    <w:rsid w:val="6E68AB7E"/>
    <w:rsid w:val="6E6F4D60"/>
    <w:rsid w:val="6E77CCF9"/>
    <w:rsid w:val="6E8C0948"/>
    <w:rsid w:val="6E92C46D"/>
    <w:rsid w:val="6EC93EBF"/>
    <w:rsid w:val="6EEB7A45"/>
    <w:rsid w:val="6EFB43E7"/>
    <w:rsid w:val="6F02E424"/>
    <w:rsid w:val="6F17079F"/>
    <w:rsid w:val="6F1F72BD"/>
    <w:rsid w:val="6F25CE85"/>
    <w:rsid w:val="6F37830A"/>
    <w:rsid w:val="6F38D46E"/>
    <w:rsid w:val="6F46A808"/>
    <w:rsid w:val="6F569CE0"/>
    <w:rsid w:val="6F666D84"/>
    <w:rsid w:val="6F691D02"/>
    <w:rsid w:val="6F7A2E74"/>
    <w:rsid w:val="6F94C1EB"/>
    <w:rsid w:val="6F9A27F0"/>
    <w:rsid w:val="6FB3C0B8"/>
    <w:rsid w:val="6FB4484F"/>
    <w:rsid w:val="6FD7D8D0"/>
    <w:rsid w:val="6FE88428"/>
    <w:rsid w:val="6FF4F293"/>
    <w:rsid w:val="6FF685D3"/>
    <w:rsid w:val="701B4E09"/>
    <w:rsid w:val="7021CC80"/>
    <w:rsid w:val="7024797B"/>
    <w:rsid w:val="702D5F38"/>
    <w:rsid w:val="70399600"/>
    <w:rsid w:val="704BDAD3"/>
    <w:rsid w:val="7054F926"/>
    <w:rsid w:val="7058E738"/>
    <w:rsid w:val="70611432"/>
    <w:rsid w:val="706FE880"/>
    <w:rsid w:val="70820935"/>
    <w:rsid w:val="7090D34F"/>
    <w:rsid w:val="70AA6D57"/>
    <w:rsid w:val="70CE2A8C"/>
    <w:rsid w:val="70E7DACA"/>
    <w:rsid w:val="710832D8"/>
    <w:rsid w:val="710E99B4"/>
    <w:rsid w:val="712BC7DF"/>
    <w:rsid w:val="71416FF4"/>
    <w:rsid w:val="71533709"/>
    <w:rsid w:val="715908CD"/>
    <w:rsid w:val="7174EB52"/>
    <w:rsid w:val="7177D7A5"/>
    <w:rsid w:val="719919E6"/>
    <w:rsid w:val="71A557C1"/>
    <w:rsid w:val="71E19D11"/>
    <w:rsid w:val="7230CDC7"/>
    <w:rsid w:val="723875FF"/>
    <w:rsid w:val="72420F59"/>
    <w:rsid w:val="727783AD"/>
    <w:rsid w:val="72AFDC66"/>
    <w:rsid w:val="72D41BD6"/>
    <w:rsid w:val="72E24DBD"/>
    <w:rsid w:val="72E3E5C3"/>
    <w:rsid w:val="7314A861"/>
    <w:rsid w:val="7317B8EB"/>
    <w:rsid w:val="731BCFE4"/>
    <w:rsid w:val="73258170"/>
    <w:rsid w:val="73272BF1"/>
    <w:rsid w:val="733F2EE0"/>
    <w:rsid w:val="734CBFAC"/>
    <w:rsid w:val="73782617"/>
    <w:rsid w:val="737B1AD6"/>
    <w:rsid w:val="73A1B29E"/>
    <w:rsid w:val="73B24FAA"/>
    <w:rsid w:val="73B9BF85"/>
    <w:rsid w:val="73C92E31"/>
    <w:rsid w:val="742D6EC2"/>
    <w:rsid w:val="744406DD"/>
    <w:rsid w:val="748483E0"/>
    <w:rsid w:val="748EC203"/>
    <w:rsid w:val="7491E6C2"/>
    <w:rsid w:val="7492A770"/>
    <w:rsid w:val="74C8CB57"/>
    <w:rsid w:val="74DE9FBB"/>
    <w:rsid w:val="74EB619F"/>
    <w:rsid w:val="74F02062"/>
    <w:rsid w:val="74FC9949"/>
    <w:rsid w:val="750D09DE"/>
    <w:rsid w:val="750EAA5C"/>
    <w:rsid w:val="7518C1EF"/>
    <w:rsid w:val="7525232F"/>
    <w:rsid w:val="752BE587"/>
    <w:rsid w:val="753E0495"/>
    <w:rsid w:val="7541682F"/>
    <w:rsid w:val="7549CE55"/>
    <w:rsid w:val="754B091E"/>
    <w:rsid w:val="755D0A7C"/>
    <w:rsid w:val="75B6EA5C"/>
    <w:rsid w:val="75BA8E56"/>
    <w:rsid w:val="75BAF2C8"/>
    <w:rsid w:val="75BD038B"/>
    <w:rsid w:val="75BDFDA7"/>
    <w:rsid w:val="75D225DF"/>
    <w:rsid w:val="75F492F5"/>
    <w:rsid w:val="75F7CD8C"/>
    <w:rsid w:val="7606DE9E"/>
    <w:rsid w:val="76085117"/>
    <w:rsid w:val="760ED254"/>
    <w:rsid w:val="7632C9E2"/>
    <w:rsid w:val="76402F21"/>
    <w:rsid w:val="766474D8"/>
    <w:rsid w:val="7676BC95"/>
    <w:rsid w:val="76886F7A"/>
    <w:rsid w:val="768D3BCA"/>
    <w:rsid w:val="76AC4E18"/>
    <w:rsid w:val="76D572E2"/>
    <w:rsid w:val="76E119BD"/>
    <w:rsid w:val="76E52D22"/>
    <w:rsid w:val="76E5AA56"/>
    <w:rsid w:val="76F08080"/>
    <w:rsid w:val="770882E9"/>
    <w:rsid w:val="771AAC28"/>
    <w:rsid w:val="7728B6E6"/>
    <w:rsid w:val="772ADC9D"/>
    <w:rsid w:val="772EB621"/>
    <w:rsid w:val="773EE2AD"/>
    <w:rsid w:val="775484AC"/>
    <w:rsid w:val="775B9FB2"/>
    <w:rsid w:val="77814C1A"/>
    <w:rsid w:val="77A33549"/>
    <w:rsid w:val="77BD36C2"/>
    <w:rsid w:val="77C94DF6"/>
    <w:rsid w:val="77CB1F94"/>
    <w:rsid w:val="77D248BD"/>
    <w:rsid w:val="77DF6AF9"/>
    <w:rsid w:val="77DFF971"/>
    <w:rsid w:val="77E40654"/>
    <w:rsid w:val="780A5FE9"/>
    <w:rsid w:val="78109ECF"/>
    <w:rsid w:val="782A7886"/>
    <w:rsid w:val="784C59BB"/>
    <w:rsid w:val="78752A7A"/>
    <w:rsid w:val="7877E862"/>
    <w:rsid w:val="78888A32"/>
    <w:rsid w:val="78A725F2"/>
    <w:rsid w:val="78B025F5"/>
    <w:rsid w:val="78B079B6"/>
    <w:rsid w:val="78C00BC1"/>
    <w:rsid w:val="790C3245"/>
    <w:rsid w:val="790E02CF"/>
    <w:rsid w:val="791DB1F8"/>
    <w:rsid w:val="792FB6C3"/>
    <w:rsid w:val="79333869"/>
    <w:rsid w:val="7948D9DA"/>
    <w:rsid w:val="797F6DE4"/>
    <w:rsid w:val="7995CAAC"/>
    <w:rsid w:val="79AB5389"/>
    <w:rsid w:val="79BB32BE"/>
    <w:rsid w:val="79BB4129"/>
    <w:rsid w:val="79C3B065"/>
    <w:rsid w:val="79E03A88"/>
    <w:rsid w:val="79E0B9F7"/>
    <w:rsid w:val="7A09A4FC"/>
    <w:rsid w:val="7A3170D6"/>
    <w:rsid w:val="7A34FFC6"/>
    <w:rsid w:val="7A3E5E6B"/>
    <w:rsid w:val="7A55F78C"/>
    <w:rsid w:val="7AB692C0"/>
    <w:rsid w:val="7AB75F16"/>
    <w:rsid w:val="7AB8468A"/>
    <w:rsid w:val="7ACE99FD"/>
    <w:rsid w:val="7AD06EB1"/>
    <w:rsid w:val="7ADED25A"/>
    <w:rsid w:val="7B10CC32"/>
    <w:rsid w:val="7B14A935"/>
    <w:rsid w:val="7B1DC55E"/>
    <w:rsid w:val="7B257CAF"/>
    <w:rsid w:val="7B2B9E54"/>
    <w:rsid w:val="7B3AD805"/>
    <w:rsid w:val="7B43882A"/>
    <w:rsid w:val="7B46A2BE"/>
    <w:rsid w:val="7B5F33E8"/>
    <w:rsid w:val="7B6B4A5B"/>
    <w:rsid w:val="7B6C2E8F"/>
    <w:rsid w:val="7B7D84DA"/>
    <w:rsid w:val="7B8139D6"/>
    <w:rsid w:val="7B86D205"/>
    <w:rsid w:val="7B8A186D"/>
    <w:rsid w:val="7B95BB95"/>
    <w:rsid w:val="7BA2A9CF"/>
    <w:rsid w:val="7BBBC6EF"/>
    <w:rsid w:val="7BCC352C"/>
    <w:rsid w:val="7BE384C3"/>
    <w:rsid w:val="7BFBF614"/>
    <w:rsid w:val="7C00C9C0"/>
    <w:rsid w:val="7C147D04"/>
    <w:rsid w:val="7C606425"/>
    <w:rsid w:val="7C7169FA"/>
    <w:rsid w:val="7C8CFDB5"/>
    <w:rsid w:val="7C8D45C1"/>
    <w:rsid w:val="7CA2535A"/>
    <w:rsid w:val="7CAD3218"/>
    <w:rsid w:val="7CAE27E0"/>
    <w:rsid w:val="7CB26EC4"/>
    <w:rsid w:val="7CC34E13"/>
    <w:rsid w:val="7CD7286A"/>
    <w:rsid w:val="7CE80B25"/>
    <w:rsid w:val="7D069F06"/>
    <w:rsid w:val="7D1B23A2"/>
    <w:rsid w:val="7D3BB252"/>
    <w:rsid w:val="7D582570"/>
    <w:rsid w:val="7D6DE777"/>
    <w:rsid w:val="7D7399C9"/>
    <w:rsid w:val="7D7D6224"/>
    <w:rsid w:val="7D8448D9"/>
    <w:rsid w:val="7D898E59"/>
    <w:rsid w:val="7D8EF4D5"/>
    <w:rsid w:val="7DA1206D"/>
    <w:rsid w:val="7DA3DD70"/>
    <w:rsid w:val="7DA61A96"/>
    <w:rsid w:val="7DB16B1A"/>
    <w:rsid w:val="7DC1BACA"/>
    <w:rsid w:val="7DC2E164"/>
    <w:rsid w:val="7DED9A89"/>
    <w:rsid w:val="7DF4CB74"/>
    <w:rsid w:val="7DF9EF69"/>
    <w:rsid w:val="7E0434AA"/>
    <w:rsid w:val="7E0846D0"/>
    <w:rsid w:val="7E09FB93"/>
    <w:rsid w:val="7E3B73B2"/>
    <w:rsid w:val="7E449282"/>
    <w:rsid w:val="7E4B5606"/>
    <w:rsid w:val="7E4E0CC5"/>
    <w:rsid w:val="7E855835"/>
    <w:rsid w:val="7EA432D3"/>
    <w:rsid w:val="7EB10875"/>
    <w:rsid w:val="7EBB3CF8"/>
    <w:rsid w:val="7ED3B488"/>
    <w:rsid w:val="7EDBC904"/>
    <w:rsid w:val="7F02FEF0"/>
    <w:rsid w:val="7F08DC11"/>
    <w:rsid w:val="7F143F89"/>
    <w:rsid w:val="7F189430"/>
    <w:rsid w:val="7F18B3AE"/>
    <w:rsid w:val="7F35B50D"/>
    <w:rsid w:val="7F486C33"/>
    <w:rsid w:val="7F550757"/>
    <w:rsid w:val="7F5A164F"/>
    <w:rsid w:val="7F66AC7A"/>
    <w:rsid w:val="7F72831B"/>
    <w:rsid w:val="7F73D6DB"/>
    <w:rsid w:val="7F780A97"/>
    <w:rsid w:val="7F8E7C2C"/>
    <w:rsid w:val="7FA8F16C"/>
    <w:rsid w:val="7FAA90F3"/>
    <w:rsid w:val="7FAD572C"/>
    <w:rsid w:val="7FC5E24F"/>
    <w:rsid w:val="7FC83F38"/>
    <w:rsid w:val="7FCB710D"/>
    <w:rsid w:val="7FE53628"/>
    <w:rsid w:val="7FE61D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50C9"/>
  <w15:docId w15:val="{652C2FAC-3AE4-414B-A297-961867542A5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ja-JP" w:bidi="ar-SA"/>
      </w:rPr>
    </w:rPrDefault>
    <w:pPrDefault>
      <w:pPr>
        <w:spacing w:line="360"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635872"/>
    <w:rPr>
      <w:rFonts w:ascii="Bookman Old Style" w:eastAsia="Bookman Old Style" w:hAnsi="Bookman Old Style" w:cs="Bookman Old Style"/>
    </w:rPr>
  </w:style>
  <w:style w:type="paragraph" w:styleId="Heading1">
    <w:name w:val="heading 1"/>
    <w:link w:val="Heading1Char"/>
    <w:uiPriority w:val="9"/>
    <w:qFormat/>
    <w:rsid w:val="007B6202"/>
    <w:pPr>
      <w:spacing w:before="120" w:after="120"/>
      <w:outlineLvl w:val="0"/>
    </w:pPr>
    <w:rPr>
      <w:rFonts w:ascii="Bookman Old Style" w:eastAsia="Bookman Old Style" w:hAnsi="Bookman Old Style" w:cs="Bookman Old Style"/>
      <w:b/>
      <w:color w:val="2F5496" w:themeColor="accent1" w:themeShade="BF"/>
      <w:sz w:val="34"/>
      <w:szCs w:val="32"/>
    </w:rPr>
  </w:style>
  <w:style w:type="paragraph" w:styleId="Heading2">
    <w:name w:val="heading 2"/>
    <w:next w:val="Normal"/>
    <w:link w:val="Heading2Char"/>
    <w:uiPriority w:val="9"/>
    <w:unhideWhenUsed/>
    <w:qFormat/>
    <w:rsid w:val="00774C54"/>
    <w:pPr>
      <w:spacing w:before="120" w:after="120"/>
      <w:outlineLvl w:val="1"/>
    </w:pPr>
    <w:rPr>
      <w:rFonts w:ascii="Bookman Old Style" w:eastAsia="Bookman Old Style" w:hAnsi="Bookman Old Style" w:cs="Bookman Old Style"/>
      <w:b/>
      <w:color w:val="2F5496" w:themeColor="accent1" w:themeShade="BF"/>
      <w:sz w:val="28"/>
      <w:szCs w:val="26"/>
    </w:rPr>
  </w:style>
  <w:style w:type="paragraph" w:styleId="Heading3">
    <w:name w:val="heading 3"/>
    <w:link w:val="Heading3Char"/>
    <w:uiPriority w:val="9"/>
    <w:unhideWhenUsed/>
    <w:qFormat/>
    <w:rsid w:val="008E4640"/>
    <w:pPr>
      <w:spacing w:before="240" w:after="240"/>
      <w:outlineLvl w:val="2"/>
    </w:pPr>
    <w:rPr>
      <w:rFonts w:ascii="Bookman Old Style" w:eastAsia="Bookman Old Style" w:hAnsi="Bookman Old Style" w:cs="Bookman Old Style"/>
      <w:b/>
      <w:color w:val="2F5496" w:themeColor="accent1" w:themeShade="BF"/>
      <w:sz w:val="26"/>
      <w:szCs w:val="24"/>
    </w:rPr>
  </w:style>
  <w:style w:type="paragraph" w:styleId="Heading4">
    <w:name w:val="heading 4"/>
    <w:uiPriority w:val="9"/>
    <w:unhideWhenUsed/>
    <w:qFormat/>
    <w:rsid w:val="00EC0C59"/>
    <w:pPr>
      <w:spacing w:before="240" w:after="240"/>
      <w:outlineLvl w:val="3"/>
    </w:pPr>
    <w:rPr>
      <w:rFonts w:ascii="Bookman Old Style" w:eastAsia="Bookman Old Style" w:hAnsi="Bookman Old Style" w:cs="Bookman Old Style"/>
      <w:b/>
      <w:iCs/>
      <w:color w:val="000000" w:themeColor="text1"/>
      <w:u w:val="single"/>
    </w:rPr>
  </w:style>
  <w:style w:type="paragraph" w:styleId="Heading5">
    <w:name w:val="heading 5"/>
    <w:uiPriority w:val="9"/>
    <w:semiHidden/>
    <w:unhideWhenUsed/>
    <w:qFormat/>
    <w:pPr>
      <w:outlineLvl w:val="4"/>
    </w:pPr>
    <w:rPr>
      <w:rFonts w:ascii="Bookman Old Style" w:eastAsia="Bookman Old Style" w:hAnsi="Bookman Old Style" w:cs="Bookman Old Style"/>
      <w:color w:val="2E74B5"/>
    </w:rPr>
  </w:style>
  <w:style w:type="paragraph" w:styleId="Heading6">
    <w:name w:val="heading 6"/>
    <w:uiPriority w:val="9"/>
    <w:semiHidden/>
    <w:unhideWhenUsed/>
    <w:qFormat/>
    <w:pPr>
      <w:outlineLvl w:val="5"/>
    </w:pPr>
    <w:rPr>
      <w:rFonts w:ascii="Bookman Old Style" w:eastAsia="Bookman Old Style" w:hAnsi="Bookman Old Style" w:cs="Bookman Old Style"/>
      <w:color w:val="1F4D78"/>
    </w:rPr>
  </w:style>
  <w:style w:type="paragraph" w:styleId="Heading9">
    <w:name w:val="heading 9"/>
    <w:basedOn w:val="Normal"/>
    <w:next w:val="Normal"/>
    <w:uiPriority w:val="9"/>
    <w:unhideWhenUsed/>
    <w:qFormat/>
    <w:rsid w:val="11C080E7"/>
    <w:pPr>
      <w:keepNext/>
      <w:keepLines/>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Bookman Old Style" w:eastAsia="Bookman Old Style" w:hAnsi="Bookman Old Style" w:cs="Bookman Old Style"/>
      <w:sz w:val="56"/>
      <w:szCs w:val="56"/>
    </w:rPr>
  </w:style>
  <w:style w:type="paragraph" w:customStyle="1" w:styleId="Strong1">
    <w:name w:val="Strong1"/>
    <w:qFormat/>
    <w:rPr>
      <w:rFonts w:ascii="Bookman Old Style" w:eastAsia="Bookman Old Style" w:hAnsi="Bookman Old Style" w:cs="Bookman Old Style"/>
      <w:b/>
      <w:bCs/>
    </w:rPr>
  </w:style>
  <w:style w:type="paragraph" w:styleId="ListParagraph">
    <w:name w:val="List Paragraph"/>
    <w:qFormat/>
    <w:rPr>
      <w:rFonts w:ascii="Bookman Old Style" w:eastAsia="Bookman Old Style" w:hAnsi="Bookman Old Style" w:cs="Bookman Old Style"/>
    </w:rPr>
  </w:style>
  <w:style w:type="character" w:styleId="Hyperlink">
    <w:name w:val="Hyperlink"/>
    <w:uiPriority w:val="99"/>
    <w:unhideWhenUsed/>
    <w:rPr>
      <w:rFonts w:ascii="Bookman Old Style" w:eastAsia="Bookman Old Style" w:hAnsi="Bookman Old Style" w:cs="Bookman Old Style"/>
      <w:color w:val="0563C1"/>
      <w:u w:val="single"/>
    </w:rPr>
  </w:style>
  <w:style w:type="character" w:styleId="FootnoteReference">
    <w:name w:val="footnote reference"/>
    <w:uiPriority w:val="99"/>
    <w:semiHidden/>
    <w:unhideWhenUsed/>
    <w:rPr>
      <w:rFonts w:ascii="Bookman Old Style" w:eastAsia="Bookman Old Style" w:hAnsi="Bookman Old Style" w:cs="Bookman Old Style"/>
      <w:vertAlign w:val="superscript"/>
    </w:rPr>
  </w:style>
  <w:style w:type="paragraph" w:styleId="FootnoteText">
    <w:name w:val="footnote text"/>
    <w:link w:val="FootnoteTextChar"/>
    <w:uiPriority w:val="99"/>
    <w:semiHidden/>
    <w:unhideWhenUsed/>
    <w:rPr>
      <w:rFonts w:ascii="Bookman Old Style" w:eastAsia="Bookman Old Style" w:hAnsi="Bookman Old Style" w:cs="Bookman Old Style"/>
      <w:sz w:val="20"/>
      <w:szCs w:val="20"/>
    </w:rPr>
  </w:style>
  <w:style w:type="character" w:customStyle="1" w:styleId="FootnoteTextChar">
    <w:name w:val="Footnote Text Char"/>
    <w:link w:val="FootnoteText"/>
    <w:uiPriority w:val="99"/>
    <w:semiHidden/>
    <w:unhideWhenUsed/>
    <w:rPr>
      <w:rFonts w:ascii="Bookman Old Style" w:eastAsia="Bookman Old Style" w:hAnsi="Bookman Old Style" w:cs="Bookman Old Style"/>
      <w:sz w:val="20"/>
      <w:szCs w:val="20"/>
    </w:rPr>
  </w:style>
  <w:style w:type="paragraph" w:customStyle="1" w:styleId="heading10">
    <w:name w:val="heading 10"/>
    <w:qFormat/>
    <w:pPr>
      <w:spacing w:before="360" w:after="180"/>
      <w:outlineLvl w:val="0"/>
    </w:pPr>
    <w:rPr>
      <w:rFonts w:ascii="Bookman Old Style" w:eastAsia="Bookman Old Style" w:hAnsi="Bookman Old Style" w:cs="Bookman Old Style"/>
      <w:b/>
      <w:bCs/>
      <w:color w:val="1F4E79"/>
      <w:sz w:val="30"/>
      <w:szCs w:val="30"/>
    </w:rPr>
  </w:style>
  <w:style w:type="paragraph" w:customStyle="1" w:styleId="heading20">
    <w:name w:val="heading 20"/>
    <w:qFormat/>
    <w:pPr>
      <w:spacing w:before="260" w:after="120"/>
      <w:outlineLvl w:val="1"/>
    </w:pPr>
    <w:rPr>
      <w:rFonts w:ascii="Bookman Old Style" w:eastAsia="Bookman Old Style" w:hAnsi="Bookman Old Style" w:cs="Bookman Old Style"/>
      <w:b/>
      <w:bCs/>
      <w:color w:val="2E75B6"/>
      <w:sz w:val="24"/>
      <w:szCs w:val="24"/>
    </w:rPr>
  </w:style>
  <w:style w:type="paragraph" w:styleId="TOC1">
    <w:name w:val="toc 1"/>
    <w:basedOn w:val="Normal"/>
    <w:next w:val="Normal"/>
    <w:uiPriority w:val="39"/>
    <w:unhideWhenUsed/>
    <w:rsid w:val="005237C8"/>
    <w:pPr>
      <w:spacing w:before="240" w:after="240"/>
    </w:pPr>
    <w:rPr>
      <w:rFonts w:cstheme="minorHAnsi"/>
      <w:b/>
      <w:bCs/>
      <w:caps/>
      <w:sz w:val="20"/>
      <w:szCs w:val="20"/>
    </w:rPr>
  </w:style>
  <w:style w:type="paragraph" w:styleId="TOC2">
    <w:name w:val="toc 2"/>
    <w:basedOn w:val="Normal"/>
    <w:next w:val="Normal"/>
    <w:uiPriority w:val="39"/>
    <w:unhideWhenUsed/>
    <w:rsid w:val="005237C8"/>
    <w:pPr>
      <w:spacing w:before="120" w:after="120"/>
      <w:ind w:left="220"/>
    </w:pPr>
    <w:rPr>
      <w:rFonts w:cstheme="minorHAnsi"/>
      <w:smallCaps/>
      <w:sz w:val="20"/>
      <w:szCs w:val="20"/>
    </w:rPr>
  </w:style>
  <w:style w:type="table" w:styleId="TableGrid">
    <w:name w:val="Table Grid"/>
    <w:basedOn w:val="TableNormal"/>
    <w:uiPriority w:val="59"/>
    <w:rsid w:val="00FB4123"/>
    <w:rPr>
      <w:rFonts w:ascii="Bookman Old Style" w:eastAsia="Bookman Old Style" w:hAnsi="Bookman Old Style" w:cs="Bookman Old Styl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4-Accent1">
    <w:name w:val="Grid Table 4 Accent 1"/>
    <w:basedOn w:val="TableNormal"/>
    <w:uiPriority w:val="49"/>
    <w:rPr>
      <w:rFonts w:ascii="Bookman Old Style" w:eastAsia="Bookman Old Style" w:hAnsi="Bookman Old Style" w:cs="Bookman Old Styl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EndnoteText">
    <w:name w:val="endnote text"/>
    <w:basedOn w:val="Normal"/>
    <w:uiPriority w:val="99"/>
    <w:semiHidden/>
    <w:unhideWhenUsed/>
    <w:rsid w:val="29CD1B6A"/>
    <w:rPr>
      <w:sz w:val="20"/>
      <w:szCs w:val="20"/>
    </w:rPr>
  </w:style>
  <w:style w:type="character" w:styleId="EndnoteReference">
    <w:name w:val="endnote reference"/>
    <w:basedOn w:val="DefaultParagraphFont"/>
    <w:uiPriority w:val="99"/>
    <w:semiHidden/>
    <w:unhideWhenUsed/>
    <w:rsid w:val="29CD1B6A"/>
    <w:rPr>
      <w:rFonts w:ascii="Bookman Old Style" w:eastAsia="Bookman Old Style" w:hAnsi="Bookman Old Style" w:cs="Bookman Old Style"/>
      <w:vertAlign w:val="superscript"/>
    </w:rPr>
  </w:style>
  <w:style w:type="paragraph" w:styleId="TOC3">
    <w:name w:val="toc 3"/>
    <w:basedOn w:val="Normal"/>
    <w:next w:val="Normal"/>
    <w:uiPriority w:val="39"/>
    <w:unhideWhenUsed/>
    <w:rsid w:val="000B52D0"/>
    <w:pPr>
      <w:ind w:left="440"/>
    </w:pPr>
    <w:rPr>
      <w:rFonts w:cstheme="minorHAnsi"/>
      <w:i/>
      <w:iCs/>
      <w:sz w:val="20"/>
      <w:szCs w:val="20"/>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Bookman Old Style" w:eastAsia="Bookman Old Style" w:hAnsi="Bookman Old Style" w:cs="Bookman Old Style"/>
      <w:sz w:val="20"/>
      <w:szCs w:val="20"/>
    </w:rPr>
  </w:style>
  <w:style w:type="character" w:styleId="CommentReference">
    <w:name w:val="annotation reference"/>
    <w:basedOn w:val="DefaultParagraphFont"/>
    <w:uiPriority w:val="99"/>
    <w:semiHidden/>
    <w:unhideWhenUsed/>
    <w:rPr>
      <w:rFonts w:ascii="Bookman Old Style" w:eastAsia="Bookman Old Style" w:hAnsi="Bookman Old Style" w:cs="Bookman Old Style"/>
      <w:sz w:val="16"/>
      <w:szCs w:val="16"/>
    </w:rPr>
  </w:style>
  <w:style w:type="paragraph" w:styleId="BalloonText">
    <w:name w:val="Balloon Text"/>
    <w:basedOn w:val="Normal"/>
    <w:link w:val="BalloonTextChar"/>
    <w:uiPriority w:val="99"/>
    <w:semiHidden/>
    <w:unhideWhenUsed/>
    <w:rsid w:val="006618CF"/>
    <w:rPr>
      <w:sz w:val="18"/>
      <w:szCs w:val="18"/>
    </w:rPr>
  </w:style>
  <w:style w:type="character" w:customStyle="1" w:styleId="BalloonTextChar">
    <w:name w:val="Balloon Text Char"/>
    <w:basedOn w:val="DefaultParagraphFont"/>
    <w:link w:val="BalloonText"/>
    <w:uiPriority w:val="99"/>
    <w:semiHidden/>
    <w:rsid w:val="006618CF"/>
    <w:rPr>
      <w:rFonts w:ascii="Bookman Old Style" w:eastAsia="Bookman Old Style" w:hAnsi="Bookman Old Style" w:cs="Bookman Old Style"/>
      <w:sz w:val="18"/>
      <w:szCs w:val="18"/>
    </w:rPr>
  </w:style>
  <w:style w:type="paragraph" w:styleId="CommentSubject">
    <w:name w:val="annotation subject"/>
    <w:basedOn w:val="CommentText"/>
    <w:next w:val="CommentText"/>
    <w:link w:val="CommentSubjectChar"/>
    <w:uiPriority w:val="99"/>
    <w:semiHidden/>
    <w:unhideWhenUsed/>
    <w:rsid w:val="0035627B"/>
    <w:rPr>
      <w:b/>
      <w:bCs/>
    </w:rPr>
  </w:style>
  <w:style w:type="character" w:customStyle="1" w:styleId="CommentSubjectChar">
    <w:name w:val="Comment Subject Char"/>
    <w:basedOn w:val="CommentTextChar"/>
    <w:link w:val="CommentSubject"/>
    <w:uiPriority w:val="99"/>
    <w:semiHidden/>
    <w:rsid w:val="0035627B"/>
    <w:rPr>
      <w:rFonts w:ascii="Bookman Old Style" w:eastAsia="Bookman Old Style" w:hAnsi="Bookman Old Style" w:cs="Bookman Old Style"/>
      <w:b/>
      <w:bCs/>
      <w:sz w:val="20"/>
      <w:szCs w:val="20"/>
    </w:rPr>
  </w:style>
  <w:style w:type="character" w:styleId="Emphasis">
    <w:name w:val="Emphasis"/>
    <w:basedOn w:val="DefaultParagraphFont"/>
    <w:uiPriority w:val="20"/>
    <w:qFormat/>
    <w:rsid w:val="00D62D4C"/>
    <w:rPr>
      <w:rFonts w:ascii="Bookman Old Style" w:eastAsia="Bookman Old Style" w:hAnsi="Bookman Old Style" w:cs="Bookman Old Style"/>
      <w:i/>
      <w:iCs/>
    </w:rPr>
  </w:style>
  <w:style w:type="paragraph" w:customStyle="1" w:styleId="font-claude-response-body">
    <w:name w:val="font-claude-response-body"/>
    <w:basedOn w:val="Normal"/>
    <w:rsid w:val="00EA235F"/>
    <w:pPr>
      <w:spacing w:before="100" w:beforeAutospacing="1" w:after="100" w:afterAutospacing="1"/>
    </w:pPr>
    <w:rPr>
      <w:sz w:val="24"/>
      <w:szCs w:val="24"/>
      <w:lang w:val="en-GB" w:eastAsia="en-GB"/>
    </w:rPr>
  </w:style>
  <w:style w:type="character" w:styleId="Strong">
    <w:name w:val="Strong"/>
    <w:basedOn w:val="DefaultParagraphFont"/>
    <w:uiPriority w:val="22"/>
    <w:qFormat/>
    <w:rsid w:val="00EA235F"/>
    <w:rPr>
      <w:rFonts w:ascii="Bookman Old Style" w:eastAsia="Bookman Old Style" w:hAnsi="Bookman Old Style" w:cs="Bookman Old Style"/>
      <w:b/>
      <w:bCs/>
    </w:rPr>
  </w:style>
  <w:style w:type="character" w:styleId="HTMLCode">
    <w:name w:val="HTML Code"/>
    <w:basedOn w:val="DefaultParagraphFont"/>
    <w:uiPriority w:val="99"/>
    <w:semiHidden/>
    <w:unhideWhenUsed/>
    <w:rsid w:val="00EA235F"/>
    <w:rPr>
      <w:rFonts w:ascii="Bookman Old Style" w:eastAsia="Bookman Old Style" w:hAnsi="Bookman Old Style" w:cs="Bookman Old Style"/>
      <w:sz w:val="20"/>
      <w:szCs w:val="20"/>
    </w:rPr>
  </w:style>
  <w:style w:type="paragraph" w:styleId="Header">
    <w:name w:val="header"/>
    <w:basedOn w:val="Normal"/>
    <w:uiPriority w:val="99"/>
    <w:unhideWhenUsed/>
    <w:rsid w:val="7D3BB252"/>
    <w:pPr>
      <w:tabs>
        <w:tab w:val="center" w:pos="4680"/>
        <w:tab w:val="right" w:pos="9360"/>
      </w:tabs>
    </w:pPr>
  </w:style>
  <w:style w:type="paragraph" w:styleId="Footer">
    <w:name w:val="footer"/>
    <w:basedOn w:val="Normal"/>
    <w:link w:val="FooterChar"/>
    <w:uiPriority w:val="99"/>
    <w:unhideWhenUsed/>
    <w:rsid w:val="7D3BB252"/>
    <w:pPr>
      <w:tabs>
        <w:tab w:val="center" w:pos="4680"/>
        <w:tab w:val="right" w:pos="9360"/>
      </w:tabs>
    </w:pPr>
  </w:style>
  <w:style w:type="character" w:customStyle="1" w:styleId="Heading3Char">
    <w:name w:val="Heading 3 Char"/>
    <w:basedOn w:val="DefaultParagraphFont"/>
    <w:link w:val="Heading3"/>
    <w:uiPriority w:val="9"/>
    <w:rsid w:val="008E4640"/>
    <w:rPr>
      <w:rFonts w:ascii="Bookman Old Style" w:eastAsia="Bookman Old Style" w:hAnsi="Bookman Old Style" w:cs="Bookman Old Style"/>
      <w:b/>
      <w:color w:val="2F5496" w:themeColor="accent1" w:themeShade="BF"/>
      <w:sz w:val="26"/>
      <w:szCs w:val="24"/>
    </w:rPr>
  </w:style>
  <w:style w:type="table" w:styleId="PlainTable1">
    <w:name w:val="Plain Table 1"/>
    <w:basedOn w:val="TableNormal"/>
    <w:uiPriority w:val="41"/>
    <w:rsid w:val="00C234E1"/>
    <w:rPr>
      <w:rFonts w:ascii="Bookman Old Style" w:eastAsia="Bookman Old Style" w:hAnsi="Bookman Old Style" w:cs="Bookman Old Styl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qFormat/>
    <w:rsid w:val="00481AC3"/>
    <w:pPr>
      <w:widowControl w:val="0"/>
      <w:autoSpaceDE w:val="0"/>
      <w:autoSpaceDN w:val="0"/>
      <w:spacing w:before="35"/>
    </w:pPr>
    <w:rPr>
      <w:sz w:val="20"/>
      <w:szCs w:val="20"/>
      <w:lang w:eastAsia="en-US"/>
    </w:rPr>
  </w:style>
  <w:style w:type="character" w:styleId="PageNumber">
    <w:name w:val="page number"/>
    <w:basedOn w:val="DefaultParagraphFont"/>
    <w:uiPriority w:val="99"/>
    <w:semiHidden/>
    <w:unhideWhenUsed/>
    <w:rsid w:val="003E5402"/>
    <w:rPr>
      <w:rFonts w:ascii="Bookman Old Style" w:eastAsia="Bookman Old Style" w:hAnsi="Bookman Old Style" w:cs="Bookman Old Style"/>
    </w:rPr>
  </w:style>
  <w:style w:type="character" w:customStyle="1" w:styleId="FooterChar">
    <w:name w:val="Footer Char"/>
    <w:basedOn w:val="DefaultParagraphFont"/>
    <w:link w:val="Footer"/>
    <w:uiPriority w:val="99"/>
    <w:rsid w:val="003E5402"/>
    <w:rPr>
      <w:rFonts w:ascii="Bookman Old Style" w:eastAsia="Bookman Old Style" w:hAnsi="Bookman Old Style" w:cs="Bookman Old Style"/>
    </w:rPr>
  </w:style>
  <w:style w:type="paragraph" w:styleId="TOCHeading">
    <w:name w:val="TOC Heading"/>
    <w:next w:val="Normal"/>
    <w:uiPriority w:val="39"/>
    <w:unhideWhenUsed/>
    <w:qFormat/>
    <w:rsid w:val="004A28DD"/>
    <w:pPr>
      <w:spacing w:before="120" w:after="120"/>
    </w:pPr>
    <w:rPr>
      <w:rFonts w:ascii="Bookman Old Style" w:eastAsia="Bookman Old Style" w:hAnsi="Bookman Old Style" w:cs="Bookman Old Style"/>
      <w:b/>
      <w:color w:val="2F5496" w:themeColor="accent1" w:themeShade="BF"/>
      <w:sz w:val="34"/>
      <w:szCs w:val="32"/>
    </w:rPr>
  </w:style>
  <w:style w:type="paragraph" w:styleId="TOC4">
    <w:name w:val="toc 4"/>
    <w:basedOn w:val="Normal"/>
    <w:next w:val="Normal"/>
    <w:autoRedefine/>
    <w:uiPriority w:val="39"/>
    <w:semiHidden/>
    <w:unhideWhenUsed/>
    <w:rsid w:val="008C320A"/>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C320A"/>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C320A"/>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C320A"/>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C320A"/>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C320A"/>
    <w:pPr>
      <w:ind w:left="1760"/>
    </w:pPr>
    <w:rPr>
      <w:rFonts w:asciiTheme="minorHAnsi" w:hAnsiTheme="minorHAnsi" w:cstheme="minorHAnsi"/>
      <w:sz w:val="18"/>
      <w:szCs w:val="18"/>
    </w:rPr>
  </w:style>
  <w:style w:type="paragraph" w:customStyle="1" w:styleId="Paragraph">
    <w:name w:val="Paragraph"/>
    <w:qFormat/>
    <w:rsid w:val="00F737DD"/>
    <w:pPr>
      <w:spacing w:before="1" w:after="240"/>
      <w:jc w:val="both"/>
    </w:pPr>
    <w:rPr>
      <w:rFonts w:ascii="Bookman Old Style" w:eastAsia="Bookman Old Style" w:hAnsi="Bookman Old Style" w:cs="Bookman Old Style"/>
      <w:sz w:val="24"/>
      <w:szCs w:val="24"/>
      <w:lang w:val="en-MY"/>
    </w:rPr>
  </w:style>
  <w:style w:type="character" w:customStyle="1" w:styleId="Heading1Char">
    <w:name w:val="Heading 1 Char"/>
    <w:basedOn w:val="DefaultParagraphFont"/>
    <w:link w:val="Heading1"/>
    <w:uiPriority w:val="9"/>
    <w:rsid w:val="00993937"/>
    <w:rPr>
      <w:rFonts w:ascii="Bookman Old Style" w:eastAsia="Bookman Old Style" w:hAnsi="Bookman Old Style" w:cs="Bookman Old Style"/>
      <w:b/>
      <w:color w:val="2F5496" w:themeColor="accent1" w:themeShade="BF"/>
      <w:sz w:val="34"/>
      <w:szCs w:val="32"/>
    </w:rPr>
  </w:style>
  <w:style w:type="paragraph" w:styleId="Caption">
    <w:name w:val="caption"/>
    <w:basedOn w:val="Normal"/>
    <w:next w:val="Normal"/>
    <w:uiPriority w:val="35"/>
    <w:unhideWhenUsed/>
    <w:qFormat/>
    <w:rsid w:val="00B84D1F"/>
    <w:pPr>
      <w:keepNext/>
      <w:spacing w:after="200"/>
    </w:pPr>
    <w:rPr>
      <w:i/>
      <w:iCs/>
      <w:color w:val="2F5496" w:themeColor="accent1" w:themeShade="BF"/>
      <w:sz w:val="20"/>
      <w:szCs w:val="18"/>
    </w:rPr>
  </w:style>
  <w:style w:type="paragraph" w:styleId="TableofFigures">
    <w:name w:val="table of figures"/>
    <w:basedOn w:val="Normal"/>
    <w:next w:val="Normal"/>
    <w:uiPriority w:val="99"/>
    <w:unhideWhenUsed/>
    <w:rsid w:val="00CA18E9"/>
    <w:pPr>
      <w:spacing w:before="120" w:after="120"/>
    </w:pPr>
  </w:style>
  <w:style w:type="character" w:customStyle="1" w:styleId="Heading2Char">
    <w:name w:val="Heading 2 Char"/>
    <w:basedOn w:val="DefaultParagraphFont"/>
    <w:link w:val="Heading2"/>
    <w:uiPriority w:val="9"/>
    <w:rsid w:val="00635872"/>
    <w:rPr>
      <w:rFonts w:ascii="Bookman Old Style" w:eastAsia="Bookman Old Style" w:hAnsi="Bookman Old Style" w:cs="Bookman Old Style"/>
      <w:b/>
      <w:color w:val="2F5496" w:themeColor="accent1" w:themeShade="BF"/>
      <w:sz w:val="28"/>
      <w:szCs w:val="26"/>
    </w:rPr>
  </w:style>
  <w:style w:type="table" w:styleId="GridTable1Light-Accent1">
    <w:name w:val="Grid Table 1 Light Accent 1"/>
    <w:basedOn w:val="TableNormal"/>
    <w:uiPriority w:val="46"/>
    <w:rsid w:val="003F4D2D"/>
    <w:rPr>
      <w:rFonts w:ascii="Bookman Old Style" w:eastAsia="Bookman Old Style" w:hAnsi="Bookman Old Style" w:cs="Bookman Old Styl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2D6A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szCs w:val="20"/>
      <w:lang w:eastAsia="en-US"/>
    </w:rPr>
  </w:style>
  <w:style w:type="character" w:customStyle="1" w:styleId="HTMLPreformattedChar">
    <w:name w:val="HTML Preformatted Char"/>
    <w:basedOn w:val="DefaultParagraphFont"/>
    <w:link w:val="HTMLPreformatted"/>
    <w:uiPriority w:val="99"/>
    <w:semiHidden/>
    <w:rsid w:val="002D6A5C"/>
    <w:rPr>
      <w:rFonts w:ascii="Bookman Old Style" w:eastAsia="Bookman Old Style" w:hAnsi="Bookman Old Style" w:cs="Bookman Old Style"/>
      <w:sz w:val="20"/>
      <w:szCs w:val="20"/>
      <w:lang w:eastAsia="en-US"/>
    </w:rPr>
  </w:style>
  <w:style w:type="character" w:customStyle="1" w:styleId="linewrapper">
    <w:name w:val="line_wrapper"/>
    <w:basedOn w:val="DefaultParagraphFont"/>
    <w:rsid w:val="002D6A5C"/>
    <w:rPr>
      <w:rFonts w:ascii="Bookman Old Style" w:eastAsia="Bookman Old Style" w:hAnsi="Bookman Old Style" w:cs="Bookman Old Style"/>
    </w:rPr>
  </w:style>
  <w:style w:type="paragraph" w:styleId="NormalWeb">
    <w:name w:val="Normal (Web)"/>
    <w:basedOn w:val="Normal"/>
    <w:uiPriority w:val="99"/>
    <w:semiHidden/>
    <w:unhideWhenUsed/>
    <w:rsid w:val="00AD6744"/>
    <w:pPr>
      <w:spacing w:before="100" w:beforeAutospacing="1" w:after="100" w:afterAutospacing="1"/>
    </w:pPr>
    <w:rPr>
      <w:sz w:val="24"/>
      <w:szCs w:val="24"/>
      <w:lang w:eastAsia="en-US"/>
    </w:rPr>
  </w:style>
  <w:style w:type="paragraph" w:styleId="Revision">
    <w:name w:val="Revision"/>
    <w:hidden/>
    <w:uiPriority w:val="99"/>
    <w:semiHidden/>
    <w:rsid w:val="00B226DA"/>
    <w:rPr>
      <w:rFonts w:ascii="Bookman Old Style" w:eastAsia="Bookman Old Style" w:hAnsi="Bookman Old Style" w:cs="Bookman Old Sty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795120">
      <w:bodyDiv w:val="1"/>
      <w:marLeft w:val="0"/>
      <w:marRight w:val="0"/>
      <w:marTop w:val="0"/>
      <w:marBottom w:val="0"/>
      <w:divBdr>
        <w:top w:val="none" w:sz="0" w:space="0" w:color="auto"/>
        <w:left w:val="none" w:sz="0" w:space="0" w:color="auto"/>
        <w:bottom w:val="none" w:sz="0" w:space="0" w:color="auto"/>
        <w:right w:val="none" w:sz="0" w:space="0" w:color="auto"/>
      </w:divBdr>
    </w:div>
    <w:div w:id="436562406">
      <w:bodyDiv w:val="1"/>
      <w:marLeft w:val="0"/>
      <w:marRight w:val="0"/>
      <w:marTop w:val="0"/>
      <w:marBottom w:val="0"/>
      <w:divBdr>
        <w:top w:val="none" w:sz="0" w:space="0" w:color="auto"/>
        <w:left w:val="none" w:sz="0" w:space="0" w:color="auto"/>
        <w:bottom w:val="none" w:sz="0" w:space="0" w:color="auto"/>
        <w:right w:val="none" w:sz="0" w:space="0" w:color="auto"/>
      </w:divBdr>
    </w:div>
    <w:div w:id="650528229">
      <w:bodyDiv w:val="1"/>
      <w:marLeft w:val="0"/>
      <w:marRight w:val="0"/>
      <w:marTop w:val="0"/>
      <w:marBottom w:val="0"/>
      <w:divBdr>
        <w:top w:val="none" w:sz="0" w:space="0" w:color="auto"/>
        <w:left w:val="none" w:sz="0" w:space="0" w:color="auto"/>
        <w:bottom w:val="none" w:sz="0" w:space="0" w:color="auto"/>
        <w:right w:val="none" w:sz="0" w:space="0" w:color="auto"/>
      </w:divBdr>
    </w:div>
    <w:div w:id="779490794">
      <w:bodyDiv w:val="1"/>
      <w:marLeft w:val="0"/>
      <w:marRight w:val="0"/>
      <w:marTop w:val="0"/>
      <w:marBottom w:val="0"/>
      <w:divBdr>
        <w:top w:val="none" w:sz="0" w:space="0" w:color="auto"/>
        <w:left w:val="none" w:sz="0" w:space="0" w:color="auto"/>
        <w:bottom w:val="none" w:sz="0" w:space="0" w:color="auto"/>
        <w:right w:val="none" w:sz="0" w:space="0" w:color="auto"/>
      </w:divBdr>
    </w:div>
    <w:div w:id="856425180">
      <w:bodyDiv w:val="1"/>
      <w:marLeft w:val="0"/>
      <w:marRight w:val="0"/>
      <w:marTop w:val="0"/>
      <w:marBottom w:val="0"/>
      <w:divBdr>
        <w:top w:val="none" w:sz="0" w:space="0" w:color="auto"/>
        <w:left w:val="none" w:sz="0" w:space="0" w:color="auto"/>
        <w:bottom w:val="none" w:sz="0" w:space="0" w:color="auto"/>
        <w:right w:val="none" w:sz="0" w:space="0" w:color="auto"/>
      </w:divBdr>
    </w:div>
    <w:div w:id="877010906">
      <w:bodyDiv w:val="1"/>
      <w:marLeft w:val="0"/>
      <w:marRight w:val="0"/>
      <w:marTop w:val="0"/>
      <w:marBottom w:val="0"/>
      <w:divBdr>
        <w:top w:val="none" w:sz="0" w:space="0" w:color="auto"/>
        <w:left w:val="none" w:sz="0" w:space="0" w:color="auto"/>
        <w:bottom w:val="none" w:sz="0" w:space="0" w:color="auto"/>
        <w:right w:val="none" w:sz="0" w:space="0" w:color="auto"/>
      </w:divBdr>
    </w:div>
    <w:div w:id="892817112">
      <w:bodyDiv w:val="1"/>
      <w:marLeft w:val="0"/>
      <w:marRight w:val="0"/>
      <w:marTop w:val="0"/>
      <w:marBottom w:val="0"/>
      <w:divBdr>
        <w:top w:val="none" w:sz="0" w:space="0" w:color="auto"/>
        <w:left w:val="none" w:sz="0" w:space="0" w:color="auto"/>
        <w:bottom w:val="none" w:sz="0" w:space="0" w:color="auto"/>
        <w:right w:val="none" w:sz="0" w:space="0" w:color="auto"/>
      </w:divBdr>
    </w:div>
    <w:div w:id="1282879601">
      <w:bodyDiv w:val="1"/>
      <w:marLeft w:val="0"/>
      <w:marRight w:val="0"/>
      <w:marTop w:val="0"/>
      <w:marBottom w:val="0"/>
      <w:divBdr>
        <w:top w:val="none" w:sz="0" w:space="0" w:color="auto"/>
        <w:left w:val="none" w:sz="0" w:space="0" w:color="auto"/>
        <w:bottom w:val="none" w:sz="0" w:space="0" w:color="auto"/>
        <w:right w:val="none" w:sz="0" w:space="0" w:color="auto"/>
      </w:divBdr>
    </w:div>
    <w:div w:id="1425691765">
      <w:bodyDiv w:val="1"/>
      <w:marLeft w:val="0"/>
      <w:marRight w:val="0"/>
      <w:marTop w:val="0"/>
      <w:marBottom w:val="0"/>
      <w:divBdr>
        <w:top w:val="none" w:sz="0" w:space="0" w:color="auto"/>
        <w:left w:val="none" w:sz="0" w:space="0" w:color="auto"/>
        <w:bottom w:val="none" w:sz="0" w:space="0" w:color="auto"/>
        <w:right w:val="none" w:sz="0" w:space="0" w:color="auto"/>
      </w:divBdr>
    </w:div>
    <w:div w:id="1692760867">
      <w:bodyDiv w:val="1"/>
      <w:marLeft w:val="0"/>
      <w:marRight w:val="0"/>
      <w:marTop w:val="0"/>
      <w:marBottom w:val="0"/>
      <w:divBdr>
        <w:top w:val="none" w:sz="0" w:space="0" w:color="auto"/>
        <w:left w:val="none" w:sz="0" w:space="0" w:color="auto"/>
        <w:bottom w:val="none" w:sz="0" w:space="0" w:color="auto"/>
        <w:right w:val="none" w:sz="0" w:space="0" w:color="auto"/>
      </w:divBdr>
    </w:div>
    <w:div w:id="1774278522">
      <w:bodyDiv w:val="1"/>
      <w:marLeft w:val="0"/>
      <w:marRight w:val="0"/>
      <w:marTop w:val="0"/>
      <w:marBottom w:val="0"/>
      <w:divBdr>
        <w:top w:val="none" w:sz="0" w:space="0" w:color="auto"/>
        <w:left w:val="none" w:sz="0" w:space="0" w:color="auto"/>
        <w:bottom w:val="none" w:sz="0" w:space="0" w:color="auto"/>
        <w:right w:val="none" w:sz="0" w:space="0" w:color="auto"/>
      </w:divBdr>
    </w:div>
    <w:div w:id="1878279213">
      <w:bodyDiv w:val="1"/>
      <w:marLeft w:val="0"/>
      <w:marRight w:val="0"/>
      <w:marTop w:val="0"/>
      <w:marBottom w:val="0"/>
      <w:divBdr>
        <w:top w:val="none" w:sz="0" w:space="0" w:color="auto"/>
        <w:left w:val="none" w:sz="0" w:space="0" w:color="auto"/>
        <w:bottom w:val="none" w:sz="0" w:space="0" w:color="auto"/>
        <w:right w:val="none" w:sz="0" w:space="0" w:color="auto"/>
      </w:divBdr>
    </w:div>
    <w:div w:id="1932228800">
      <w:bodyDiv w:val="1"/>
      <w:marLeft w:val="0"/>
      <w:marRight w:val="0"/>
      <w:marTop w:val="0"/>
      <w:marBottom w:val="0"/>
      <w:divBdr>
        <w:top w:val="none" w:sz="0" w:space="0" w:color="auto"/>
        <w:left w:val="none" w:sz="0" w:space="0" w:color="auto"/>
        <w:bottom w:val="none" w:sz="0" w:space="0" w:color="auto"/>
        <w:right w:val="none" w:sz="0" w:space="0" w:color="auto"/>
      </w:divBdr>
    </w:div>
    <w:div w:id="2005739856">
      <w:bodyDiv w:val="1"/>
      <w:marLeft w:val="0"/>
      <w:marRight w:val="0"/>
      <w:marTop w:val="0"/>
      <w:marBottom w:val="0"/>
      <w:divBdr>
        <w:top w:val="none" w:sz="0" w:space="0" w:color="auto"/>
        <w:left w:val="none" w:sz="0" w:space="0" w:color="auto"/>
        <w:bottom w:val="none" w:sz="0" w:space="0" w:color="auto"/>
        <w:right w:val="none" w:sz="0" w:space="0" w:color="auto"/>
      </w:divBdr>
    </w:div>
    <w:div w:id="2075816947">
      <w:bodyDiv w:val="1"/>
      <w:marLeft w:val="0"/>
      <w:marRight w:val="0"/>
      <w:marTop w:val="0"/>
      <w:marBottom w:val="0"/>
      <w:divBdr>
        <w:top w:val="none" w:sz="0" w:space="0" w:color="auto"/>
        <w:left w:val="none" w:sz="0" w:space="0" w:color="auto"/>
        <w:bottom w:val="none" w:sz="0" w:space="0" w:color="auto"/>
        <w:right w:val="none" w:sz="0" w:space="0" w:color="auto"/>
      </w:divBdr>
    </w:div>
    <w:div w:id="2129660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11" Type="http://schemas.openxmlformats.org/officeDocument/2006/relationships/footer" Target="footer5.xml"/><Relationship Id="rId18" Type="http://schemas.openxmlformats.org/officeDocument/2006/relationships/header" Target="header3.xml"/><Relationship Id="rId19" Type="http://schemas.openxmlformats.org/officeDocument/2006/relationships/image" Target="media/image1.png"/><Relationship Id="rId21" Type="http://schemas.openxmlformats.org/officeDocument/2006/relationships/footer" Target="footer6.xml"/><Relationship Id="rId24" Type="http://schemas.openxmlformats.org/officeDocument/2006/relationships/header" Target="header4.xml"/><Relationship Id="rId25" Type="http://schemas.openxmlformats.org/officeDocument/2006/relationships/footer" Target="footer7.xml"/><Relationship Id="rId26"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Bookman Old Style"/>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Bookman Old Style"/>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bb675e6-5cdc-4ec3-887e-cce341d2c644">
      <Terms xmlns="http://schemas.microsoft.com/office/infopath/2007/PartnerControls"/>
    </lcf76f155ced4ddcb4097134ff3c332f>
    <TaxCatchAll xmlns="271f0a6e-7570-4ec4-b0a6-bb08bdd325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5C911938B8104EAF7D536C7AC491FF" ma:contentTypeVersion="13" ma:contentTypeDescription="Create a new document." ma:contentTypeScope="" ma:versionID="4346f776a97e773bb1545585e241ee47">
  <xsd:schema xmlns:xsd="http://www.w3.org/2001/XMLSchema" xmlns:xs="http://www.w3.org/2001/XMLSchema" xmlns:p="http://schemas.microsoft.com/office/2006/metadata/properties" xmlns:ns1="http://schemas.microsoft.com/sharepoint/v3" xmlns:ns2="ebb675e6-5cdc-4ec3-887e-cce341d2c644" xmlns:ns3="271f0a6e-7570-4ec4-b0a6-bb08bdd32529" targetNamespace="http://schemas.microsoft.com/office/2006/metadata/properties" ma:root="true" ma:fieldsID="bb0b3a2430b723da69e279d06b1f13dc" ns1:_="" ns2:_="" ns3:_="">
    <xsd:import namespace="http://schemas.microsoft.com/sharepoint/v3"/>
    <xsd:import namespace="ebb675e6-5cdc-4ec3-887e-cce341d2c644"/>
    <xsd:import namespace="271f0a6e-7570-4ec4-b0a6-bb08bdd325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b675e6-5cdc-4ec3-887e-cce341d2c6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d3fd136-2241-4aa2-b44a-6d1f559fe39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1f0a6e-7570-4ec4-b0a6-bb08bdd325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30ce7f-5168-4b68-9bdf-537e0dab33d7}" ma:internalName="TaxCatchAll" ma:showField="CatchAllData" ma:web="271f0a6e-7570-4ec4-b0a6-bb08bdd325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B13B174-CE2D-4E3B-BAB7-C322D57FFC9D}">
  <ds:schemaRefs>
    <ds:schemaRef ds:uri="http://schemas.microsoft.com/office/2006/metadata/properties"/>
    <ds:schemaRef ds:uri="http://schemas.microsoft.com/office/infopath/2007/PartnerControls"/>
    <ds:schemaRef ds:uri="http://schemas.microsoft.com/sharepoint/v3"/>
    <ds:schemaRef ds:uri="ebb675e6-5cdc-4ec3-887e-cce341d2c644"/>
    <ds:schemaRef ds:uri="271f0a6e-7570-4ec4-b0a6-bb08bdd32529"/>
  </ds:schemaRefs>
</ds:datastoreItem>
</file>

<file path=customXml/itemProps2.xml><?xml version="1.0" encoding="utf-8"?>
<ds:datastoreItem xmlns:ds="http://schemas.openxmlformats.org/officeDocument/2006/customXml" ds:itemID="{257AA997-03F8-4EA9-9AD9-9AD3D680AEE7}">
  <ds:schemaRefs>
    <ds:schemaRef ds:uri="http://schemas.microsoft.com/sharepoint/v3/contenttype/forms"/>
  </ds:schemaRefs>
</ds:datastoreItem>
</file>

<file path=customXml/itemProps3.xml><?xml version="1.0" encoding="utf-8"?>
<ds:datastoreItem xmlns:ds="http://schemas.openxmlformats.org/officeDocument/2006/customXml" ds:itemID="{02487380-A9A9-44AB-9B9F-65DDB4E09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bb675e6-5cdc-4ec3-887e-cce341d2c644"/>
    <ds:schemaRef ds:uri="271f0a6e-7570-4ec4-b0a6-bb08bdd325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B94C88-4D53-4496-A896-EF452AE24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10148</Words>
  <Characters>57849</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URA document template</dc:title>
  <dc:subject/>
  <dc:creator>Data Science</dc:creator>
  <cp:keywords/>
  <cp:lastModifiedBy>Ethan Kawamara Mugire</cp:lastModifiedBy>
  <cp:revision>2</cp:revision>
  <cp:lastPrinted>2026-08-09T16:42:00Z</cp:lastPrinted>
  <dcterms:created xsi:type="dcterms:W3CDTF">2026-08-10T06:02:00Z</dcterms:created>
  <dcterms:modified xsi:type="dcterms:W3CDTF">2026-08-10T06:02:00Z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1d4df2-78d1-4025-b4f3-390f587087e3_Enabled">
    <vt:lpwstr>true</vt:lpwstr>
  </property>
  <property fmtid="{D5CDD505-2E9C-101B-9397-08002B2CF9AE}" pid="3" name="MSIP_Label_0a1d4df2-78d1-4025-b4f3-390f587087e3_SetDate">
    <vt:lpwstr>2026-02-25T09:50:16Z</vt:lpwstr>
  </property>
  <property fmtid="{D5CDD505-2E9C-101B-9397-08002B2CF9AE}" pid="4" name="MSIP_Label_0a1d4df2-78d1-4025-b4f3-390f587087e3_Method">
    <vt:lpwstr>Standard</vt:lpwstr>
  </property>
  <property fmtid="{D5CDD505-2E9C-101B-9397-08002B2CF9AE}" pid="5" name="MSIP_Label_0a1d4df2-78d1-4025-b4f3-390f587087e3_Name">
    <vt:lpwstr>URA OFFICIAL LABEL</vt:lpwstr>
  </property>
  <property fmtid="{D5CDD505-2E9C-101B-9397-08002B2CF9AE}" pid="6" name="MSIP_Label_0a1d4df2-78d1-4025-b4f3-390f587087e3_SiteId">
    <vt:lpwstr>2010a227-d6b7-4ace-b38b-02444d74b904</vt:lpwstr>
  </property>
  <property fmtid="{D5CDD505-2E9C-101B-9397-08002B2CF9AE}" pid="7" name="MSIP_Label_0a1d4df2-78d1-4025-b4f3-390f587087e3_ActionId">
    <vt:lpwstr>a632c54e-c736-4a27-b4ec-72eff2ffc745</vt:lpwstr>
  </property>
  <property fmtid="{D5CDD505-2E9C-101B-9397-08002B2CF9AE}" pid="8" name="MSIP_Label_0a1d4df2-78d1-4025-b4f3-390f587087e3_ContentBits">
    <vt:lpwstr>0</vt:lpwstr>
  </property>
  <property fmtid="{D5CDD505-2E9C-101B-9397-08002B2CF9AE}" pid="9" name="MSIP_Label_0a1d4df2-78d1-4025-b4f3-390f587087e3_Tag">
    <vt:lpwstr>10, 3, 0, 2</vt:lpwstr>
  </property>
  <property fmtid="{D5CDD505-2E9C-101B-9397-08002B2CF9AE}" pid="10" name="MediaServiceImageTags">
    <vt:lpwstr/>
  </property>
  <property fmtid="{D5CDD505-2E9C-101B-9397-08002B2CF9AE}" pid="11" name="ContentTypeId">
    <vt:lpwstr>0x010100CC5C911938B8104EAF7D536C7AC491FF</vt:lpwstr>
  </property>
  <property fmtid="{D5CDD505-2E9C-101B-9397-08002B2CF9AE}" pid="12" name="ComplianceAssetId">
    <vt:lpwstr/>
  </property>
  <property fmtid="{D5CDD505-2E9C-101B-9397-08002B2CF9AE}" pid="13" name="_ExtendedDescription">
    <vt:lpwstr/>
  </property>
  <property fmtid="{D5CDD505-2E9C-101B-9397-08002B2CF9AE}" pid="14" name="_activity">
    <vt:lpwstr>{"FileActivityType":"9","FileActivityTimeStamp":"2026-03-03T10:55:19.527Z","FileActivityUsersOnPage":[{"DisplayName":"Ethan Kawamara Mugire","Id":"emugire@ura.go.ug"}],"FileActivityNavigationId":null}</vt:lpwstr>
  </property>
  <property fmtid="{D5CDD505-2E9C-101B-9397-08002B2CF9AE}" pid="15" name="TriggerFlowInfo">
    <vt:lpwstr/>
  </property>
  <property fmtid="{D5CDD505-2E9C-101B-9397-08002B2CF9AE}" pid="16" name="GrammarlyDocumentId">
    <vt:lpwstr>4dc63219-7958-4000-a47a-f92408aee2a1</vt:lpwstr>
  </property>
  <property fmtid="{D5CDD505-2E9C-101B-9397-08002B2CF9AE}" pid="17" name="docLang">
    <vt:lpwstr>en</vt:lpwstr>
  </property>
</Properties>
</file>