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color w:val="2F5496"/>
          <w:sz w:val="16"/>
        </w:rPr>
        <w:t>CLASSIFICATION: CONFIDENTIAL</w:t>
      </w:r>
    </w:p>
    <w:p/>
    <w:p/>
    <w:p/>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ura_logo.png"/>
                    <pic:cNvPicPr/>
                  </pic:nvPicPr>
                  <pic:blipFill>
                    <a:blip r:embed="rId19"/>
                    <a:stretch>
                      <a:fillRect/>
                    </a:stretch>
                  </pic:blipFill>
                  <pic:spPr>
                    <a:xfrm>
                      <a:off x="0" y="0"/>
                      <a:ext cx="1800000" cy="1800000"/>
                    </a:xfrm>
                    <a:prstGeom prst="rect"/>
                  </pic:spPr>
                </pic:pic>
              </a:graphicData>
            </a:graphic>
          </wp:inline>
        </w:drawing>
      </w:r>
    </w:p>
    <w:p/>
    <w:p>
      <w:pPr>
        <w:spacing w:after="120"/>
        <w:jc w:val="center"/>
      </w:pPr>
      <w:r>
        <w:t>Information Technology and Innovation Department</w:t>
      </w:r>
    </w:p>
    <w:p/>
    <w:p/>
    <w:p>
      <w:pPr>
        <w:jc w:val="center"/>
      </w:pPr>
      <w:r>
        <w:rPr>
          <w:b/>
          <w:color w:val="2F5496"/>
          <w:sz w:val="30"/>
        </w:rPr>
        <w:t>CUSTOMS TAXPAYER RISK PROFILING MODEL</w:t>
      </w:r>
    </w:p>
    <w:p>
      <w:pPr>
        <w:spacing w:after="120"/>
        <w:jc w:val="center"/>
      </w:pPr>
      <w:r>
        <w:t>Model Development Decision Record: Release 1</w:t>
      </w:r>
    </w:p>
    <w:p/>
    <w:p>
      <w:pPr>
        <w:jc w:val="center"/>
      </w:pPr>
      <w:r>
        <w:rPr>
          <w:b/>
          <w:sz w:val="18"/>
        </w:rPr>
        <w:t>VERSION 0.3, OCTOBER 2026 (DRAFT)</w:t>
      </w:r>
    </w:p>
    <w:p>
      <w:pPr>
        <w:sectPr>
          <w:footerReference w:type="default" r:id="rId11"/>
          <w:headerReference w:type="default" r:id="rId18"/>
          <w:pgSz w:w="11906" w:h="16838" w:code="9"/>
          <w:pgMar w:top="1440" w:right="1077" w:bottom="1440" w:left="1077" w:header="706" w:footer="706" w:gutter="0"/>
          <w:cols w:space="720"/>
          <w:docGrid w:linePitch="360"/>
        </w:sectPr>
      </w:pPr>
    </w:p>
    <w:p>
      <w:pPr>
        <w:pStyle w:val="Heading1"/>
      </w:pPr>
      <w:r>
        <w:t>Document Control &amp; Authority</w:t>
      </w:r>
    </w:p>
    <w:p>
      <w:pPr>
        <w:pStyle w:val="Caption"/>
      </w:pPr>
      <w:r>
        <w:t xml:space="preserve">Table </w:t>
      </w:r>
      <w:r>
        <w:fldChar w:fldCharType="begin"/>
      </w:r>
      <w:r>
        <w:instrText xml:space="preserve"> SEQ Table \* ARABIC </w:instrText>
      </w:r>
      <w:r>
        <w:fldChar w:fldCharType="separate"/>
      </w:r>
      <w:r>
        <w:t>1</w:t>
      </w:r>
      <w:r>
        <w:fldChar w:fldCharType="end"/>
      </w:r>
      <w:r>
        <w:t>: Document Information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Field</w:t>
            </w:r>
          </w:p>
        </w:tc>
        <w:tc>
          <w:tcPr>
            <w:tcW w:type="dxa" w:w="7457"/>
            <w:shd w:val="clear" w:color="auto" w:fill="D9E2F3"/>
          </w:tcPr>
          <w:p>
            <w:pPr>
              <w:spacing w:after="20" w:before="20" w:line="240" w:lineRule="auto"/>
            </w:pPr>
            <w:r/>
            <w:r>
              <w:rPr>
                <w:b/>
                <w:sz w:val="18"/>
              </w:rPr>
              <w:t>Details</w:t>
            </w:r>
          </w:p>
        </w:tc>
      </w:tr>
      <w:tr>
        <w:tc>
          <w:tcPr>
            <w:tcW w:type="dxa" w:w="2294"/>
          </w:tcPr>
          <w:p>
            <w:pPr>
              <w:spacing w:after="20" w:before="20" w:line="240" w:lineRule="auto"/>
            </w:pPr>
            <w:r/>
            <w:r>
              <w:rPr>
                <w:sz w:val="18"/>
              </w:rPr>
              <w:t>Document Title</w:t>
            </w:r>
          </w:p>
        </w:tc>
        <w:tc>
          <w:tcPr>
            <w:tcW w:type="dxa" w:w="7457"/>
          </w:tcPr>
          <w:p>
            <w:pPr>
              <w:spacing w:after="20" w:before="20" w:line="240" w:lineRule="auto"/>
            </w:pPr>
            <w:r/>
            <w:r>
              <w:rPr>
                <w:sz w:val="18"/>
              </w:rPr>
              <w:t>Customs Taxpayer Risk Profiling Model: Model Development Decision Record</w:t>
            </w:r>
          </w:p>
        </w:tc>
      </w:tr>
      <w:tr>
        <w:tc>
          <w:tcPr>
            <w:tcW w:type="dxa" w:w="2294"/>
          </w:tcPr>
          <w:p>
            <w:pPr>
              <w:spacing w:after="20" w:before="20" w:line="240" w:lineRule="auto"/>
            </w:pPr>
            <w:r/>
            <w:r>
              <w:rPr>
                <w:sz w:val="18"/>
              </w:rPr>
              <w:t>Version</w:t>
            </w:r>
          </w:p>
        </w:tc>
        <w:tc>
          <w:tcPr>
            <w:tcW w:type="dxa" w:w="7457"/>
          </w:tcPr>
          <w:p>
            <w:pPr>
              <w:spacing w:after="20" w:before="20" w:line="240" w:lineRule="auto"/>
            </w:pPr>
            <w:r/>
            <w:r>
              <w:rPr>
                <w:sz w:val="18"/>
              </w:rPr>
              <w:t>0.3 (draft for review)</w:t>
            </w:r>
          </w:p>
        </w:tc>
      </w:tr>
      <w:tr>
        <w:tc>
          <w:tcPr>
            <w:tcW w:type="dxa" w:w="2294"/>
          </w:tcPr>
          <w:p>
            <w:pPr>
              <w:spacing w:after="20" w:before="20" w:line="240" w:lineRule="auto"/>
            </w:pPr>
            <w:r/>
            <w:r>
              <w:rPr>
                <w:sz w:val="18"/>
              </w:rPr>
              <w:t>Classification</w:t>
            </w:r>
          </w:p>
        </w:tc>
        <w:tc>
          <w:tcPr>
            <w:tcW w:type="dxa" w:w="7457"/>
          </w:tcPr>
          <w:p>
            <w:pPr>
              <w:spacing w:after="20" w:before="20" w:line="240" w:lineRule="auto"/>
            </w:pPr>
            <w:r/>
            <w:r>
              <w:rPr>
                <w:sz w:val="18"/>
              </w:rPr>
              <w:t>Confidential</w:t>
            </w:r>
          </w:p>
        </w:tc>
      </w:tr>
      <w:tr>
        <w:tc>
          <w:tcPr>
            <w:tcW w:type="dxa" w:w="2294"/>
          </w:tcPr>
          <w:p>
            <w:pPr>
              <w:spacing w:after="20" w:before="20" w:line="240" w:lineRule="auto"/>
            </w:pPr>
            <w:r/>
            <w:r>
              <w:rPr>
                <w:sz w:val="18"/>
              </w:rPr>
              <w:t>Owner</w:t>
            </w:r>
          </w:p>
        </w:tc>
        <w:tc>
          <w:tcPr>
            <w:tcW w:type="dxa" w:w="7457"/>
          </w:tcPr>
          <w:p>
            <w:pPr>
              <w:spacing w:after="20" w:before="20" w:line="240" w:lineRule="auto"/>
            </w:pPr>
            <w:r/>
            <w:r>
              <w:rPr>
                <w:sz w:val="18"/>
              </w:rPr>
              <w:t>Data Science Section, Data, Innovations and Projects Division, ITID</w:t>
            </w:r>
          </w:p>
        </w:tc>
      </w:tr>
      <w:tr>
        <w:tc>
          <w:tcPr>
            <w:tcW w:type="dxa" w:w="2294"/>
          </w:tcPr>
          <w:p>
            <w:pPr>
              <w:spacing w:after="20" w:before="20" w:line="240" w:lineRule="auto"/>
            </w:pPr>
            <w:r/>
            <w:r>
              <w:rPr>
                <w:sz w:val="18"/>
              </w:rPr>
              <w:t>Model version recorded</w:t>
            </w:r>
          </w:p>
        </w:tc>
        <w:tc>
          <w:tcPr>
            <w:tcW w:type="dxa" w:w="7457"/>
          </w:tcPr>
          <w:p>
            <w:pPr>
              <w:spacing w:after="20" w:before="20" w:line="240" w:lineRule="auto"/>
            </w:pPr>
            <w:r/>
            <w:r>
              <w:rPr>
                <w:sz w:val="18"/>
              </w:rPr>
              <w:t>1.0.0-dev5 (settings fingerprint printed on every output)</w:t>
            </w:r>
          </w:p>
        </w:tc>
      </w:tr>
    </w:tbl>
    <w:p>
      <w:pPr>
        <w:spacing w:after="40"/>
      </w:pPr>
    </w:p>
    <w:p>
      <w:pPr>
        <w:pStyle w:val="Caption"/>
      </w:pPr>
      <w:r>
        <w:t xml:space="preserve">Table </w:t>
      </w:r>
      <w:r>
        <w:fldChar w:fldCharType="begin"/>
      </w:r>
      <w:r>
        <w:instrText xml:space="preserve"> SEQ Table \* ARABIC </w:instrText>
      </w:r>
      <w:r>
        <w:fldChar w:fldCharType="separate"/>
      </w:r>
      <w:r>
        <w:t>2</w:t>
      </w:r>
      <w:r>
        <w:fldChar w:fldCharType="end"/>
      </w:r>
      <w:r>
        <w:t>: Document Version History</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860"/>
            <w:shd w:val="clear" w:color="auto" w:fill="D9E2F3"/>
          </w:tcPr>
          <w:p>
            <w:pPr>
              <w:spacing w:after="20" w:before="20" w:line="240" w:lineRule="auto"/>
            </w:pPr>
            <w:r/>
            <w:r>
              <w:rPr>
                <w:b/>
                <w:sz w:val="18"/>
              </w:rPr>
              <w:t>Version</w:t>
            </w:r>
          </w:p>
        </w:tc>
        <w:tc>
          <w:tcPr>
            <w:tcW w:type="dxa" w:w="1434"/>
            <w:shd w:val="clear" w:color="auto" w:fill="D9E2F3"/>
          </w:tcPr>
          <w:p>
            <w:pPr>
              <w:spacing w:after="20" w:before="20" w:line="240" w:lineRule="auto"/>
            </w:pPr>
            <w:r/>
            <w:r>
              <w:rPr>
                <w:b/>
                <w:sz w:val="18"/>
              </w:rPr>
              <w:t>Date</w:t>
            </w:r>
          </w:p>
        </w:tc>
        <w:tc>
          <w:tcPr>
            <w:tcW w:type="dxa" w:w="1721"/>
            <w:shd w:val="clear" w:color="auto" w:fill="D9E2F3"/>
          </w:tcPr>
          <w:p>
            <w:pPr>
              <w:spacing w:after="20" w:before="20" w:line="240" w:lineRule="auto"/>
            </w:pPr>
            <w:r/>
            <w:r>
              <w:rPr>
                <w:b/>
                <w:sz w:val="18"/>
              </w:rPr>
              <w:t>Author(s)</w:t>
            </w:r>
          </w:p>
        </w:tc>
        <w:tc>
          <w:tcPr>
            <w:tcW w:type="dxa" w:w="1721"/>
            <w:shd w:val="clear" w:color="auto" w:fill="D9E2F3"/>
          </w:tcPr>
          <w:p>
            <w:pPr>
              <w:spacing w:after="20" w:before="20" w:line="240" w:lineRule="auto"/>
            </w:pPr>
            <w:r/>
            <w:r>
              <w:rPr>
                <w:b/>
                <w:sz w:val="18"/>
              </w:rPr>
              <w:t>Role</w:t>
            </w:r>
          </w:p>
        </w:tc>
        <w:tc>
          <w:tcPr>
            <w:tcW w:type="dxa" w:w="4015"/>
            <w:shd w:val="clear" w:color="auto" w:fill="D9E2F3"/>
          </w:tcPr>
          <w:p>
            <w:pPr>
              <w:spacing w:after="20" w:before="20" w:line="240" w:lineRule="auto"/>
            </w:pPr>
            <w:r/>
            <w:r>
              <w:rPr>
                <w:b/>
                <w:sz w:val="18"/>
              </w:rPr>
              <w:t>Changes</w:t>
            </w:r>
          </w:p>
        </w:tc>
      </w:tr>
      <w:tr>
        <w:tc>
          <w:tcPr>
            <w:tcW w:type="dxa" w:w="860"/>
          </w:tcPr>
          <w:p>
            <w:pPr>
              <w:spacing w:after="20" w:before="20" w:line="240" w:lineRule="auto"/>
            </w:pPr>
            <w:r/>
            <w:r>
              <w:rPr>
                <w:sz w:val="18"/>
              </w:rPr>
              <w:t>0.1</w:t>
            </w:r>
          </w:p>
        </w:tc>
        <w:tc>
          <w:tcPr>
            <w:tcW w:type="dxa" w:w="1434"/>
          </w:tcPr>
          <w:p>
            <w:pPr>
              <w:spacing w:after="20" w:before="20" w:line="240" w:lineRule="auto"/>
            </w:pPr>
            <w:r/>
            <w:r>
              <w:rPr>
                <w:sz w:val="18"/>
              </w:rPr>
              <w:t>October 2026</w:t>
            </w:r>
          </w:p>
        </w:tc>
        <w:tc>
          <w:tcPr>
            <w:tcW w:type="dxa" w:w="1721"/>
          </w:tcPr>
          <w:p>
            <w:pPr>
              <w:spacing w:after="20" w:before="20" w:line="240" w:lineRule="auto"/>
            </w:pPr>
            <w:r/>
            <w:r>
              <w:rPr>
                <w:sz w:val="18"/>
              </w:rPr>
              <w:t>Ethan Mugire</w:t>
            </w:r>
          </w:p>
        </w:tc>
        <w:tc>
          <w:tcPr>
            <w:tcW w:type="dxa" w:w="1721"/>
          </w:tcPr>
          <w:p>
            <w:pPr>
              <w:spacing w:after="20" w:before="20" w:line="240" w:lineRule="auto"/>
            </w:pPr>
            <w:r/>
            <w:r>
              <w:rPr>
                <w:sz w:val="18"/>
              </w:rPr>
              <w:t>Officer, Data Science</w:t>
            </w:r>
          </w:p>
        </w:tc>
        <w:tc>
          <w:tcPr>
            <w:tcW w:type="dxa" w:w="4015"/>
          </w:tcPr>
          <w:p>
            <w:pPr>
              <w:spacing w:after="20" w:before="20" w:line="240" w:lineRule="auto"/>
            </w:pPr>
            <w:r/>
            <w:r>
              <w:rPr>
                <w:sz w:val="18"/>
              </w:rPr>
              <w:t>First draft: decisions and evidence for Stages 1 to 6 of release 1, the first challenger comparison, and the open questions for Stage 7.</w:t>
            </w:r>
          </w:p>
        </w:tc>
      </w:tr>
      <w:tr>
        <w:tc>
          <w:tcPr>
            <w:tcW w:type="dxa" w:w="860"/>
          </w:tcPr>
          <w:p>
            <w:pPr>
              <w:spacing w:after="20" w:before="20" w:line="240" w:lineRule="auto"/>
            </w:pPr>
            <w:r/>
            <w:r>
              <w:rPr>
                <w:sz w:val="18"/>
              </w:rPr>
              <w:t>0.2</w:t>
            </w:r>
          </w:p>
        </w:tc>
        <w:tc>
          <w:tcPr>
            <w:tcW w:type="dxa" w:w="1434"/>
          </w:tcPr>
          <w:p>
            <w:pPr>
              <w:spacing w:after="20" w:before="20" w:line="240" w:lineRule="auto"/>
            </w:pPr>
            <w:r/>
            <w:r>
              <w:rPr>
                <w:sz w:val="18"/>
              </w:rPr>
              <w:t>October 2026</w:t>
            </w:r>
          </w:p>
        </w:tc>
        <w:tc>
          <w:tcPr>
            <w:tcW w:type="dxa" w:w="1721"/>
          </w:tcPr>
          <w:p>
            <w:pPr>
              <w:spacing w:after="20" w:before="20" w:line="240" w:lineRule="auto"/>
            </w:pPr>
            <w:r/>
            <w:r>
              <w:rPr>
                <w:sz w:val="18"/>
              </w:rPr>
              <w:t>Ethan Mugire</w:t>
            </w:r>
          </w:p>
        </w:tc>
        <w:tc>
          <w:tcPr>
            <w:tcW w:type="dxa" w:w="1721"/>
          </w:tcPr>
          <w:p>
            <w:pPr>
              <w:spacing w:after="20" w:before="20" w:line="240" w:lineRule="auto"/>
            </w:pPr>
            <w:r/>
            <w:r>
              <w:rPr>
                <w:sz w:val="18"/>
              </w:rPr>
              <w:t>Officer, Data Science</w:t>
            </w:r>
          </w:p>
        </w:tc>
        <w:tc>
          <w:tcPr>
            <w:tcW w:type="dxa" w:w="4015"/>
          </w:tcPr>
          <w:p>
            <w:pPr>
              <w:spacing w:after="20" w:before="20" w:line="240" w:lineRule="auto"/>
            </w:pPr>
            <w:r/>
            <w:r>
              <w:rPr>
                <w:sz w:val="18"/>
              </w:rPr>
              <w:t>Lift worked through with real numbers; ensembles tested (decisions 52 to 54); project reorganised into the standard src layout with automatic tests (decision 55).</w:t>
            </w:r>
          </w:p>
        </w:tc>
      </w:tr>
      <w:tr>
        <w:tc>
          <w:tcPr>
            <w:tcW w:type="dxa" w:w="860"/>
          </w:tcPr>
          <w:p>
            <w:pPr>
              <w:spacing w:after="20" w:before="20" w:line="240" w:lineRule="auto"/>
            </w:pPr>
            <w:r/>
            <w:r>
              <w:rPr>
                <w:sz w:val="18"/>
              </w:rPr>
              <w:t>0.3</w:t>
            </w:r>
          </w:p>
        </w:tc>
        <w:tc>
          <w:tcPr>
            <w:tcW w:type="dxa" w:w="1434"/>
          </w:tcPr>
          <w:p>
            <w:pPr>
              <w:spacing w:after="20" w:before="20" w:line="240" w:lineRule="auto"/>
            </w:pPr>
            <w:r/>
            <w:r>
              <w:rPr>
                <w:sz w:val="18"/>
              </w:rPr>
              <w:t>October 2026</w:t>
            </w:r>
          </w:p>
        </w:tc>
        <w:tc>
          <w:tcPr>
            <w:tcW w:type="dxa" w:w="1721"/>
          </w:tcPr>
          <w:p>
            <w:pPr>
              <w:spacing w:after="20" w:before="20" w:line="240" w:lineRule="auto"/>
            </w:pPr>
            <w:r/>
            <w:r>
              <w:rPr>
                <w:sz w:val="18"/>
              </w:rPr>
              <w:t>Ethan Mugire</w:t>
            </w:r>
          </w:p>
        </w:tc>
        <w:tc>
          <w:tcPr>
            <w:tcW w:type="dxa" w:w="1721"/>
          </w:tcPr>
          <w:p>
            <w:pPr>
              <w:spacing w:after="20" w:before="20" w:line="240" w:lineRule="auto"/>
            </w:pPr>
            <w:r/>
            <w:r>
              <w:rPr>
                <w:sz w:val="18"/>
              </w:rPr>
              <w:t>Officer, Data Science</w:t>
            </w:r>
          </w:p>
        </w:tc>
        <w:tc>
          <w:tcPr>
            <w:tcW w:type="dxa" w:w="4015"/>
          </w:tcPr>
          <w:p>
            <w:pPr>
              <w:spacing w:after="20" w:before="20" w:line="240" w:lineRule="auto"/>
            </w:pPr>
            <w:r/>
            <w:r>
              <w:rPr>
                <w:sz w:val="18"/>
              </w:rPr>
              <w:t>Round 2 (Part 7): the two-track design, data since 2014 through the long run, performance measured per check, nine years of validation, three years of history with recent years counting more, Track B results and the blind review. Open questions moved to Part 8 and updated (decisions 57 to 95).</w:t>
            </w:r>
          </w:p>
        </w:tc>
      </w:tr>
    </w:tbl>
    <w:p>
      <w:pPr>
        <w:spacing w:after="40"/>
      </w:pPr>
    </w:p>
    <w:p>
      <w:pPr>
        <w:pStyle w:val="Caption"/>
      </w:pPr>
      <w:r>
        <w:t xml:space="preserve">Table </w:t>
      </w:r>
      <w:r>
        <w:fldChar w:fldCharType="begin"/>
      </w:r>
      <w:r>
        <w:instrText xml:space="preserve"> SEQ Table \* ARABIC </w:instrText>
      </w:r>
      <w:r>
        <w:fldChar w:fldCharType="separate"/>
      </w:r>
      <w:r>
        <w:t>3</w:t>
      </w:r>
      <w:r>
        <w:fldChar w:fldCharType="end"/>
      </w:r>
      <w:r>
        <w:t>: Document Reviewers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868"/>
            <w:shd w:val="clear" w:color="auto" w:fill="D9E2F3"/>
          </w:tcPr>
          <w:p>
            <w:pPr>
              <w:spacing w:after="20" w:before="20" w:line="240" w:lineRule="auto"/>
            </w:pPr>
            <w:r/>
            <w:r>
              <w:rPr>
                <w:b/>
                <w:sz w:val="18"/>
              </w:rPr>
              <w:t>Name</w:t>
            </w:r>
          </w:p>
        </w:tc>
        <w:tc>
          <w:tcPr>
            <w:tcW w:type="dxa" w:w="4015"/>
            <w:shd w:val="clear" w:color="auto" w:fill="D9E2F3"/>
          </w:tcPr>
          <w:p>
            <w:pPr>
              <w:spacing w:after="20" w:before="20" w:line="240" w:lineRule="auto"/>
            </w:pPr>
            <w:r/>
            <w:r>
              <w:rPr>
                <w:b/>
                <w:sz w:val="18"/>
              </w:rPr>
              <w:t>Role</w:t>
            </w:r>
          </w:p>
        </w:tc>
        <w:tc>
          <w:tcPr>
            <w:tcW w:type="dxa" w:w="1721"/>
            <w:shd w:val="clear" w:color="auto" w:fill="D9E2F3"/>
          </w:tcPr>
          <w:p>
            <w:pPr>
              <w:spacing w:after="20" w:before="20" w:line="240" w:lineRule="auto"/>
            </w:pPr>
            <w:r/>
            <w:r>
              <w:rPr>
                <w:b/>
                <w:sz w:val="18"/>
              </w:rPr>
              <w:t>Signature</w:t>
            </w:r>
          </w:p>
        </w:tc>
        <w:tc>
          <w:tcPr>
            <w:tcW w:type="dxa" w:w="1147"/>
            <w:shd w:val="clear" w:color="auto" w:fill="D9E2F3"/>
          </w:tcPr>
          <w:p>
            <w:pPr>
              <w:spacing w:after="20" w:before="20" w:line="240" w:lineRule="auto"/>
            </w:pPr>
            <w:r/>
            <w:r>
              <w:rPr>
                <w:b/>
                <w:sz w:val="18"/>
              </w:rPr>
              <w:t>Date</w:t>
            </w:r>
          </w:p>
        </w:tc>
      </w:tr>
      <w:tr>
        <w:tc>
          <w:tcPr>
            <w:tcW w:type="dxa" w:w="2868"/>
          </w:tcPr>
          <w:p>
            <w:pPr>
              <w:spacing w:after="20" w:before="20" w:line="240" w:lineRule="auto"/>
            </w:pPr>
            <w:r/>
            <w:r>
              <w:rPr>
                <w:sz w:val="18"/>
              </w:rPr>
              <w:t>Stella Kwera Kisuze</w:t>
            </w:r>
          </w:p>
        </w:tc>
        <w:tc>
          <w:tcPr>
            <w:tcW w:type="dxa" w:w="4015"/>
          </w:tcPr>
          <w:p>
            <w:pPr>
              <w:spacing w:after="20" w:before="20" w:line="240" w:lineRule="auto"/>
            </w:pPr>
            <w:r/>
            <w:r>
              <w:rPr>
                <w:sz w:val="18"/>
              </w:rPr>
              <w:t>Supervisor, Data Science</w:t>
            </w:r>
          </w:p>
        </w:tc>
        <w:tc>
          <w:tcPr>
            <w:tcW w:type="dxa" w:w="1721"/>
          </w:tcPr>
          <w:p>
            <w:pPr>
              <w:spacing w:after="20" w:before="20" w:line="240" w:lineRule="auto"/>
            </w:pPr>
            <w:r/>
          </w:p>
        </w:tc>
        <w:tc>
          <w:tcPr>
            <w:tcW w:type="dxa" w:w="1147"/>
          </w:tcPr>
          <w:p>
            <w:pPr>
              <w:spacing w:after="20" w:before="20" w:line="240" w:lineRule="auto"/>
            </w:pPr>
            <w:r/>
          </w:p>
        </w:tc>
      </w:tr>
      <w:tr>
        <w:tc>
          <w:tcPr>
            <w:tcW w:type="dxa" w:w="2868"/>
          </w:tcPr>
          <w:p>
            <w:pPr>
              <w:spacing w:after="20" w:before="20" w:line="240" w:lineRule="auto"/>
            </w:pPr>
            <w:r/>
            <w:r>
              <w:rPr>
                <w:sz w:val="18"/>
              </w:rPr>
              <w:t>Judith Phionah Kembabazi</w:t>
            </w:r>
          </w:p>
        </w:tc>
        <w:tc>
          <w:tcPr>
            <w:tcW w:type="dxa" w:w="4015"/>
          </w:tcPr>
          <w:p>
            <w:pPr>
              <w:spacing w:after="20" w:before="20" w:line="240" w:lineRule="auto"/>
            </w:pPr>
            <w:r/>
            <w:r>
              <w:rPr>
                <w:sz w:val="18"/>
              </w:rPr>
              <w:t>Supervisor, National Targeting Centre</w:t>
            </w:r>
          </w:p>
        </w:tc>
        <w:tc>
          <w:tcPr>
            <w:tcW w:type="dxa" w:w="1721"/>
          </w:tcPr>
          <w:p>
            <w:pPr>
              <w:spacing w:after="20" w:before="20" w:line="240" w:lineRule="auto"/>
            </w:pPr>
            <w:r/>
          </w:p>
        </w:tc>
        <w:tc>
          <w:tcPr>
            <w:tcW w:type="dxa" w:w="1147"/>
          </w:tcPr>
          <w:p>
            <w:pPr>
              <w:spacing w:after="20" w:before="20" w:line="240" w:lineRule="auto"/>
            </w:pPr>
            <w:r/>
          </w:p>
        </w:tc>
      </w:tr>
      <w:tr>
        <w:tc>
          <w:tcPr>
            <w:tcW w:type="dxa" w:w="2868"/>
          </w:tcPr>
          <w:p>
            <w:pPr>
              <w:spacing w:after="20" w:before="20" w:line="240" w:lineRule="auto"/>
            </w:pPr>
            <w:r/>
            <w:r>
              <w:rPr>
                <w:sz w:val="18"/>
              </w:rPr>
              <w:t>Denis Lutaaya</w:t>
            </w:r>
          </w:p>
        </w:tc>
        <w:tc>
          <w:tcPr>
            <w:tcW w:type="dxa" w:w="4015"/>
          </w:tcPr>
          <w:p>
            <w:pPr>
              <w:spacing w:after="20" w:before="20" w:line="240" w:lineRule="auto"/>
            </w:pPr>
            <w:r/>
            <w:r>
              <w:rPr>
                <w:sz w:val="18"/>
              </w:rPr>
              <w:t>Manager, National Targeting Centre</w:t>
            </w:r>
          </w:p>
        </w:tc>
        <w:tc>
          <w:tcPr>
            <w:tcW w:type="dxa" w:w="1721"/>
          </w:tcPr>
          <w:p>
            <w:pPr>
              <w:spacing w:after="20" w:before="20" w:line="240" w:lineRule="auto"/>
            </w:pPr>
            <w:r/>
          </w:p>
        </w:tc>
        <w:tc>
          <w:tcPr>
            <w:tcW w:type="dxa" w:w="1147"/>
          </w:tcPr>
          <w:p>
            <w:pPr>
              <w:spacing w:after="20" w:before="20" w:line="240" w:lineRule="auto"/>
            </w:pPr>
            <w:r/>
          </w:p>
        </w:tc>
      </w:tr>
    </w:tbl>
    <w:p>
      <w:pPr>
        <w:spacing w:after="40"/>
      </w:pPr>
    </w:p>
    <w:p>
      <w:pPr>
        <w:pStyle w:val="Caption"/>
      </w:pPr>
      <w:r>
        <w:t xml:space="preserve">Table </w:t>
      </w:r>
      <w:r>
        <w:fldChar w:fldCharType="begin"/>
      </w:r>
      <w:r>
        <w:instrText xml:space="preserve"> SEQ Table \* ARABIC </w:instrText>
      </w:r>
      <w:r>
        <w:fldChar w:fldCharType="separate"/>
      </w:r>
      <w:r>
        <w:t>4</w:t>
      </w:r>
      <w:r>
        <w:fldChar w:fldCharType="end"/>
      </w:r>
      <w:r>
        <w:t>: Document Approvals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868"/>
            <w:shd w:val="clear" w:color="auto" w:fill="D9E2F3"/>
          </w:tcPr>
          <w:p>
            <w:pPr>
              <w:spacing w:after="20" w:before="20" w:line="240" w:lineRule="auto"/>
            </w:pPr>
            <w:r/>
            <w:r>
              <w:rPr>
                <w:b/>
                <w:sz w:val="18"/>
              </w:rPr>
              <w:t>Name</w:t>
            </w:r>
          </w:p>
        </w:tc>
        <w:tc>
          <w:tcPr>
            <w:tcW w:type="dxa" w:w="4015"/>
            <w:shd w:val="clear" w:color="auto" w:fill="D9E2F3"/>
          </w:tcPr>
          <w:p>
            <w:pPr>
              <w:spacing w:after="20" w:before="20" w:line="240" w:lineRule="auto"/>
            </w:pPr>
            <w:r/>
            <w:r>
              <w:rPr>
                <w:b/>
                <w:sz w:val="18"/>
              </w:rPr>
              <w:t>Role</w:t>
            </w:r>
          </w:p>
        </w:tc>
        <w:tc>
          <w:tcPr>
            <w:tcW w:type="dxa" w:w="1721"/>
            <w:shd w:val="clear" w:color="auto" w:fill="D9E2F3"/>
          </w:tcPr>
          <w:p>
            <w:pPr>
              <w:spacing w:after="20" w:before="20" w:line="240" w:lineRule="auto"/>
            </w:pPr>
            <w:r/>
            <w:r>
              <w:rPr>
                <w:b/>
                <w:sz w:val="18"/>
              </w:rPr>
              <w:t>Signature</w:t>
            </w:r>
          </w:p>
        </w:tc>
        <w:tc>
          <w:tcPr>
            <w:tcW w:type="dxa" w:w="1147"/>
            <w:shd w:val="clear" w:color="auto" w:fill="D9E2F3"/>
          </w:tcPr>
          <w:p>
            <w:pPr>
              <w:spacing w:after="20" w:before="20" w:line="240" w:lineRule="auto"/>
            </w:pPr>
            <w:r/>
            <w:r>
              <w:rPr>
                <w:b/>
                <w:sz w:val="18"/>
              </w:rPr>
              <w:t>Date</w:t>
            </w:r>
          </w:p>
        </w:tc>
      </w:tr>
      <w:tr>
        <w:tc>
          <w:tcPr>
            <w:tcW w:type="dxa" w:w="2868"/>
          </w:tcPr>
          <w:p>
            <w:pPr>
              <w:spacing w:after="20" w:before="20" w:line="240" w:lineRule="auto"/>
            </w:pPr>
            <w:r/>
            <w:r>
              <w:rPr>
                <w:sz w:val="18"/>
              </w:rPr>
              <w:t>Kevin Mugumya</w:t>
            </w:r>
          </w:p>
        </w:tc>
        <w:tc>
          <w:tcPr>
            <w:tcW w:type="dxa" w:w="4015"/>
          </w:tcPr>
          <w:p>
            <w:pPr>
              <w:spacing w:after="20" w:before="20" w:line="240" w:lineRule="auto"/>
            </w:pPr>
            <w:r/>
            <w:r>
              <w:rPr>
                <w:sz w:val="18"/>
              </w:rPr>
              <w:t>Manager, Data Science</w:t>
            </w:r>
          </w:p>
        </w:tc>
        <w:tc>
          <w:tcPr>
            <w:tcW w:type="dxa" w:w="1721"/>
          </w:tcPr>
          <w:p>
            <w:pPr>
              <w:spacing w:after="20" w:before="20" w:line="240" w:lineRule="auto"/>
            </w:pPr>
            <w:r/>
          </w:p>
        </w:tc>
        <w:tc>
          <w:tcPr>
            <w:tcW w:type="dxa" w:w="1147"/>
          </w:tcPr>
          <w:p>
            <w:pPr>
              <w:spacing w:after="20" w:before="20" w:line="240" w:lineRule="auto"/>
            </w:pPr>
            <w:r/>
          </w:p>
        </w:tc>
      </w:tr>
      <w:tr>
        <w:tc>
          <w:tcPr>
            <w:tcW w:type="dxa" w:w="2868"/>
          </w:tcPr>
          <w:p>
            <w:pPr>
              <w:spacing w:after="20" w:before="20" w:line="240" w:lineRule="auto"/>
            </w:pPr>
            <w:r/>
            <w:r>
              <w:rPr>
                <w:sz w:val="18"/>
              </w:rPr>
              <w:t>Nelson Keikara</w:t>
            </w:r>
          </w:p>
        </w:tc>
        <w:tc>
          <w:tcPr>
            <w:tcW w:type="dxa" w:w="4015"/>
          </w:tcPr>
          <w:p>
            <w:pPr>
              <w:spacing w:after="20" w:before="20" w:line="240" w:lineRule="auto"/>
            </w:pPr>
            <w:r/>
            <w:r>
              <w:rPr>
                <w:sz w:val="18"/>
              </w:rPr>
              <w:t>Assistant Commissioner, Data, Innovations and Projects</w:t>
            </w:r>
          </w:p>
        </w:tc>
        <w:tc>
          <w:tcPr>
            <w:tcW w:type="dxa" w:w="1721"/>
          </w:tcPr>
          <w:p>
            <w:pPr>
              <w:spacing w:after="20" w:before="20" w:line="240" w:lineRule="auto"/>
            </w:pPr>
            <w:r/>
          </w:p>
        </w:tc>
        <w:tc>
          <w:tcPr>
            <w:tcW w:type="dxa" w:w="1147"/>
          </w:tcPr>
          <w:p>
            <w:pPr>
              <w:spacing w:after="20" w:before="20" w:line="240" w:lineRule="auto"/>
            </w:pPr>
            <w:r/>
          </w:p>
        </w:tc>
      </w:tr>
      <w:tr>
        <w:tc>
          <w:tcPr>
            <w:tcW w:type="dxa" w:w="2868"/>
          </w:tcPr>
          <w:p>
            <w:pPr>
              <w:spacing w:after="20" w:before="20" w:line="240" w:lineRule="auto"/>
            </w:pPr>
            <w:r/>
            <w:r>
              <w:rPr>
                <w:sz w:val="18"/>
              </w:rPr>
              <w:t>James Malinzi</w:t>
            </w:r>
          </w:p>
        </w:tc>
        <w:tc>
          <w:tcPr>
            <w:tcW w:type="dxa" w:w="4015"/>
          </w:tcPr>
          <w:p>
            <w:pPr>
              <w:spacing w:after="20" w:before="20" w:line="240" w:lineRule="auto"/>
            </w:pPr>
            <w:r/>
            <w:r>
              <w:rPr>
                <w:sz w:val="18"/>
              </w:rPr>
              <w:t>Assistant Commissioner, Customs Risk Management</w:t>
            </w:r>
          </w:p>
        </w:tc>
        <w:tc>
          <w:tcPr>
            <w:tcW w:type="dxa" w:w="1721"/>
          </w:tcPr>
          <w:p>
            <w:pPr>
              <w:spacing w:after="20" w:before="20" w:line="240" w:lineRule="auto"/>
            </w:pPr>
            <w:r/>
          </w:p>
        </w:tc>
        <w:tc>
          <w:tcPr>
            <w:tcW w:type="dxa" w:w="1147"/>
          </w:tcPr>
          <w:p>
            <w:pPr>
              <w:spacing w:after="20" w:before="20" w:line="240" w:lineRule="auto"/>
            </w:pPr>
            <w:r/>
          </w:p>
        </w:tc>
      </w:tr>
    </w:tbl>
    <w:p>
      <w:pPr>
        <w:spacing w:after="40"/>
      </w:pPr>
    </w:p>
    <w:p>
      <w:pPr>
        <w:pStyle w:val="Heading2"/>
      </w:pPr>
      <w:r>
        <w:t>Distribution</w:t>
      </w:r>
    </w:p>
    <w:p>
      <w:pPr>
        <w:spacing w:after="120"/>
      </w:pPr>
      <w:r>
        <w:t>This record was prepared by the Data Science Section under the Data, Innovations and Projects (DIP) Division of the Information Technology and Innovation Department (ITID). It is the reference for why the Customs Taxpayer Risk Profiling Model is built the way it is: every decision taken during release 1, the reason for it, and the evidence behind it. It is meant to be read with the model code, the working notebook and the decision log kept beside the code.</w:t>
      </w:r>
    </w:p>
    <w:p>
      <w:pPr>
        <w:pStyle w:val="Caption"/>
      </w:pPr>
      <w:r>
        <w:t xml:space="preserve">Table </w:t>
      </w:r>
      <w:r>
        <w:fldChar w:fldCharType="begin"/>
      </w:r>
      <w:r>
        <w:instrText xml:space="preserve"> SEQ Table \* ARABIC </w:instrText>
      </w:r>
      <w:r>
        <w:fldChar w:fldCharType="separate"/>
      </w:r>
      <w:r>
        <w:t>5</w:t>
      </w:r>
      <w:r>
        <w:fldChar w:fldCharType="end"/>
      </w:r>
      <w:r>
        <w:t>: Audience for Internal Distribution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868"/>
            <w:shd w:val="clear" w:color="auto" w:fill="D9E2F3"/>
          </w:tcPr>
          <w:p>
            <w:pPr>
              <w:spacing w:after="20" w:before="20" w:line="240" w:lineRule="auto"/>
            </w:pPr>
            <w:r/>
            <w:r>
              <w:rPr>
                <w:b/>
                <w:sz w:val="18"/>
              </w:rPr>
              <w:t>Audience</w:t>
            </w:r>
          </w:p>
        </w:tc>
        <w:tc>
          <w:tcPr>
            <w:tcW w:type="dxa" w:w="6883"/>
            <w:shd w:val="clear" w:color="auto" w:fill="D9E2F3"/>
          </w:tcPr>
          <w:p>
            <w:pPr>
              <w:spacing w:after="20" w:before="20" w:line="240" w:lineRule="auto"/>
            </w:pPr>
            <w:r/>
            <w:r>
              <w:rPr>
                <w:b/>
                <w:sz w:val="18"/>
              </w:rPr>
              <w:t>Primary Use</w:t>
            </w:r>
          </w:p>
        </w:tc>
      </w:tr>
      <w:tr>
        <w:tc>
          <w:tcPr>
            <w:tcW w:type="dxa" w:w="2868"/>
          </w:tcPr>
          <w:p>
            <w:pPr>
              <w:spacing w:after="20" w:before="20" w:line="240" w:lineRule="auto"/>
            </w:pPr>
            <w:r/>
            <w:r>
              <w:rPr>
                <w:sz w:val="18"/>
              </w:rPr>
              <w:t>Data Science</w:t>
            </w:r>
          </w:p>
        </w:tc>
        <w:tc>
          <w:tcPr>
            <w:tcW w:type="dxa" w:w="6883"/>
          </w:tcPr>
          <w:p>
            <w:pPr>
              <w:spacing w:after="20" w:before="20" w:line="240" w:lineRule="auto"/>
            </w:pPr>
            <w:r/>
            <w:r>
              <w:rPr>
                <w:sz w:val="18"/>
              </w:rPr>
              <w:t>Reference for the design, the evidence behind each setting, and how to change it safely.</w:t>
            </w:r>
          </w:p>
        </w:tc>
      </w:tr>
      <w:tr>
        <w:tc>
          <w:tcPr>
            <w:tcW w:type="dxa" w:w="2868"/>
          </w:tcPr>
          <w:p>
            <w:pPr>
              <w:spacing w:after="20" w:before="20" w:line="240" w:lineRule="auto"/>
            </w:pPr>
            <w:r/>
            <w:r>
              <w:rPr>
                <w:sz w:val="18"/>
              </w:rPr>
              <w:t>Customs Risk Management and the National Targeting Centre</w:t>
            </w:r>
          </w:p>
        </w:tc>
        <w:tc>
          <w:tcPr>
            <w:tcW w:type="dxa" w:w="6883"/>
          </w:tcPr>
          <w:p>
            <w:pPr>
              <w:spacing w:after="20" w:before="20" w:line="240" w:lineRule="auto"/>
            </w:pPr>
            <w:r/>
            <w:r>
              <w:rPr>
                <w:sz w:val="18"/>
              </w:rPr>
              <w:t>Review of the parameters, thresholds, bands and reason wording; the open questions in Part 8 need their answers.</w:t>
            </w:r>
          </w:p>
        </w:tc>
      </w:tr>
      <w:tr>
        <w:tc>
          <w:tcPr>
            <w:tcW w:type="dxa" w:w="2868"/>
          </w:tcPr>
          <w:p>
            <w:pPr>
              <w:spacing w:after="20" w:before="20" w:line="240" w:lineRule="auto"/>
            </w:pPr>
            <w:r/>
            <w:r>
              <w:rPr>
                <w:sz w:val="18"/>
              </w:rPr>
              <w:t>Data Engineering</w:t>
            </w:r>
          </w:p>
        </w:tc>
        <w:tc>
          <w:tcPr>
            <w:tcW w:type="dxa" w:w="6883"/>
          </w:tcPr>
          <w:p>
            <w:pPr>
              <w:spacing w:after="20" w:before="20" w:line="240" w:lineRule="auto"/>
            </w:pPr>
            <w:r/>
            <w:r>
              <w:rPr>
                <w:sz w:val="18"/>
              </w:rPr>
              <w:t>The source view, the cleaning rules and the extract query the model depends on.</w:t>
            </w:r>
          </w:p>
        </w:tc>
      </w:tr>
      <w:tr>
        <w:tc>
          <w:tcPr>
            <w:tcW w:type="dxa" w:w="2868"/>
          </w:tcPr>
          <w:p>
            <w:pPr>
              <w:spacing w:after="20" w:before="20" w:line="240" w:lineRule="auto"/>
            </w:pPr>
            <w:r/>
            <w:r>
              <w:rPr>
                <w:sz w:val="18"/>
              </w:rPr>
              <w:t>Data Governance and Internal Audit</w:t>
            </w:r>
          </w:p>
        </w:tc>
        <w:tc>
          <w:tcPr>
            <w:tcW w:type="dxa" w:w="6883"/>
          </w:tcPr>
          <w:p>
            <w:pPr>
              <w:spacing w:after="20" w:before="20" w:line="240" w:lineRule="auto"/>
            </w:pPr>
            <w:r/>
            <w:r>
              <w:rPr>
                <w:sz w:val="18"/>
              </w:rPr>
              <w:t>Traceability: every score carries a model version and a settings fingerprint that this record explains.</w:t>
            </w:r>
          </w:p>
        </w:tc>
      </w:tr>
    </w:tbl>
    <w:p>
      <w:pPr>
        <w:spacing w:after="40"/>
      </w:pPr>
    </w:p>
    <w:p>
      <w:r>
        <w:br w:type="page"/>
      </w:r>
    </w:p>
    <w:p>
      <w:pPr>
        <w:pStyle w:val="TOCHeading"/>
      </w:pPr>
      <w:r>
        <w:t>Table of Contents</w:t>
      </w:r>
    </w:p>
    <w:p>
      <w:r>
        <w:fldChar w:fldCharType="begin"/>
      </w:r>
      <w:r>
        <w:instrText xml:space="preserve"> TOC \o "1-3" \h \z \u </w:instrText>
      </w:r>
      <w:r>
        <w:fldChar w:fldCharType="separate"/>
      </w:r>
      <w:r>
        <w:t>Right-click here and choose Update Field to build the contents.</w:t>
      </w:r>
      <w:r>
        <w:fldChar w:fldCharType="end"/>
      </w:r>
    </w:p>
    <w:p>
      <w:r>
        <w:br w:type="page"/>
      </w:r>
    </w:p>
    <w:p>
      <w:pPr>
        <w:pStyle w:val="Heading1"/>
      </w:pPr>
      <w:r>
        <w:t>List of Tables</w:t>
      </w:r>
    </w:p>
    <w:p>
      <w:r>
        <w:fldChar w:fldCharType="begin"/>
      </w:r>
      <w:r>
        <w:instrText xml:space="preserve"> TOC \h \z \c "Table" </w:instrText>
      </w:r>
      <w:r>
        <w:fldChar w:fldCharType="separate"/>
      </w:r>
      <w:r>
        <w:t>Right-click here and choose Update Field to list the tables.</w:t>
      </w:r>
      <w:r>
        <w:fldChar w:fldCharType="end"/>
      </w:r>
    </w:p>
    <w:p>
      <w:pPr>
        <w:pStyle w:val="Heading1"/>
      </w:pPr>
      <w:r>
        <w:t>List of Figures</w:t>
      </w:r>
    </w:p>
    <w:p>
      <w:r>
        <w:fldChar w:fldCharType="begin"/>
      </w:r>
      <w:r>
        <w:instrText xml:space="preserve"> TOC \h \z \c "Figure" </w:instrText>
      </w:r>
      <w:r>
        <w:fldChar w:fldCharType="separate"/>
      </w:r>
      <w:r>
        <w:t>Right-click here and choose Update Field to list the figures.</w:t>
      </w:r>
      <w:r>
        <w:fldChar w:fldCharType="end"/>
      </w:r>
    </w:p>
    <w:p>
      <w:r>
        <w:br w:type="page"/>
      </w:r>
    </w:p>
    <w:p>
      <w:pPr>
        <w:pStyle w:val="Heading1"/>
      </w:pPr>
      <w:r>
        <w:t>List of Acronyms</w:t>
      </w:r>
    </w:p>
    <w:p>
      <w:pPr>
        <w:pStyle w:val="Caption"/>
      </w:pPr>
      <w:r>
        <w:t xml:space="preserve">Table </w:t>
      </w:r>
      <w:r>
        <w:fldChar w:fldCharType="begin"/>
      </w:r>
      <w:r>
        <w:instrText xml:space="preserve"> SEQ Table \* ARABIC </w:instrText>
      </w:r>
      <w:r>
        <w:fldChar w:fldCharType="separate"/>
      </w:r>
      <w:r>
        <w:t>6</w:t>
      </w:r>
      <w:r>
        <w:fldChar w:fldCharType="end"/>
      </w:r>
      <w:r>
        <w:t>: Acronyms and Terms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008"/>
            <w:shd w:val="clear" w:color="auto" w:fill="D9E2F3"/>
          </w:tcPr>
          <w:p>
            <w:pPr>
              <w:spacing w:after="20" w:before="20" w:line="240" w:lineRule="auto"/>
            </w:pPr>
            <w:r/>
            <w:r>
              <w:rPr>
                <w:b/>
                <w:sz w:val="18"/>
              </w:rPr>
              <w:t>Term</w:t>
            </w:r>
          </w:p>
        </w:tc>
        <w:tc>
          <w:tcPr>
            <w:tcW w:type="dxa" w:w="7744"/>
            <w:shd w:val="clear" w:color="auto" w:fill="D9E2F3"/>
          </w:tcPr>
          <w:p>
            <w:pPr>
              <w:spacing w:after="20" w:before="20" w:line="240" w:lineRule="auto"/>
            </w:pPr>
            <w:r/>
            <w:r>
              <w:rPr>
                <w:b/>
                <w:sz w:val="18"/>
              </w:rPr>
              <w:t>Meaning</w:t>
            </w:r>
          </w:p>
        </w:tc>
      </w:tr>
      <w:tr>
        <w:tc>
          <w:tcPr>
            <w:tcW w:type="dxa" w:w="2008"/>
          </w:tcPr>
          <w:p>
            <w:pPr>
              <w:spacing w:after="20" w:before="20" w:line="240" w:lineRule="auto"/>
            </w:pPr>
            <w:r/>
            <w:r>
              <w:rPr>
                <w:sz w:val="18"/>
              </w:rPr>
              <w:t>APC</w:t>
            </w:r>
          </w:p>
        </w:tc>
        <w:tc>
          <w:tcPr>
            <w:tcW w:type="dxa" w:w="7744"/>
          </w:tcPr>
          <w:p>
            <w:pPr>
              <w:spacing w:after="20" w:before="20" w:line="240" w:lineRule="auto"/>
            </w:pPr>
            <w:r/>
            <w:r>
              <w:rPr>
                <w:sz w:val="18"/>
              </w:rPr>
              <w:t>Additional Procedure Code: the last 3 digits of the CPC; claims a rebate or exemption</w:t>
            </w:r>
          </w:p>
        </w:tc>
      </w:tr>
      <w:tr>
        <w:tc>
          <w:tcPr>
            <w:tcW w:type="dxa" w:w="2008"/>
          </w:tcPr>
          <w:p>
            <w:pPr>
              <w:spacing w:after="20" w:before="20" w:line="240" w:lineRule="auto"/>
            </w:pPr>
            <w:r/>
            <w:r>
              <w:rPr>
                <w:sz w:val="18"/>
              </w:rPr>
              <w:t>ASYCUDA</w:t>
            </w:r>
          </w:p>
        </w:tc>
        <w:tc>
          <w:tcPr>
            <w:tcW w:type="dxa" w:w="7744"/>
          </w:tcPr>
          <w:p>
            <w:pPr>
              <w:spacing w:after="20" w:before="20" w:line="240" w:lineRule="auto"/>
            </w:pPr>
            <w:r/>
            <w:r>
              <w:rPr>
                <w:sz w:val="18"/>
              </w:rPr>
              <w:t>Automated System for Customs Data</w:t>
            </w:r>
          </w:p>
        </w:tc>
      </w:tr>
      <w:tr>
        <w:tc>
          <w:tcPr>
            <w:tcW w:type="dxa" w:w="2008"/>
          </w:tcPr>
          <w:p>
            <w:pPr>
              <w:spacing w:after="20" w:before="20" w:line="240" w:lineRule="auto"/>
            </w:pPr>
            <w:r/>
            <w:r>
              <w:rPr>
                <w:sz w:val="18"/>
              </w:rPr>
              <w:t>Back-test</w:t>
            </w:r>
          </w:p>
        </w:tc>
        <w:tc>
          <w:tcPr>
            <w:tcW w:type="dxa" w:w="7744"/>
          </w:tcPr>
          <w:p>
            <w:pPr>
              <w:spacing w:after="20" w:before="20" w:line="240" w:lineRule="auto"/>
            </w:pPr>
            <w:r/>
            <w:r>
              <w:rPr>
                <w:sz w:val="18"/>
              </w:rPr>
              <w:t>Scoring taxpayers as they stood at a past date and checking what happened next</w:t>
            </w:r>
          </w:p>
        </w:tc>
      </w:tr>
      <w:tr>
        <w:tc>
          <w:tcPr>
            <w:tcW w:type="dxa" w:w="2008"/>
          </w:tcPr>
          <w:p>
            <w:pPr>
              <w:spacing w:after="20" w:before="20" w:line="240" w:lineRule="auto"/>
            </w:pPr>
            <w:r/>
            <w:r>
              <w:rPr>
                <w:sz w:val="18"/>
              </w:rPr>
              <w:t>CPC</w:t>
            </w:r>
          </w:p>
        </w:tc>
        <w:tc>
          <w:tcPr>
            <w:tcW w:type="dxa" w:w="7744"/>
          </w:tcPr>
          <w:p>
            <w:pPr>
              <w:spacing w:after="20" w:before="20" w:line="240" w:lineRule="auto"/>
            </w:pPr>
            <w:r/>
            <w:r>
              <w:rPr>
                <w:sz w:val="18"/>
              </w:rPr>
              <w:t>Customs Procedure Code (EPC + APC)</w:t>
            </w:r>
          </w:p>
        </w:tc>
      </w:tr>
      <w:tr>
        <w:tc>
          <w:tcPr>
            <w:tcW w:type="dxa" w:w="2008"/>
          </w:tcPr>
          <w:p>
            <w:pPr>
              <w:spacing w:after="20" w:before="20" w:line="240" w:lineRule="auto"/>
            </w:pPr>
            <w:r/>
            <w:r>
              <w:rPr>
                <w:sz w:val="18"/>
              </w:rPr>
              <w:t>EPC</w:t>
            </w:r>
          </w:p>
        </w:tc>
        <w:tc>
          <w:tcPr>
            <w:tcW w:type="dxa" w:w="7744"/>
          </w:tcPr>
          <w:p>
            <w:pPr>
              <w:spacing w:after="20" w:before="20" w:line="240" w:lineRule="auto"/>
            </w:pPr>
            <w:r/>
            <w:r>
              <w:rPr>
                <w:sz w:val="18"/>
              </w:rPr>
              <w:t>Extended Procedure Code: the first 4 digits of the CPC</w:t>
            </w:r>
          </w:p>
        </w:tc>
      </w:tr>
      <w:tr>
        <w:tc>
          <w:tcPr>
            <w:tcW w:type="dxa" w:w="2008"/>
          </w:tcPr>
          <w:p>
            <w:pPr>
              <w:spacing w:after="20" w:before="20" w:line="240" w:lineRule="auto"/>
            </w:pPr>
            <w:r/>
            <w:r>
              <w:rPr>
                <w:sz w:val="18"/>
              </w:rPr>
              <w:t>HDBSCAN</w:t>
            </w:r>
          </w:p>
        </w:tc>
        <w:tc>
          <w:tcPr>
            <w:tcW w:type="dxa" w:w="7744"/>
          </w:tcPr>
          <w:p>
            <w:pPr>
              <w:spacing w:after="20" w:before="20" w:line="240" w:lineRule="auto"/>
            </w:pPr>
            <w:r/>
            <w:r>
              <w:rPr>
                <w:sz w:val="18"/>
              </w:rPr>
              <w:t>Hierarchical Density-Based Spatial Clustering of Applications with Noise</w:t>
            </w:r>
          </w:p>
        </w:tc>
      </w:tr>
      <w:tr>
        <w:tc>
          <w:tcPr>
            <w:tcW w:type="dxa" w:w="2008"/>
          </w:tcPr>
          <w:p>
            <w:pPr>
              <w:spacing w:after="20" w:before="20" w:line="240" w:lineRule="auto"/>
            </w:pPr>
            <w:r/>
            <w:r>
              <w:rPr>
                <w:sz w:val="18"/>
              </w:rPr>
              <w:t>Hit</w:t>
            </w:r>
          </w:p>
        </w:tc>
        <w:tc>
          <w:tcPr>
            <w:tcW w:type="dxa" w:w="7744"/>
          </w:tcPr>
          <w:p>
            <w:pPr>
              <w:spacing w:after="20" w:before="20" w:line="240" w:lineRule="auto"/>
            </w:pPr>
            <w:r/>
            <w:r>
              <w:rPr>
                <w:sz w:val="18"/>
              </w:rPr>
              <w:t>A red or yellow lane declaration that ended in a top-up</w:t>
            </w:r>
          </w:p>
        </w:tc>
      </w:tr>
      <w:tr>
        <w:tc>
          <w:tcPr>
            <w:tcW w:type="dxa" w:w="2008"/>
          </w:tcPr>
          <w:p>
            <w:pPr>
              <w:spacing w:after="20" w:before="20" w:line="240" w:lineRule="auto"/>
            </w:pPr>
            <w:r/>
            <w:r>
              <w:rPr>
                <w:sz w:val="18"/>
              </w:rPr>
              <w:t>Hit rate</w:t>
            </w:r>
          </w:p>
        </w:tc>
        <w:tc>
          <w:tcPr>
            <w:tcW w:type="dxa" w:w="7744"/>
          </w:tcPr>
          <w:p>
            <w:pPr>
              <w:spacing w:after="20" w:before="20" w:line="240" w:lineRule="auto"/>
            </w:pPr>
            <w:r/>
            <w:r>
              <w:rPr>
                <w:sz w:val="18"/>
              </w:rPr>
              <w:t>Hits divided by checked (red or yellow) declarations</w:t>
            </w:r>
          </w:p>
        </w:tc>
      </w:tr>
      <w:tr>
        <w:tc>
          <w:tcPr>
            <w:tcW w:type="dxa" w:w="2008"/>
          </w:tcPr>
          <w:p>
            <w:pPr>
              <w:spacing w:after="20" w:before="20" w:line="240" w:lineRule="auto"/>
            </w:pPr>
            <w:r/>
            <w:r>
              <w:rPr>
                <w:sz w:val="18"/>
              </w:rPr>
              <w:t>HS</w:t>
            </w:r>
          </w:p>
        </w:tc>
        <w:tc>
          <w:tcPr>
            <w:tcW w:type="dxa" w:w="7744"/>
          </w:tcPr>
          <w:p>
            <w:pPr>
              <w:spacing w:after="20" w:before="20" w:line="240" w:lineRule="auto"/>
            </w:pPr>
            <w:r/>
            <w:r>
              <w:rPr>
                <w:sz w:val="18"/>
              </w:rPr>
              <w:t>Harmonized System of commodity classification</w:t>
            </w:r>
          </w:p>
        </w:tc>
      </w:tr>
      <w:tr>
        <w:tc>
          <w:tcPr>
            <w:tcW w:type="dxa" w:w="2008"/>
          </w:tcPr>
          <w:p>
            <w:pPr>
              <w:spacing w:after="20" w:before="20" w:line="240" w:lineRule="auto"/>
            </w:pPr>
            <w:r/>
            <w:r>
              <w:rPr>
                <w:sz w:val="18"/>
              </w:rPr>
              <w:t>IM4, IM7</w:t>
            </w:r>
          </w:p>
        </w:tc>
        <w:tc>
          <w:tcPr>
            <w:tcW w:type="dxa" w:w="7744"/>
          </w:tcPr>
          <w:p>
            <w:pPr>
              <w:spacing w:after="20" w:before="20" w:line="240" w:lineRule="auto"/>
            </w:pPr>
            <w:r/>
            <w:r>
              <w:rPr>
                <w:sz w:val="18"/>
              </w:rPr>
              <w:t>Import for home use; import into a warehouse</w:t>
            </w:r>
          </w:p>
        </w:tc>
      </w:tr>
      <w:tr>
        <w:tc>
          <w:tcPr>
            <w:tcW w:type="dxa" w:w="2008"/>
          </w:tcPr>
          <w:p>
            <w:pPr>
              <w:spacing w:after="20" w:before="20" w:line="240" w:lineRule="auto"/>
            </w:pPr>
            <w:r/>
            <w:r>
              <w:rPr>
                <w:sz w:val="18"/>
              </w:rPr>
              <w:t>ITID</w:t>
            </w:r>
          </w:p>
        </w:tc>
        <w:tc>
          <w:tcPr>
            <w:tcW w:type="dxa" w:w="7744"/>
          </w:tcPr>
          <w:p>
            <w:pPr>
              <w:spacing w:after="20" w:before="20" w:line="240" w:lineRule="auto"/>
            </w:pPr>
            <w:r/>
            <w:r>
              <w:rPr>
                <w:sz w:val="18"/>
              </w:rPr>
              <w:t>Information Technology and Innovation Department</w:t>
            </w:r>
          </w:p>
        </w:tc>
      </w:tr>
      <w:tr>
        <w:tc>
          <w:tcPr>
            <w:tcW w:type="dxa" w:w="2008"/>
          </w:tcPr>
          <w:p>
            <w:pPr>
              <w:spacing w:after="20" w:before="20" w:line="240" w:lineRule="auto"/>
            </w:pPr>
            <w:r/>
            <w:r>
              <w:rPr>
                <w:sz w:val="18"/>
              </w:rPr>
              <w:t>L x I</w:t>
            </w:r>
          </w:p>
        </w:tc>
        <w:tc>
          <w:tcPr>
            <w:tcW w:type="dxa" w:w="7744"/>
          </w:tcPr>
          <w:p>
            <w:pPr>
              <w:spacing w:after="20" w:before="20" w:line="240" w:lineRule="auto"/>
            </w:pPr>
            <w:r/>
            <w:r>
              <w:rPr>
                <w:sz w:val="18"/>
              </w:rPr>
              <w:t>Likelihood times impact: the rating behind each parameter's weight</w:t>
            </w:r>
          </w:p>
        </w:tc>
      </w:tr>
      <w:tr>
        <w:tc>
          <w:tcPr>
            <w:tcW w:type="dxa" w:w="2008"/>
          </w:tcPr>
          <w:p>
            <w:pPr>
              <w:spacing w:after="20" w:before="20" w:line="240" w:lineRule="auto"/>
            </w:pPr>
            <w:r/>
            <w:r>
              <w:rPr>
                <w:sz w:val="18"/>
              </w:rPr>
              <w:t>Lift</w:t>
            </w:r>
          </w:p>
        </w:tc>
        <w:tc>
          <w:tcPr>
            <w:tcW w:type="dxa" w:w="7744"/>
          </w:tcPr>
          <w:p>
            <w:pPr>
              <w:spacing w:after="20" w:before="20" w:line="240" w:lineRule="auto"/>
            </w:pPr>
            <w:r/>
            <w:r>
              <w:rPr>
                <w:sz w:val="18"/>
              </w:rPr>
              <w:t>Hit rate of the model's top group divided by everyone's hit rate</w:t>
            </w:r>
          </w:p>
        </w:tc>
      </w:tr>
      <w:tr>
        <w:tc>
          <w:tcPr>
            <w:tcW w:type="dxa" w:w="2008"/>
          </w:tcPr>
          <w:p>
            <w:pPr>
              <w:spacing w:after="20" w:before="20" w:line="240" w:lineRule="auto"/>
            </w:pPr>
            <w:r/>
            <w:r>
              <w:rPr>
                <w:sz w:val="18"/>
              </w:rPr>
              <w:t>NTC</w:t>
            </w:r>
          </w:p>
        </w:tc>
        <w:tc>
          <w:tcPr>
            <w:tcW w:type="dxa" w:w="7744"/>
          </w:tcPr>
          <w:p>
            <w:pPr>
              <w:spacing w:after="20" w:before="20" w:line="240" w:lineRule="auto"/>
            </w:pPr>
            <w:r/>
            <w:r>
              <w:rPr>
                <w:sz w:val="18"/>
              </w:rPr>
              <w:t>National Targeting Centre</w:t>
            </w:r>
          </w:p>
        </w:tc>
      </w:tr>
      <w:tr>
        <w:tc>
          <w:tcPr>
            <w:tcW w:type="dxa" w:w="2008"/>
          </w:tcPr>
          <w:p>
            <w:pPr>
              <w:spacing w:after="20" w:before="20" w:line="240" w:lineRule="auto"/>
            </w:pPr>
            <w:r/>
            <w:r>
              <w:rPr>
                <w:sz w:val="18"/>
              </w:rPr>
              <w:t>PCA</w:t>
            </w:r>
          </w:p>
        </w:tc>
        <w:tc>
          <w:tcPr>
            <w:tcW w:type="dxa" w:w="7744"/>
          </w:tcPr>
          <w:p>
            <w:pPr>
              <w:spacing w:after="20" w:before="20" w:line="240" w:lineRule="auto"/>
            </w:pPr>
            <w:r/>
            <w:r>
              <w:rPr>
                <w:sz w:val="18"/>
              </w:rPr>
              <w:t>Principal Component Analysis</w:t>
            </w:r>
          </w:p>
        </w:tc>
      </w:tr>
      <w:tr>
        <w:tc>
          <w:tcPr>
            <w:tcW w:type="dxa" w:w="2008"/>
          </w:tcPr>
          <w:p>
            <w:pPr>
              <w:spacing w:after="20" w:before="20" w:line="240" w:lineRule="auto"/>
            </w:pPr>
            <w:r/>
            <w:r>
              <w:rPr>
                <w:sz w:val="18"/>
              </w:rPr>
              <w:t>Snapshot</w:t>
            </w:r>
          </w:p>
        </w:tc>
        <w:tc>
          <w:tcPr>
            <w:tcW w:type="dxa" w:w="7744"/>
          </w:tcPr>
          <w:p>
            <w:pPr>
              <w:spacing w:after="20" w:before="20" w:line="240" w:lineRule="auto"/>
            </w:pPr>
            <w:r/>
            <w:r>
              <w:rPr>
                <w:sz w:val="18"/>
              </w:rPr>
              <w:t>The date at which taxpayers are scored; features come from the 24 months before it</w:t>
            </w:r>
          </w:p>
        </w:tc>
      </w:tr>
      <w:tr>
        <w:tc>
          <w:tcPr>
            <w:tcW w:type="dxa" w:w="2008"/>
          </w:tcPr>
          <w:p>
            <w:pPr>
              <w:spacing w:after="20" w:before="20" w:line="240" w:lineRule="auto"/>
            </w:pPr>
            <w:r/>
            <w:r>
              <w:rPr>
                <w:sz w:val="18"/>
              </w:rPr>
              <w:t>TIN</w:t>
            </w:r>
          </w:p>
        </w:tc>
        <w:tc>
          <w:tcPr>
            <w:tcW w:type="dxa" w:w="7744"/>
          </w:tcPr>
          <w:p>
            <w:pPr>
              <w:spacing w:after="20" w:before="20" w:line="240" w:lineRule="auto"/>
            </w:pPr>
            <w:r/>
            <w:r>
              <w:rPr>
                <w:sz w:val="18"/>
              </w:rPr>
              <w:t>Taxpayer Identification Number</w:t>
            </w:r>
          </w:p>
        </w:tc>
      </w:tr>
      <w:tr>
        <w:tc>
          <w:tcPr>
            <w:tcW w:type="dxa" w:w="2008"/>
          </w:tcPr>
          <w:p>
            <w:pPr>
              <w:spacing w:after="20" w:before="20" w:line="240" w:lineRule="auto"/>
            </w:pPr>
            <w:r/>
            <w:r>
              <w:rPr>
                <w:sz w:val="18"/>
              </w:rPr>
              <w:t>Top-up</w:t>
            </w:r>
          </w:p>
        </w:tc>
        <w:tc>
          <w:tcPr>
            <w:tcW w:type="dxa" w:w="7744"/>
          </w:tcPr>
          <w:p>
            <w:pPr>
              <w:spacing w:after="20" w:before="20" w:line="240" w:lineRule="auto"/>
            </w:pPr>
            <w:r/>
            <w:r>
              <w:rPr>
                <w:sz w:val="18"/>
              </w:rPr>
              <w:t>Tax raised after assessment: flag Y and final tax above original tax</w:t>
            </w:r>
          </w:p>
        </w:tc>
      </w:tr>
      <w:tr>
        <w:tc>
          <w:tcPr>
            <w:tcW w:type="dxa" w:w="2008"/>
          </w:tcPr>
          <w:p>
            <w:pPr>
              <w:spacing w:after="20" w:before="20" w:line="240" w:lineRule="auto"/>
            </w:pPr>
            <w:r/>
            <w:r>
              <w:rPr>
                <w:sz w:val="18"/>
              </w:rPr>
              <w:t>UGX</w:t>
            </w:r>
          </w:p>
        </w:tc>
        <w:tc>
          <w:tcPr>
            <w:tcW w:type="dxa" w:w="7744"/>
          </w:tcPr>
          <w:p>
            <w:pPr>
              <w:spacing w:after="20" w:before="20" w:line="240" w:lineRule="auto"/>
            </w:pPr>
            <w:r/>
            <w:r>
              <w:rPr>
                <w:sz w:val="18"/>
              </w:rPr>
              <w:t>Uganda Shillings</w:t>
            </w:r>
          </w:p>
        </w:tc>
      </w:tr>
      <w:tr>
        <w:tc>
          <w:tcPr>
            <w:tcW w:type="dxa" w:w="2008"/>
          </w:tcPr>
          <w:p>
            <w:pPr>
              <w:spacing w:after="20" w:before="20" w:line="240" w:lineRule="auto"/>
            </w:pPr>
            <w:r/>
            <w:r>
              <w:rPr>
                <w:sz w:val="18"/>
              </w:rPr>
              <w:t>URA</w:t>
            </w:r>
          </w:p>
        </w:tc>
        <w:tc>
          <w:tcPr>
            <w:tcW w:type="dxa" w:w="7744"/>
          </w:tcPr>
          <w:p>
            <w:pPr>
              <w:spacing w:after="20" w:before="20" w:line="240" w:lineRule="auto"/>
            </w:pPr>
            <w:r/>
            <w:r>
              <w:rPr>
                <w:sz w:val="18"/>
              </w:rPr>
              <w:t>Uganda Revenue Authority</w:t>
            </w:r>
          </w:p>
        </w:tc>
      </w:tr>
      <w:tr>
        <w:tc>
          <w:tcPr>
            <w:tcW w:type="dxa" w:w="2008"/>
          </w:tcPr>
          <w:p>
            <w:pPr>
              <w:spacing w:after="20" w:before="20" w:line="240" w:lineRule="auto"/>
            </w:pPr>
            <w:r/>
            <w:r>
              <w:rPr>
                <w:sz w:val="18"/>
              </w:rPr>
              <w:t>WCO</w:t>
            </w:r>
          </w:p>
        </w:tc>
        <w:tc>
          <w:tcPr>
            <w:tcW w:type="dxa" w:w="7744"/>
          </w:tcPr>
          <w:p>
            <w:pPr>
              <w:spacing w:after="20" w:before="20" w:line="240" w:lineRule="auto"/>
            </w:pPr>
            <w:r/>
            <w:r>
              <w:rPr>
                <w:sz w:val="18"/>
              </w:rPr>
              <w:t>World Customs Organization</w:t>
            </w:r>
          </w:p>
        </w:tc>
      </w:tr>
    </w:tbl>
    <w:p>
      <w:pPr>
        <w:spacing w:after="40"/>
      </w:pPr>
    </w:p>
    <w:p>
      <w:pPr>
        <w:sectPr>
          <w:footerReference w:type="default" r:id="rId21"/>
          <w:headerReference w:type="default" r:id="rId24"/>
          <w:pgSz w:w="11906" w:h="16838" w:code="9"/>
          <w:pgMar w:top="1440" w:right="1077" w:bottom="1440" w:left="1077" w:header="706" w:footer="706" w:gutter="0"/>
          <w:cols w:space="720"/>
          <w:docGrid w:linePitch="360"/>
          <w:pgNumType w:fmt="lowerRoman" w:start="1"/>
        </w:sectPr>
      </w:pPr>
    </w:p>
    <w:p/>
    <w:p/>
    <w:p/>
    <w:p/>
    <w:p/>
    <w:p/>
    <w:p>
      <w:pPr>
        <w:pStyle w:val="Heading1"/>
      </w:pPr>
      <w:r>
        <w:t>PART 1: PURPOSE AND CONTEXT</w:t>
      </w:r>
    </w:p>
    <w:p>
      <w:pPr>
        <w:spacing w:after="120"/>
      </w:pPr>
      <w:r>
        <w:t>This part sets out what this record is for, what the model does in one page, the data it was built on, and the standard of evidence every decision in the later parts was held to.</w:t>
      </w:r>
    </w:p>
    <w:p>
      <w:r>
        <w:br w:type="page"/>
      </w:r>
    </w:p>
    <w:p>
      <w:pPr>
        <w:pStyle w:val="Heading2"/>
      </w:pPr>
      <w:r>
        <w:t>1.1 Purpose of this Record</w:t>
      </w:r>
    </w:p>
    <w:p>
      <w:pPr>
        <w:spacing w:after="120"/>
      </w:pPr>
      <w:r>
        <w:t>Release 1 of the Customs Taxpayer Risk Profiling Model was built in stages, and at each stage a choice was made between alternatives. This record keeps those choices in one place so that a reviewer can see, for each one, what was decided, why, and what evidence supported it. Decisions are numbered as in the decision log kept with the code (DECISIONS.md); Annex A lists all of them.</w:t>
      </w:r>
    </w:p>
    <w:p>
      <w:pPr>
        <w:pStyle w:val="Heading2"/>
      </w:pPr>
      <w:r>
        <w:t>1.2 The Model in Brief</w:t>
      </w:r>
    </w:p>
    <w:p>
      <w:pPr>
        <w:spacing w:after="120"/>
      </w:pPr>
      <w:r>
        <w:t>The model ranks every importer (IM4 and IM7) by compliance risk, using the last 24 months of their declarations. Each taxpayer receives a score from 0 to 100, a band from VERY LOW to VERY HIGH, up to three reasons in fixed wording, and notes on how much weight the score can bear. It has four layers.</w:t>
      </w:r>
    </w:p>
    <w:p>
      <w:pPr>
        <w:pStyle w:val="Caption"/>
      </w:pPr>
      <w:r>
        <w:t xml:space="preserve">Table </w:t>
      </w:r>
      <w:r>
        <w:fldChar w:fldCharType="begin"/>
      </w:r>
      <w:r>
        <w:instrText xml:space="preserve"> SEQ Table \* ARABIC </w:instrText>
      </w:r>
      <w:r>
        <w:fldChar w:fldCharType="separate"/>
      </w:r>
      <w:r>
        <w:t>7</w:t>
      </w:r>
      <w:r>
        <w:fldChar w:fldCharType="end"/>
      </w:r>
      <w:r>
        <w:t>: The Four Layers of the Model</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008"/>
            <w:shd w:val="clear" w:color="auto" w:fill="D9E2F3"/>
          </w:tcPr>
          <w:p>
            <w:pPr>
              <w:spacing w:after="20" w:before="20" w:line="240" w:lineRule="auto"/>
            </w:pPr>
            <w:r/>
            <w:r>
              <w:rPr>
                <w:b/>
                <w:sz w:val="18"/>
              </w:rPr>
              <w:t>Layer</w:t>
            </w:r>
          </w:p>
        </w:tc>
        <w:tc>
          <w:tcPr>
            <w:tcW w:type="dxa" w:w="5449"/>
            <w:shd w:val="clear" w:color="auto" w:fill="D9E2F3"/>
          </w:tcPr>
          <w:p>
            <w:pPr>
              <w:spacing w:after="20" w:before="20" w:line="240" w:lineRule="auto"/>
            </w:pPr>
            <w:r/>
            <w:r>
              <w:rPr>
                <w:b/>
                <w:sz w:val="18"/>
              </w:rPr>
              <w:t>What it does</w:t>
            </w:r>
          </w:p>
        </w:tc>
        <w:tc>
          <w:tcPr>
            <w:tcW w:type="dxa" w:w="2294"/>
            <w:shd w:val="clear" w:color="auto" w:fill="D9E2F3"/>
          </w:tcPr>
          <w:p>
            <w:pPr>
              <w:spacing w:after="20" w:before="20" w:line="240" w:lineRule="auto"/>
            </w:pPr>
            <w:r/>
            <w:r>
              <w:rPr>
                <w:b/>
                <w:sz w:val="18"/>
              </w:rPr>
              <w:t>Status</w:t>
            </w:r>
          </w:p>
        </w:tc>
      </w:tr>
      <w:tr>
        <w:tc>
          <w:tcPr>
            <w:tcW w:type="dxa" w:w="2008"/>
          </w:tcPr>
          <w:p>
            <w:pPr>
              <w:spacing w:after="20" w:before="20" w:line="240" w:lineRule="auto"/>
            </w:pPr>
            <w:r/>
            <w:r>
              <w:rPr>
                <w:sz w:val="18"/>
              </w:rPr>
              <w:t>L1 Peer groups</w:t>
            </w:r>
          </w:p>
        </w:tc>
        <w:tc>
          <w:tcPr>
            <w:tcW w:type="dxa" w:w="5449"/>
          </w:tcPr>
          <w:p>
            <w:pPr>
              <w:spacing w:after="20" w:before="20" w:line="240" w:lineRule="auto"/>
            </w:pPr>
            <w:r/>
            <w:r>
              <w:rPr>
                <w:sz w:val="18"/>
              </w:rPr>
              <w:t>Places each regular taxpayer (10 or more declarations) in a group of similar traders: main goods (HS section) x size tier</w:t>
            </w:r>
          </w:p>
        </w:tc>
        <w:tc>
          <w:tcPr>
            <w:tcW w:type="dxa" w:w="2294"/>
          </w:tcPr>
          <w:p>
            <w:pPr>
              <w:spacing w:after="20" w:before="20" w:line="240" w:lineRule="auto"/>
            </w:pPr>
            <w:r/>
            <w:r>
              <w:rPr>
                <w:sz w:val="18"/>
              </w:rPr>
              <w:t>Adopted (decisions 44, 45)</w:t>
            </w:r>
          </w:p>
        </w:tc>
      </w:tr>
      <w:tr>
        <w:tc>
          <w:tcPr>
            <w:tcW w:type="dxa" w:w="2008"/>
          </w:tcPr>
          <w:p>
            <w:pPr>
              <w:spacing w:after="20" w:before="20" w:line="240" w:lineRule="auto"/>
            </w:pPr>
            <w:r/>
            <w:r>
              <w:rPr>
                <w:sz w:val="18"/>
              </w:rPr>
              <w:t>L2 Scorecard</w:t>
            </w:r>
          </w:p>
        </w:tc>
        <w:tc>
          <w:tcPr>
            <w:tcW w:type="dxa" w:w="5449"/>
          </w:tcPr>
          <w:p>
            <w:pPr>
              <w:spacing w:after="20" w:before="20" w:line="240" w:lineRule="auto"/>
            </w:pPr>
            <w:r/>
            <w:r>
              <w:rPr>
                <w:sz w:val="18"/>
              </w:rPr>
              <w:t>Turns 8 agreed risk parameters into points that add up to at most 100</w:t>
            </w:r>
          </w:p>
        </w:tc>
        <w:tc>
          <w:tcPr>
            <w:tcW w:type="dxa" w:w="2294"/>
          </w:tcPr>
          <w:p>
            <w:pPr>
              <w:spacing w:after="20" w:before="20" w:line="240" w:lineRule="auto"/>
            </w:pPr>
            <w:r/>
            <w:r>
              <w:rPr>
                <w:sz w:val="18"/>
              </w:rPr>
              <w:t>Adopted (decision 41)</w:t>
            </w:r>
          </w:p>
        </w:tc>
      </w:tr>
      <w:tr>
        <w:tc>
          <w:tcPr>
            <w:tcW w:type="dxa" w:w="2008"/>
          </w:tcPr>
          <w:p>
            <w:pPr>
              <w:spacing w:after="20" w:before="20" w:line="240" w:lineRule="auto"/>
            </w:pPr>
            <w:r/>
            <w:r>
              <w:rPr>
                <w:sz w:val="18"/>
              </w:rPr>
              <w:t>L3 Pattern check</w:t>
            </w:r>
          </w:p>
        </w:tc>
        <w:tc>
          <w:tcPr>
            <w:tcW w:type="dxa" w:w="5449"/>
          </w:tcPr>
          <w:p>
            <w:pPr>
              <w:spacing w:after="20" w:before="20" w:line="240" w:lineRule="auto"/>
            </w:pPr>
            <w:r/>
            <w:r>
              <w:rPr>
                <w:sz w:val="18"/>
              </w:rPr>
              <w:t>Flags taxpayers whose overall trading pattern is unusual for their peer group</w:t>
            </w:r>
          </w:p>
        </w:tc>
        <w:tc>
          <w:tcPr>
            <w:tcW w:type="dxa" w:w="2294"/>
          </w:tcPr>
          <w:p>
            <w:pPr>
              <w:spacing w:after="20" w:before="20" w:line="240" w:lineRule="auto"/>
            </w:pPr>
            <w:r/>
            <w:r>
              <w:rPr>
                <w:sz w:val="18"/>
              </w:rPr>
              <w:t>A note, no points (decision 46)</w:t>
            </w:r>
          </w:p>
        </w:tc>
      </w:tr>
      <w:tr>
        <w:tc>
          <w:tcPr>
            <w:tcW w:type="dxa" w:w="2008"/>
          </w:tcPr>
          <w:p>
            <w:pPr>
              <w:spacing w:after="20" w:before="20" w:line="240" w:lineRule="auto"/>
            </w:pPr>
            <w:r/>
            <w:r>
              <w:rPr>
                <w:sz w:val="18"/>
              </w:rPr>
              <w:t>L4 Score and band</w:t>
            </w:r>
          </w:p>
        </w:tc>
        <w:tc>
          <w:tcPr>
            <w:tcW w:type="dxa" w:w="5449"/>
          </w:tcPr>
          <w:p>
            <w:pPr>
              <w:spacing w:after="20" w:before="20" w:line="240" w:lineRule="auto"/>
            </w:pPr>
            <w:r/>
            <w:r>
              <w:rPr>
                <w:sz w:val="18"/>
              </w:rPr>
              <w:t>Rounds the points and assigns a band; writes reasons and notes</w:t>
            </w:r>
          </w:p>
        </w:tc>
        <w:tc>
          <w:tcPr>
            <w:tcW w:type="dxa" w:w="2294"/>
          </w:tcPr>
          <w:p>
            <w:pPr>
              <w:spacing w:after="20" w:before="20" w:line="240" w:lineRule="auto"/>
            </w:pPr>
            <w:r/>
            <w:r>
              <w:rPr>
                <w:sz w:val="18"/>
              </w:rPr>
              <w:t>Bands provisional (Stage 7)</w:t>
            </w:r>
          </w:p>
        </w:tc>
      </w:tr>
    </w:tbl>
    <w:p>
      <w:pPr>
        <w:spacing w:after="40"/>
      </w:pPr>
    </w:p>
    <w:p>
      <w:pPr>
        <w:pStyle w:val="Heading2"/>
      </w:pPr>
      <w:r>
        <w:t>1.3 Data</w:t>
      </w:r>
    </w:p>
    <w:p>
      <w:pPr>
        <w:spacing w:after="120"/>
      </w:pPr>
      <w:r>
        <w:t xml:space="preserve">The model reads one view prepared by Data Engineering in the </w:t>
      </w:r>
      <w:r>
        <w:rPr>
          <w:rFonts w:ascii="Consolas" w:hAnsi="Consolas"/>
        </w:rPr>
        <w:t>dm_modeled_ura_datascience</w:t>
      </w:r>
      <w:r>
        <w:t xml:space="preserve"> schema (its name is in the query template), with one row per declaration item. A single SQL query (one per snapshot date) turns it into one row per taxpayer: features from the 24 months before the snapshot and outcomes from the 6 months after it.</w:t>
      </w:r>
    </w:p>
    <w:p>
      <w:pPr>
        <w:pStyle w:val="Caption"/>
      </w:pPr>
      <w:r>
        <w:t xml:space="preserve">Table </w:t>
      </w:r>
      <w:r>
        <w:fldChar w:fldCharType="begin"/>
      </w:r>
      <w:r>
        <w:instrText xml:space="preserve"> SEQ Table \* ARABIC </w:instrText>
      </w:r>
      <w:r>
        <w:fldChar w:fldCharType="separate"/>
      </w:r>
      <w:r>
        <w:t>8</w:t>
      </w:r>
      <w:r>
        <w:fldChar w:fldCharType="end"/>
      </w:r>
      <w:r>
        <w:t>: Extracts Used in Release 1</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2008"/>
            <w:shd w:val="clear" w:color="auto" w:fill="D9E2F3"/>
          </w:tcPr>
          <w:p>
            <w:pPr>
              <w:spacing w:after="20" w:before="20" w:line="240" w:lineRule="auto"/>
            </w:pPr>
            <w:r/>
            <w:r>
              <w:rPr>
                <w:b/>
                <w:sz w:val="18"/>
              </w:rPr>
              <w:t>Snapshot</w:t>
            </w:r>
          </w:p>
        </w:tc>
        <w:tc>
          <w:tcPr>
            <w:tcW w:type="dxa" w:w="1434"/>
            <w:shd w:val="clear" w:color="auto" w:fill="D9E2F3"/>
          </w:tcPr>
          <w:p>
            <w:pPr>
              <w:spacing w:after="20" w:before="20" w:line="240" w:lineRule="auto"/>
            </w:pPr>
            <w:r/>
            <w:r>
              <w:rPr>
                <w:b/>
                <w:sz w:val="18"/>
              </w:rPr>
              <w:t>Taxpayers</w:t>
            </w:r>
          </w:p>
        </w:tc>
        <w:tc>
          <w:tcPr>
            <w:tcW w:type="dxa" w:w="2294"/>
            <w:shd w:val="clear" w:color="auto" w:fill="D9E2F3"/>
          </w:tcPr>
          <w:p>
            <w:pPr>
              <w:spacing w:after="20" w:before="20" w:line="240" w:lineRule="auto"/>
            </w:pPr>
            <w:r/>
            <w:r>
              <w:rPr>
                <w:b/>
                <w:sz w:val="18"/>
              </w:rPr>
              <w:t>Declarations (24 months)</w:t>
            </w:r>
          </w:p>
        </w:tc>
        <w:tc>
          <w:tcPr>
            <w:tcW w:type="dxa" w:w="1721"/>
            <w:shd w:val="clear" w:color="auto" w:fill="D9E2F3"/>
          </w:tcPr>
          <w:p>
            <w:pPr>
              <w:spacing w:after="20" w:before="20" w:line="240" w:lineRule="auto"/>
            </w:pPr>
            <w:r/>
            <w:r>
              <w:rPr>
                <w:b/>
                <w:sz w:val="18"/>
              </w:rPr>
              <w:t>Share topped up</w:t>
            </w:r>
          </w:p>
        </w:tc>
        <w:tc>
          <w:tcPr>
            <w:tcW w:type="dxa" w:w="2294"/>
            <w:shd w:val="clear" w:color="auto" w:fill="D9E2F3"/>
          </w:tcPr>
          <w:p>
            <w:pPr>
              <w:spacing w:after="20" w:before="20" w:line="240" w:lineRule="auto"/>
            </w:pPr>
            <w:r/>
            <w:r>
              <w:rPr>
                <w:b/>
                <w:sz w:val="18"/>
              </w:rPr>
              <w:t>Hit rate in the 6 months after</w:t>
            </w:r>
          </w:p>
        </w:tc>
      </w:tr>
      <w:tr>
        <w:tc>
          <w:tcPr>
            <w:tcW w:type="dxa" w:w="2008"/>
          </w:tcPr>
          <w:p>
            <w:pPr>
              <w:spacing w:after="20" w:before="20" w:line="240" w:lineRule="auto"/>
            </w:pPr>
            <w:r/>
            <w:r>
              <w:rPr>
                <w:sz w:val="18"/>
              </w:rPr>
              <w:t>30 Sep 2023</w:t>
            </w:r>
          </w:p>
        </w:tc>
        <w:tc>
          <w:tcPr>
            <w:tcW w:type="dxa" w:w="1434"/>
          </w:tcPr>
          <w:p>
            <w:pPr>
              <w:spacing w:after="20" w:before="20" w:line="240" w:lineRule="auto"/>
            </w:pPr>
            <w:r/>
            <w:r>
              <w:rPr>
                <w:sz w:val="18"/>
              </w:rPr>
              <w:t>49,699</w:t>
            </w:r>
          </w:p>
        </w:tc>
        <w:tc>
          <w:tcPr>
            <w:tcW w:type="dxa" w:w="2294"/>
          </w:tcPr>
          <w:p>
            <w:pPr>
              <w:spacing w:after="20" w:before="20" w:line="240" w:lineRule="auto"/>
            </w:pPr>
            <w:r/>
            <w:r>
              <w:rPr>
                <w:sz w:val="18"/>
              </w:rPr>
              <w:t>967,757</w:t>
            </w:r>
          </w:p>
        </w:tc>
        <w:tc>
          <w:tcPr>
            <w:tcW w:type="dxa" w:w="1721"/>
          </w:tcPr>
          <w:p>
            <w:pPr>
              <w:spacing w:after="20" w:before="20" w:line="240" w:lineRule="auto"/>
            </w:pPr>
            <w:r/>
            <w:r>
              <w:rPr>
                <w:sz w:val="18"/>
              </w:rPr>
              <w:t>8.5%</w:t>
            </w:r>
          </w:p>
        </w:tc>
        <w:tc>
          <w:tcPr>
            <w:tcW w:type="dxa" w:w="2294"/>
          </w:tcPr>
          <w:p>
            <w:pPr>
              <w:spacing w:after="20" w:before="20" w:line="240" w:lineRule="auto"/>
            </w:pPr>
            <w:r/>
            <w:r>
              <w:rPr>
                <w:sz w:val="18"/>
              </w:rPr>
              <w:t>12.8%</w:t>
            </w:r>
          </w:p>
        </w:tc>
      </w:tr>
      <w:tr>
        <w:tc>
          <w:tcPr>
            <w:tcW w:type="dxa" w:w="2008"/>
          </w:tcPr>
          <w:p>
            <w:pPr>
              <w:spacing w:after="20" w:before="20" w:line="240" w:lineRule="auto"/>
            </w:pPr>
            <w:r/>
            <w:r>
              <w:rPr>
                <w:sz w:val="18"/>
              </w:rPr>
              <w:t>31 Mar 2024</w:t>
            </w:r>
          </w:p>
        </w:tc>
        <w:tc>
          <w:tcPr>
            <w:tcW w:type="dxa" w:w="1434"/>
          </w:tcPr>
          <w:p>
            <w:pPr>
              <w:spacing w:after="20" w:before="20" w:line="240" w:lineRule="auto"/>
            </w:pPr>
            <w:r/>
            <w:r>
              <w:rPr>
                <w:sz w:val="18"/>
              </w:rPr>
              <w:t>51,138</w:t>
            </w:r>
          </w:p>
        </w:tc>
        <w:tc>
          <w:tcPr>
            <w:tcW w:type="dxa" w:w="2294"/>
          </w:tcPr>
          <w:p>
            <w:pPr>
              <w:spacing w:after="20" w:before="20" w:line="240" w:lineRule="auto"/>
            </w:pPr>
            <w:r/>
            <w:r>
              <w:rPr>
                <w:sz w:val="18"/>
              </w:rPr>
              <w:t>996,507</w:t>
            </w:r>
          </w:p>
        </w:tc>
        <w:tc>
          <w:tcPr>
            <w:tcW w:type="dxa" w:w="1721"/>
          </w:tcPr>
          <w:p>
            <w:pPr>
              <w:spacing w:after="20" w:before="20" w:line="240" w:lineRule="auto"/>
            </w:pPr>
            <w:r/>
            <w:r>
              <w:rPr>
                <w:sz w:val="18"/>
              </w:rPr>
              <w:t>9.1%</w:t>
            </w:r>
          </w:p>
        </w:tc>
        <w:tc>
          <w:tcPr>
            <w:tcW w:type="dxa" w:w="2294"/>
          </w:tcPr>
          <w:p>
            <w:pPr>
              <w:spacing w:after="20" w:before="20" w:line="240" w:lineRule="auto"/>
            </w:pPr>
            <w:r/>
            <w:r>
              <w:rPr>
                <w:sz w:val="18"/>
              </w:rPr>
              <w:t>11.4%</w:t>
            </w:r>
          </w:p>
        </w:tc>
      </w:tr>
      <w:tr>
        <w:tc>
          <w:tcPr>
            <w:tcW w:type="dxa" w:w="2008"/>
          </w:tcPr>
          <w:p>
            <w:pPr>
              <w:spacing w:after="20" w:before="20" w:line="240" w:lineRule="auto"/>
            </w:pPr>
            <w:r/>
            <w:r>
              <w:rPr>
                <w:sz w:val="18"/>
              </w:rPr>
              <w:t>30 Sep 2024</w:t>
            </w:r>
          </w:p>
        </w:tc>
        <w:tc>
          <w:tcPr>
            <w:tcW w:type="dxa" w:w="1434"/>
          </w:tcPr>
          <w:p>
            <w:pPr>
              <w:spacing w:after="20" w:before="20" w:line="240" w:lineRule="auto"/>
            </w:pPr>
            <w:r/>
            <w:r>
              <w:rPr>
                <w:sz w:val="18"/>
              </w:rPr>
              <w:t>53,927</w:t>
            </w:r>
          </w:p>
        </w:tc>
        <w:tc>
          <w:tcPr>
            <w:tcW w:type="dxa" w:w="2294"/>
          </w:tcPr>
          <w:p>
            <w:pPr>
              <w:spacing w:after="20" w:before="20" w:line="240" w:lineRule="auto"/>
            </w:pPr>
            <w:r/>
            <w:r>
              <w:rPr>
                <w:sz w:val="18"/>
              </w:rPr>
              <w:t>1,032,038</w:t>
            </w:r>
          </w:p>
        </w:tc>
        <w:tc>
          <w:tcPr>
            <w:tcW w:type="dxa" w:w="1721"/>
          </w:tcPr>
          <w:p>
            <w:pPr>
              <w:spacing w:after="20" w:before="20" w:line="240" w:lineRule="auto"/>
            </w:pPr>
            <w:r/>
            <w:r>
              <w:rPr>
                <w:sz w:val="18"/>
              </w:rPr>
              <w:t>9.4%</w:t>
            </w:r>
          </w:p>
        </w:tc>
        <w:tc>
          <w:tcPr>
            <w:tcW w:type="dxa" w:w="2294"/>
          </w:tcPr>
          <w:p>
            <w:pPr>
              <w:spacing w:after="20" w:before="20" w:line="240" w:lineRule="auto"/>
            </w:pPr>
            <w:r/>
            <w:r>
              <w:rPr>
                <w:sz w:val="18"/>
              </w:rPr>
              <w:t>7.5%</w:t>
            </w:r>
          </w:p>
        </w:tc>
      </w:tr>
      <w:tr>
        <w:tc>
          <w:tcPr>
            <w:tcW w:type="dxa" w:w="2008"/>
          </w:tcPr>
          <w:p>
            <w:pPr>
              <w:spacing w:after="20" w:before="20" w:line="240" w:lineRule="auto"/>
            </w:pPr>
            <w:r/>
            <w:r>
              <w:rPr>
                <w:sz w:val="18"/>
              </w:rPr>
              <w:t>31 Mar 2025</w:t>
            </w:r>
          </w:p>
        </w:tc>
        <w:tc>
          <w:tcPr>
            <w:tcW w:type="dxa" w:w="1434"/>
          </w:tcPr>
          <w:p>
            <w:pPr>
              <w:spacing w:after="20" w:before="20" w:line="240" w:lineRule="auto"/>
            </w:pPr>
            <w:r/>
            <w:r>
              <w:rPr>
                <w:sz w:val="18"/>
              </w:rPr>
              <w:t>55,110</w:t>
            </w:r>
          </w:p>
        </w:tc>
        <w:tc>
          <w:tcPr>
            <w:tcW w:type="dxa" w:w="2294"/>
          </w:tcPr>
          <w:p>
            <w:pPr>
              <w:spacing w:after="20" w:before="20" w:line="240" w:lineRule="auto"/>
            </w:pPr>
            <w:r/>
            <w:r>
              <w:rPr>
                <w:sz w:val="18"/>
              </w:rPr>
              <w:t>1,076,894</w:t>
            </w:r>
          </w:p>
        </w:tc>
        <w:tc>
          <w:tcPr>
            <w:tcW w:type="dxa" w:w="1721"/>
          </w:tcPr>
          <w:p>
            <w:pPr>
              <w:spacing w:after="20" w:before="20" w:line="240" w:lineRule="auto"/>
            </w:pPr>
            <w:r/>
            <w:r>
              <w:rPr>
                <w:sz w:val="18"/>
              </w:rPr>
              <w:t>8.6%</w:t>
            </w:r>
          </w:p>
        </w:tc>
        <w:tc>
          <w:tcPr>
            <w:tcW w:type="dxa" w:w="2294"/>
          </w:tcPr>
          <w:p>
            <w:pPr>
              <w:spacing w:after="20" w:before="20" w:line="240" w:lineRule="auto"/>
            </w:pPr>
            <w:r/>
            <w:r>
              <w:rPr>
                <w:sz w:val="18"/>
              </w:rPr>
              <w:t>7.2%</w:t>
            </w:r>
          </w:p>
        </w:tc>
      </w:tr>
      <w:tr>
        <w:tc>
          <w:tcPr>
            <w:tcW w:type="dxa" w:w="2008"/>
          </w:tcPr>
          <w:p>
            <w:pPr>
              <w:spacing w:after="20" w:before="20" w:line="240" w:lineRule="auto"/>
            </w:pPr>
            <w:r/>
            <w:r>
              <w:rPr>
                <w:sz w:val="18"/>
              </w:rPr>
              <w:t>30 Sep 2025</w:t>
            </w:r>
          </w:p>
        </w:tc>
        <w:tc>
          <w:tcPr>
            <w:tcW w:type="dxa" w:w="1434"/>
          </w:tcPr>
          <w:p>
            <w:pPr>
              <w:spacing w:after="20" w:before="20" w:line="240" w:lineRule="auto"/>
            </w:pPr>
            <w:r/>
            <w:r>
              <w:rPr>
                <w:sz w:val="18"/>
              </w:rPr>
              <w:t>56,691</w:t>
            </w:r>
          </w:p>
        </w:tc>
        <w:tc>
          <w:tcPr>
            <w:tcW w:type="dxa" w:w="2294"/>
          </w:tcPr>
          <w:p>
            <w:pPr>
              <w:spacing w:after="20" w:before="20" w:line="240" w:lineRule="auto"/>
            </w:pPr>
            <w:r/>
            <w:r>
              <w:rPr>
                <w:sz w:val="18"/>
              </w:rPr>
              <w:t>1,120,008</w:t>
            </w:r>
          </w:p>
        </w:tc>
        <w:tc>
          <w:tcPr>
            <w:tcW w:type="dxa" w:w="1721"/>
          </w:tcPr>
          <w:p>
            <w:pPr>
              <w:spacing w:after="20" w:before="20" w:line="240" w:lineRule="auto"/>
            </w:pPr>
            <w:r/>
            <w:r>
              <w:rPr>
                <w:sz w:val="18"/>
              </w:rPr>
              <w:t>7.7%</w:t>
            </w:r>
          </w:p>
        </w:tc>
        <w:tc>
          <w:tcPr>
            <w:tcW w:type="dxa" w:w="2294"/>
          </w:tcPr>
          <w:p>
            <w:pPr>
              <w:spacing w:after="20" w:before="20" w:line="240" w:lineRule="auto"/>
            </w:pPr>
            <w:r/>
            <w:r>
              <w:rPr>
                <w:sz w:val="18"/>
              </w:rPr>
              <w:t>7.2%</w:t>
            </w:r>
          </w:p>
        </w:tc>
      </w:tr>
      <w:tr>
        <w:tc>
          <w:tcPr>
            <w:tcW w:type="dxa" w:w="2008"/>
          </w:tcPr>
          <w:p>
            <w:pPr>
              <w:spacing w:after="20" w:before="20" w:line="240" w:lineRule="auto"/>
            </w:pPr>
            <w:r/>
            <w:r>
              <w:rPr>
                <w:sz w:val="18"/>
              </w:rPr>
              <w:t>31 Mar 2026</w:t>
            </w:r>
          </w:p>
        </w:tc>
        <w:tc>
          <w:tcPr>
            <w:tcW w:type="dxa" w:w="1434"/>
          </w:tcPr>
          <w:p>
            <w:pPr>
              <w:spacing w:after="20" w:before="20" w:line="240" w:lineRule="auto"/>
            </w:pPr>
            <w:r/>
            <w:r>
              <w:rPr>
                <w:sz w:val="18"/>
              </w:rPr>
              <w:t>58,161</w:t>
            </w:r>
          </w:p>
        </w:tc>
        <w:tc>
          <w:tcPr>
            <w:tcW w:type="dxa" w:w="2294"/>
          </w:tcPr>
          <w:p>
            <w:pPr>
              <w:spacing w:after="20" w:before="20" w:line="240" w:lineRule="auto"/>
            </w:pPr>
            <w:r/>
            <w:r>
              <w:rPr>
                <w:sz w:val="18"/>
              </w:rPr>
              <w:t>1,198,776</w:t>
            </w:r>
          </w:p>
        </w:tc>
        <w:tc>
          <w:tcPr>
            <w:tcW w:type="dxa" w:w="1721"/>
          </w:tcPr>
          <w:p>
            <w:pPr>
              <w:spacing w:after="20" w:before="20" w:line="240" w:lineRule="auto"/>
            </w:pPr>
            <w:r/>
            <w:r>
              <w:rPr>
                <w:sz w:val="18"/>
              </w:rPr>
              <w:t>6.5%</w:t>
            </w:r>
          </w:p>
        </w:tc>
        <w:tc>
          <w:tcPr>
            <w:tcW w:type="dxa" w:w="2294"/>
          </w:tcPr>
          <w:p>
            <w:pPr>
              <w:spacing w:after="20" w:before="20" w:line="240" w:lineRule="auto"/>
            </w:pPr>
            <w:r/>
            <w:r>
              <w:rPr>
                <w:sz w:val="18"/>
              </w:rPr>
              <w:t>7.0%</w:t>
            </w:r>
          </w:p>
        </w:tc>
      </w:tr>
      <w:tr>
        <w:tc>
          <w:tcPr>
            <w:tcW w:type="dxa" w:w="2008"/>
          </w:tcPr>
          <w:p>
            <w:pPr>
              <w:spacing w:after="20" w:before="20" w:line="240" w:lineRule="auto"/>
            </w:pPr>
            <w:r/>
            <w:r>
              <w:rPr>
                <w:sz w:val="18"/>
              </w:rPr>
              <w:t>30 Sep 2026 (live)</w:t>
            </w:r>
          </w:p>
        </w:tc>
        <w:tc>
          <w:tcPr>
            <w:tcW w:type="dxa" w:w="1434"/>
          </w:tcPr>
          <w:p>
            <w:pPr>
              <w:spacing w:after="20" w:before="20" w:line="240" w:lineRule="auto"/>
            </w:pPr>
            <w:r/>
            <w:r>
              <w:rPr>
                <w:sz w:val="18"/>
              </w:rPr>
              <w:t>57,501</w:t>
            </w:r>
          </w:p>
        </w:tc>
        <w:tc>
          <w:tcPr>
            <w:tcW w:type="dxa" w:w="2294"/>
          </w:tcPr>
          <w:p>
            <w:pPr>
              <w:spacing w:after="20" w:before="20" w:line="240" w:lineRule="auto"/>
            </w:pPr>
            <w:r/>
            <w:r>
              <w:rPr>
                <w:sz w:val="18"/>
              </w:rPr>
              <w:t>1,291,508</w:t>
            </w:r>
          </w:p>
        </w:tc>
        <w:tc>
          <w:tcPr>
            <w:tcW w:type="dxa" w:w="1721"/>
          </w:tcPr>
          <w:p>
            <w:pPr>
              <w:spacing w:after="20" w:before="20" w:line="240" w:lineRule="auto"/>
            </w:pPr>
            <w:r/>
            <w:r>
              <w:rPr>
                <w:sz w:val="18"/>
              </w:rPr>
              <w:t>5.4%</w:t>
            </w:r>
          </w:p>
        </w:tc>
        <w:tc>
          <w:tcPr>
            <w:tcW w:type="dxa" w:w="2294"/>
          </w:tcPr>
          <w:p>
            <w:pPr>
              <w:spacing w:after="20" w:before="20" w:line="240" w:lineRule="auto"/>
            </w:pPr>
            <w:r/>
            <w:r>
              <w:rPr>
                <w:sz w:val="18"/>
              </w:rPr>
              <w:t>not yet known</w:t>
            </w:r>
          </w:p>
        </w:tc>
      </w:tr>
    </w:tbl>
    <w:p>
      <w:pPr>
        <w:spacing w:after="40"/>
      </w:pPr>
    </w:p>
    <w:p>
      <w:pPr>
        <w:pStyle w:val="Heading2"/>
      </w:pPr>
      <w:r>
        <w:t>1.4 Standard of Evidence</w:t>
      </w:r>
    </w:p>
    <w:p>
      <w:pPr>
        <w:spacing w:after="120"/>
      </w:pPr>
      <w:r>
        <w:t xml:space="preserve">Every setting was judged in a back-test on each of the six past snapshots, not on the average alone. The measure is </w:t>
      </w:r>
      <w:r>
        <w:rPr>
          <w:b/>
        </w:rPr>
        <w:t>lift</w:t>
      </w:r>
      <w:r>
        <w:t>: the hit rate, in the 6 months after the snapshot, of the taxpayers the model ranks in its top 1%, 5% and 10%, divided by the hit rate of all taxpayers. A lift of 4 means the top group was topped up four times as often as the average taxpayer. Every result is compared with a simple baseline, ranking on past top-up ratio alone. From decision 48, lift is reported together with the number of hits caught, the share of top-up revenue caught, the top-up revenue per check and the share of small traders in the top group, because lift alone can be raised by moving the top of the list onto small one-off importers.</w:t>
      </w:r>
    </w:p>
    <w:p>
      <w:pPr>
        <w:pStyle w:val="Caption"/>
      </w:pPr>
      <w:r>
        <w:t xml:space="preserve">Table </w:t>
      </w:r>
      <w:r>
        <w:fldChar w:fldCharType="begin"/>
      </w:r>
      <w:r>
        <w:instrText xml:space="preserve"> SEQ Table \* ARABIC </w:instrText>
      </w:r>
      <w:r>
        <w:fldChar w:fldCharType="separate"/>
      </w:r>
      <w:r>
        <w:t>9</w:t>
      </w:r>
      <w:r>
        <w:fldChar w:fldCharType="end"/>
      </w:r>
      <w:r>
        <w:t>: Lift Worked Through (31 March 2026, release 1 model)</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393"/>
        <w:gridCol w:w="1393"/>
        <w:gridCol w:w="1393"/>
        <w:gridCol w:w="1393"/>
        <w:gridCol w:w="1393"/>
        <w:gridCol w:w="1393"/>
        <w:gridCol w:w="1393"/>
      </w:tblGrid>
      <w:tr>
        <w:trPr>
          <w:tblHeader w:val="true"/>
        </w:trPr>
        <w:tc>
          <w:tcPr>
            <w:tcW w:type="dxa" w:w="1721"/>
            <w:shd w:val="clear" w:color="auto" w:fill="D9E2F3"/>
          </w:tcPr>
          <w:p>
            <w:pPr>
              <w:spacing w:after="20" w:before="20" w:line="240" w:lineRule="auto"/>
            </w:pPr>
            <w:r/>
            <w:r>
              <w:rPr>
                <w:b/>
                <w:sz w:val="18"/>
              </w:rPr>
              <w:t>Group</w:t>
            </w:r>
          </w:p>
        </w:tc>
        <w:tc>
          <w:tcPr>
            <w:tcW w:type="dxa" w:w="1319"/>
            <w:shd w:val="clear" w:color="auto" w:fill="D9E2F3"/>
          </w:tcPr>
          <w:p>
            <w:pPr>
              <w:spacing w:after="20" w:before="20" w:line="240" w:lineRule="auto"/>
            </w:pPr>
            <w:r/>
            <w:r>
              <w:rPr>
                <w:b/>
                <w:sz w:val="18"/>
              </w:rPr>
              <w:t>Taxpayers</w:t>
            </w:r>
          </w:p>
        </w:tc>
        <w:tc>
          <w:tcPr>
            <w:tcW w:type="dxa" w:w="1836"/>
            <w:shd w:val="clear" w:color="auto" w:fill="D9E2F3"/>
          </w:tcPr>
          <w:p>
            <w:pPr>
              <w:spacing w:after="20" w:before="20" w:line="240" w:lineRule="auto"/>
            </w:pPr>
            <w:r/>
            <w:r>
              <w:rPr>
                <w:b/>
                <w:sz w:val="18"/>
              </w:rPr>
              <w:t>Checked declarations</w:t>
            </w:r>
          </w:p>
        </w:tc>
        <w:tc>
          <w:tcPr>
            <w:tcW w:type="dxa" w:w="1147"/>
            <w:shd w:val="clear" w:color="auto" w:fill="D9E2F3"/>
          </w:tcPr>
          <w:p>
            <w:pPr>
              <w:spacing w:after="20" w:before="20" w:line="240" w:lineRule="auto"/>
            </w:pPr>
            <w:r/>
            <w:r>
              <w:rPr>
                <w:b/>
                <w:sz w:val="18"/>
              </w:rPr>
              <w:t>Hits</w:t>
            </w:r>
          </w:p>
        </w:tc>
        <w:tc>
          <w:tcPr>
            <w:tcW w:type="dxa" w:w="1262"/>
            <w:shd w:val="clear" w:color="auto" w:fill="D9E2F3"/>
          </w:tcPr>
          <w:p>
            <w:pPr>
              <w:spacing w:after="20" w:before="20" w:line="240" w:lineRule="auto"/>
            </w:pPr>
            <w:r/>
            <w:r>
              <w:rPr>
                <w:b/>
                <w:sz w:val="18"/>
              </w:rPr>
              <w:t>Hit rate</w:t>
            </w:r>
          </w:p>
        </w:tc>
        <w:tc>
          <w:tcPr>
            <w:tcW w:type="dxa" w:w="918"/>
            <w:shd w:val="clear" w:color="auto" w:fill="D9E2F3"/>
          </w:tcPr>
          <w:p>
            <w:pPr>
              <w:spacing w:after="20" w:before="20" w:line="240" w:lineRule="auto"/>
            </w:pPr>
            <w:r/>
            <w:r>
              <w:rPr>
                <w:b/>
                <w:sz w:val="18"/>
              </w:rPr>
              <w:t>Lift</w:t>
            </w:r>
          </w:p>
        </w:tc>
        <w:tc>
          <w:tcPr>
            <w:tcW w:type="dxa" w:w="1549"/>
            <w:shd w:val="clear" w:color="auto" w:fill="D9E2F3"/>
          </w:tcPr>
          <w:p>
            <w:pPr>
              <w:spacing w:after="20" w:before="20" w:line="240" w:lineRule="auto"/>
            </w:pPr>
            <w:r/>
            <w:r>
              <w:rPr>
                <w:b/>
                <w:sz w:val="18"/>
              </w:rPr>
              <w:t>Share of all hits</w:t>
            </w:r>
          </w:p>
        </w:tc>
      </w:tr>
      <w:tr>
        <w:tc>
          <w:tcPr>
            <w:tcW w:type="dxa" w:w="1721"/>
          </w:tcPr>
          <w:p>
            <w:pPr>
              <w:spacing w:after="20" w:before="20" w:line="240" w:lineRule="auto"/>
            </w:pPr>
            <w:r/>
            <w:r>
              <w:rPr>
                <w:sz w:val="18"/>
              </w:rPr>
              <w:t>Top 1%</w:t>
            </w:r>
          </w:p>
        </w:tc>
        <w:tc>
          <w:tcPr>
            <w:tcW w:type="dxa" w:w="1319"/>
          </w:tcPr>
          <w:p>
            <w:pPr>
              <w:spacing w:after="20" w:before="20" w:line="240" w:lineRule="auto"/>
            </w:pPr>
            <w:r/>
            <w:r>
              <w:rPr>
                <w:sz w:val="18"/>
              </w:rPr>
              <w:t>582</w:t>
            </w:r>
          </w:p>
        </w:tc>
        <w:tc>
          <w:tcPr>
            <w:tcW w:type="dxa" w:w="1836"/>
          </w:tcPr>
          <w:p>
            <w:pPr>
              <w:spacing w:after="20" w:before="20" w:line="240" w:lineRule="auto"/>
            </w:pPr>
            <w:r/>
            <w:r>
              <w:rPr>
                <w:sz w:val="18"/>
              </w:rPr>
              <w:t>2,469</w:t>
            </w:r>
          </w:p>
        </w:tc>
        <w:tc>
          <w:tcPr>
            <w:tcW w:type="dxa" w:w="1147"/>
          </w:tcPr>
          <w:p>
            <w:pPr>
              <w:spacing w:after="20" w:before="20" w:line="240" w:lineRule="auto"/>
            </w:pPr>
            <w:r/>
            <w:r>
              <w:rPr>
                <w:sz w:val="18"/>
              </w:rPr>
              <w:t>794</w:t>
            </w:r>
          </w:p>
        </w:tc>
        <w:tc>
          <w:tcPr>
            <w:tcW w:type="dxa" w:w="1262"/>
          </w:tcPr>
          <w:p>
            <w:pPr>
              <w:spacing w:after="20" w:before="20" w:line="240" w:lineRule="auto"/>
            </w:pPr>
            <w:r/>
            <w:r>
              <w:rPr>
                <w:sz w:val="18"/>
              </w:rPr>
              <w:t>32.2%</w:t>
            </w:r>
          </w:p>
        </w:tc>
        <w:tc>
          <w:tcPr>
            <w:tcW w:type="dxa" w:w="918"/>
          </w:tcPr>
          <w:p>
            <w:pPr>
              <w:spacing w:after="20" w:before="20" w:line="240" w:lineRule="auto"/>
            </w:pPr>
            <w:r/>
            <w:r>
              <w:rPr>
                <w:sz w:val="18"/>
              </w:rPr>
              <w:t>4.6</w:t>
            </w:r>
          </w:p>
        </w:tc>
        <w:tc>
          <w:tcPr>
            <w:tcW w:type="dxa" w:w="1549"/>
          </w:tcPr>
          <w:p>
            <w:pPr>
              <w:spacing w:after="20" w:before="20" w:line="240" w:lineRule="auto"/>
            </w:pPr>
            <w:r/>
            <w:r>
              <w:rPr>
                <w:sz w:val="18"/>
              </w:rPr>
              <w:t>6%</w:t>
            </w:r>
          </w:p>
        </w:tc>
      </w:tr>
      <w:tr>
        <w:tc>
          <w:tcPr>
            <w:tcW w:type="dxa" w:w="1721"/>
          </w:tcPr>
          <w:p>
            <w:pPr>
              <w:spacing w:after="20" w:before="20" w:line="240" w:lineRule="auto"/>
            </w:pPr>
            <w:r/>
            <w:r>
              <w:rPr>
                <w:sz w:val="18"/>
              </w:rPr>
              <w:t>Top 5%</w:t>
            </w:r>
          </w:p>
        </w:tc>
        <w:tc>
          <w:tcPr>
            <w:tcW w:type="dxa" w:w="1319"/>
          </w:tcPr>
          <w:p>
            <w:pPr>
              <w:spacing w:after="20" w:before="20" w:line="240" w:lineRule="auto"/>
            </w:pPr>
            <w:r/>
            <w:r>
              <w:rPr>
                <w:sz w:val="18"/>
              </w:rPr>
              <w:t>2,908</w:t>
            </w:r>
          </w:p>
        </w:tc>
        <w:tc>
          <w:tcPr>
            <w:tcW w:type="dxa" w:w="1836"/>
          </w:tcPr>
          <w:p>
            <w:pPr>
              <w:spacing w:after="20" w:before="20" w:line="240" w:lineRule="auto"/>
            </w:pPr>
            <w:r/>
            <w:r>
              <w:rPr>
                <w:sz w:val="18"/>
              </w:rPr>
              <w:t>19,134</w:t>
            </w:r>
          </w:p>
        </w:tc>
        <w:tc>
          <w:tcPr>
            <w:tcW w:type="dxa" w:w="1147"/>
          </w:tcPr>
          <w:p>
            <w:pPr>
              <w:spacing w:after="20" w:before="20" w:line="240" w:lineRule="auto"/>
            </w:pPr>
            <w:r/>
            <w:r>
              <w:rPr>
                <w:sz w:val="18"/>
              </w:rPr>
              <w:t>7,162</w:t>
            </w:r>
          </w:p>
        </w:tc>
        <w:tc>
          <w:tcPr>
            <w:tcW w:type="dxa" w:w="1262"/>
          </w:tcPr>
          <w:p>
            <w:pPr>
              <w:spacing w:after="20" w:before="20" w:line="240" w:lineRule="auto"/>
            </w:pPr>
            <w:r/>
            <w:r>
              <w:rPr>
                <w:sz w:val="18"/>
              </w:rPr>
              <w:t>37.4%</w:t>
            </w:r>
          </w:p>
        </w:tc>
        <w:tc>
          <w:tcPr>
            <w:tcW w:type="dxa" w:w="918"/>
          </w:tcPr>
          <w:p>
            <w:pPr>
              <w:spacing w:after="20" w:before="20" w:line="240" w:lineRule="auto"/>
            </w:pPr>
            <w:r/>
            <w:r>
              <w:rPr>
                <w:sz w:val="18"/>
              </w:rPr>
              <w:t>5.4</w:t>
            </w:r>
          </w:p>
        </w:tc>
        <w:tc>
          <w:tcPr>
            <w:tcW w:type="dxa" w:w="1549"/>
          </w:tcPr>
          <w:p>
            <w:pPr>
              <w:spacing w:after="20" w:before="20" w:line="240" w:lineRule="auto"/>
            </w:pPr>
            <w:r/>
            <w:r>
              <w:rPr>
                <w:sz w:val="18"/>
              </w:rPr>
              <w:t>56%</w:t>
            </w:r>
          </w:p>
        </w:tc>
      </w:tr>
      <w:tr>
        <w:tc>
          <w:tcPr>
            <w:tcW w:type="dxa" w:w="1721"/>
          </w:tcPr>
          <w:p>
            <w:pPr>
              <w:spacing w:after="20" w:before="20" w:line="240" w:lineRule="auto"/>
            </w:pPr>
            <w:r/>
            <w:r>
              <w:rPr>
                <w:sz w:val="18"/>
              </w:rPr>
              <w:t>Top 10%</w:t>
            </w:r>
          </w:p>
        </w:tc>
        <w:tc>
          <w:tcPr>
            <w:tcW w:type="dxa" w:w="1319"/>
          </w:tcPr>
          <w:p>
            <w:pPr>
              <w:spacing w:after="20" w:before="20" w:line="240" w:lineRule="auto"/>
            </w:pPr>
            <w:r/>
            <w:r>
              <w:rPr>
                <w:sz w:val="18"/>
              </w:rPr>
              <w:t>5,816</w:t>
            </w:r>
          </w:p>
        </w:tc>
        <w:tc>
          <w:tcPr>
            <w:tcW w:type="dxa" w:w="1836"/>
          </w:tcPr>
          <w:p>
            <w:pPr>
              <w:spacing w:after="20" w:before="20" w:line="240" w:lineRule="auto"/>
            </w:pPr>
            <w:r/>
            <w:r>
              <w:rPr>
                <w:sz w:val="18"/>
              </w:rPr>
              <w:t>26,471</w:t>
            </w:r>
          </w:p>
        </w:tc>
        <w:tc>
          <w:tcPr>
            <w:tcW w:type="dxa" w:w="1147"/>
          </w:tcPr>
          <w:p>
            <w:pPr>
              <w:spacing w:after="20" w:before="20" w:line="240" w:lineRule="auto"/>
            </w:pPr>
            <w:r/>
            <w:r>
              <w:rPr>
                <w:sz w:val="18"/>
              </w:rPr>
              <w:t>7,774</w:t>
            </w:r>
          </w:p>
        </w:tc>
        <w:tc>
          <w:tcPr>
            <w:tcW w:type="dxa" w:w="1262"/>
          </w:tcPr>
          <w:p>
            <w:pPr>
              <w:spacing w:after="20" w:before="20" w:line="240" w:lineRule="auto"/>
            </w:pPr>
            <w:r/>
            <w:r>
              <w:rPr>
                <w:sz w:val="18"/>
              </w:rPr>
              <w:t>29.4%</w:t>
            </w:r>
          </w:p>
        </w:tc>
        <w:tc>
          <w:tcPr>
            <w:tcW w:type="dxa" w:w="918"/>
          </w:tcPr>
          <w:p>
            <w:pPr>
              <w:spacing w:after="20" w:before="20" w:line="240" w:lineRule="auto"/>
            </w:pPr>
            <w:r/>
            <w:r>
              <w:rPr>
                <w:sz w:val="18"/>
              </w:rPr>
              <w:t>4.2</w:t>
            </w:r>
          </w:p>
        </w:tc>
        <w:tc>
          <w:tcPr>
            <w:tcW w:type="dxa" w:w="1549"/>
          </w:tcPr>
          <w:p>
            <w:pPr>
              <w:spacing w:after="20" w:before="20" w:line="240" w:lineRule="auto"/>
            </w:pPr>
            <w:r/>
            <w:r>
              <w:rPr>
                <w:sz w:val="18"/>
              </w:rPr>
              <w:t>61%</w:t>
            </w:r>
          </w:p>
        </w:tc>
      </w:tr>
      <w:tr>
        <w:tc>
          <w:tcPr>
            <w:tcW w:type="dxa" w:w="1721"/>
          </w:tcPr>
          <w:p>
            <w:pPr>
              <w:spacing w:after="20" w:before="20" w:line="240" w:lineRule="auto"/>
            </w:pPr>
            <w:r/>
            <w:r>
              <w:rPr>
                <w:sz w:val="18"/>
              </w:rPr>
              <w:t>All taxpayers</w:t>
            </w:r>
          </w:p>
        </w:tc>
        <w:tc>
          <w:tcPr>
            <w:tcW w:type="dxa" w:w="1319"/>
          </w:tcPr>
          <w:p>
            <w:pPr>
              <w:spacing w:after="20" w:before="20" w:line="240" w:lineRule="auto"/>
            </w:pPr>
            <w:r/>
            <w:r>
              <w:rPr>
                <w:sz w:val="18"/>
              </w:rPr>
              <w:t>58,161</w:t>
            </w:r>
          </w:p>
        </w:tc>
        <w:tc>
          <w:tcPr>
            <w:tcW w:type="dxa" w:w="1836"/>
          </w:tcPr>
          <w:p>
            <w:pPr>
              <w:spacing w:after="20" w:before="20" w:line="240" w:lineRule="auto"/>
            </w:pPr>
            <w:r/>
            <w:r>
              <w:rPr>
                <w:sz w:val="18"/>
              </w:rPr>
              <w:t>182,868</w:t>
            </w:r>
          </w:p>
        </w:tc>
        <w:tc>
          <w:tcPr>
            <w:tcW w:type="dxa" w:w="1147"/>
          </w:tcPr>
          <w:p>
            <w:pPr>
              <w:spacing w:after="20" w:before="20" w:line="240" w:lineRule="auto"/>
            </w:pPr>
            <w:r/>
            <w:r>
              <w:rPr>
                <w:sz w:val="18"/>
              </w:rPr>
              <w:t>12,726</w:t>
            </w:r>
          </w:p>
        </w:tc>
        <w:tc>
          <w:tcPr>
            <w:tcW w:type="dxa" w:w="1262"/>
          </w:tcPr>
          <w:p>
            <w:pPr>
              <w:spacing w:after="20" w:before="20" w:line="240" w:lineRule="auto"/>
            </w:pPr>
            <w:r/>
            <w:r>
              <w:rPr>
                <w:sz w:val="18"/>
              </w:rPr>
              <w:t>7.0%</w:t>
            </w:r>
          </w:p>
        </w:tc>
        <w:tc>
          <w:tcPr>
            <w:tcW w:type="dxa" w:w="918"/>
          </w:tcPr>
          <w:p>
            <w:pPr>
              <w:spacing w:after="20" w:before="20" w:line="240" w:lineRule="auto"/>
            </w:pPr>
            <w:r/>
            <w:r>
              <w:rPr>
                <w:sz w:val="18"/>
              </w:rPr>
              <w:t>1.0</w:t>
            </w:r>
          </w:p>
        </w:tc>
        <w:tc>
          <w:tcPr>
            <w:tcW w:type="dxa" w:w="1549"/>
          </w:tcPr>
          <w:p>
            <w:pPr>
              <w:spacing w:after="20" w:before="20" w:line="240" w:lineRule="auto"/>
            </w:pPr>
            <w:r/>
            <w:r>
              <w:rPr>
                <w:sz w:val="18"/>
              </w:rPr>
              <w:t>100%</w:t>
            </w:r>
          </w:p>
        </w:tc>
      </w:tr>
    </w:tbl>
    <w:p>
      <w:pPr>
        <w:spacing w:after="40"/>
      </w:pPr>
    </w:p>
    <w:p>
      <w:pPr>
        <w:spacing w:after="120"/>
      </w:pPr>
      <w:r>
        <w:t>Lift is used rather than accuracy because only about 7% of checks end in a top-up: a model that predicted "no top-up" for everything would be 93% accurate and useless. What matters with limited inspection capacity is how much more each check finds when officers follow the top of the list.</w:t>
      </w:r>
    </w:p>
    <w:p>
      <w:pPr>
        <w:keepNext/>
        <w:jc w:val="center"/>
      </w:pPr>
      <w:r>
        <w:drawing>
          <wp:inline xmlns:a="http://schemas.openxmlformats.org/drawingml/2006/main" xmlns:pic="http://schemas.openxmlformats.org/drawingml/2006/picture">
            <wp:extent cx="5940000" cy="1704602"/>
            <wp:docPr id="2" name="Picture 2"/>
            <wp:cNvGraphicFramePr>
              <a:graphicFrameLocks noChangeAspect="1"/>
            </wp:cNvGraphicFramePr>
            <a:graphic>
              <a:graphicData uri="http://schemas.openxmlformats.org/drawingml/2006/picture">
                <pic:pic>
                  <pic:nvPicPr>
                    <pic:cNvPr id="0" name="chart_29.png"/>
                    <pic:cNvPicPr/>
                  </pic:nvPicPr>
                  <pic:blipFill>
                    <a:blip r:embed="rId27"/>
                    <a:stretch>
                      <a:fillRect/>
                    </a:stretch>
                  </pic:blipFill>
                  <pic:spPr>
                    <a:xfrm>
                      <a:off x="0" y="0"/>
                      <a:ext cx="5940000" cy="1704602"/>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w:t>
      </w:r>
      <w:r>
        <w:fldChar w:fldCharType="end"/>
      </w:r>
      <w:r>
        <w:t>: Hit rate in each tenth of the ranked list, and the share of all hits caught down the list</w:t>
      </w:r>
    </w:p>
    <w:p>
      <w:r>
        <w:br w:type="page"/>
      </w:r>
    </w:p>
    <w:p/>
    <w:p/>
    <w:p/>
    <w:p/>
    <w:p/>
    <w:p/>
    <w:p>
      <w:pPr>
        <w:pStyle w:val="Heading1"/>
      </w:pPr>
      <w:r>
        <w:t>PART 2: DATA DECISIONS</w:t>
      </w:r>
    </w:p>
    <w:p>
      <w:pPr>
        <w:spacing w:after="120"/>
      </w:pPr>
      <w:r>
        <w:t>This part records how the source view was checked and cleaned (Stage 1) and how the extracts were designed and accepted (Stage 2). Each cleaning rule exists because a specific check found a specific problem.</w:t>
      </w:r>
    </w:p>
    <w:p>
      <w:r>
        <w:br w:type="page"/>
      </w:r>
    </w:p>
    <w:p>
      <w:pPr>
        <w:pStyle w:val="Heading2"/>
      </w:pPr>
      <w:r>
        <w:t>2.1 Cleaning Rules (Stage 1)</w:t>
      </w:r>
    </w:p>
    <w:p>
      <w:pPr>
        <w:pStyle w:val="Caption"/>
      </w:pPr>
      <w:r>
        <w:t xml:space="preserve">Table </w:t>
      </w:r>
      <w:r>
        <w:fldChar w:fldCharType="begin"/>
      </w:r>
      <w:r>
        <w:instrText xml:space="preserve"> SEQ Table \* ARABIC </w:instrText>
      </w:r>
      <w:r>
        <w:fldChar w:fldCharType="separate"/>
      </w:r>
      <w:r>
        <w:t>10</w:t>
      </w:r>
      <w:r>
        <w:fldChar w:fldCharType="end"/>
      </w:r>
      <w:r>
        <w:t>: Cleaning Rules and Their Evidence</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860"/>
            <w:shd w:val="clear" w:color="auto" w:fill="D9E2F3"/>
          </w:tcPr>
          <w:p>
            <w:pPr>
              <w:spacing w:after="20" w:before="20" w:line="240" w:lineRule="auto"/>
            </w:pPr>
            <w:r/>
            <w:r>
              <w:rPr>
                <w:b/>
                <w:sz w:val="18"/>
              </w:rPr>
              <w:t>#</w:t>
            </w:r>
          </w:p>
        </w:tc>
        <w:tc>
          <w:tcPr>
            <w:tcW w:type="dxa" w:w="4015"/>
            <w:shd w:val="clear" w:color="auto" w:fill="D9E2F3"/>
          </w:tcPr>
          <w:p>
            <w:pPr>
              <w:spacing w:after="20" w:before="20" w:line="240" w:lineRule="auto"/>
            </w:pPr>
            <w:r/>
            <w:r>
              <w:rPr>
                <w:b/>
                <w:sz w:val="18"/>
              </w:rPr>
              <w:t>Rule</w:t>
            </w:r>
          </w:p>
        </w:tc>
        <w:tc>
          <w:tcPr>
            <w:tcW w:type="dxa" w:w="4876"/>
            <w:shd w:val="clear" w:color="auto" w:fill="D9E2F3"/>
          </w:tcPr>
          <w:p>
            <w:pPr>
              <w:spacing w:after="20" w:before="20" w:line="240" w:lineRule="auto"/>
            </w:pPr>
            <w:r/>
            <w:r>
              <w:rPr>
                <w:b/>
                <w:sz w:val="18"/>
              </w:rPr>
              <w:t>Evidence (query)</w:t>
            </w:r>
          </w:p>
        </w:tc>
      </w:tr>
      <w:tr>
        <w:tc>
          <w:tcPr>
            <w:tcW w:type="dxa" w:w="860"/>
          </w:tcPr>
          <w:p>
            <w:pPr>
              <w:spacing w:after="20" w:before="20" w:line="240" w:lineRule="auto"/>
            </w:pPr>
            <w:r/>
            <w:r>
              <w:rPr>
                <w:sz w:val="18"/>
              </w:rPr>
              <w:t>1</w:t>
            </w:r>
          </w:p>
        </w:tc>
        <w:tc>
          <w:tcPr>
            <w:tcW w:type="dxa" w:w="4015"/>
          </w:tcPr>
          <w:p>
            <w:pPr>
              <w:spacing w:after="20" w:before="20" w:line="240" w:lineRule="auto"/>
            </w:pPr>
            <w:r/>
            <w:r>
              <w:rPr>
                <w:sz w:val="18"/>
              </w:rPr>
              <w:t>Score IM4 and IM7 only</w:t>
            </w:r>
          </w:p>
        </w:tc>
        <w:tc>
          <w:tcPr>
            <w:tcW w:type="dxa" w:w="4876"/>
          </w:tcPr>
          <w:p>
            <w:pPr>
              <w:spacing w:after="20" w:before="20" w:line="240" w:lineRule="auto"/>
            </w:pPr>
            <w:r/>
            <w:r>
              <w:rPr>
                <w:sz w:val="18"/>
              </w:rPr>
              <w:t>Transit and export regimes carry guarantees or suspended amounts, not duty paid (D2)</w:t>
            </w:r>
          </w:p>
        </w:tc>
      </w:tr>
      <w:tr>
        <w:tc>
          <w:tcPr>
            <w:tcW w:type="dxa" w:w="860"/>
          </w:tcPr>
          <w:p>
            <w:pPr>
              <w:spacing w:after="20" w:before="20" w:line="240" w:lineRule="auto"/>
            </w:pPr>
            <w:r/>
            <w:r>
              <w:rPr>
                <w:sz w:val="18"/>
              </w:rPr>
              <w:t>2, 3</w:t>
            </w:r>
          </w:p>
        </w:tc>
        <w:tc>
          <w:tcPr>
            <w:tcW w:type="dxa" w:w="4015"/>
          </w:tcPr>
          <w:p>
            <w:pPr>
              <w:spacing w:after="20" w:before="20" w:line="240" w:lineRule="auto"/>
            </w:pPr>
            <w:r/>
            <w:r>
              <w:rPr>
                <w:sz w:val="18"/>
              </w:rPr>
              <w:t>Valid 10-digit TIN only</w:t>
            </w:r>
          </w:p>
        </w:tc>
        <w:tc>
          <w:tcPr>
            <w:tcW w:type="dxa" w:w="4876"/>
          </w:tcPr>
          <w:p>
            <w:pPr>
              <w:spacing w:after="20" w:before="20" w:line="240" w:lineRule="auto"/>
            </w:pPr>
            <w:r/>
            <w:r>
              <w:rPr>
                <w:sz w:val="18"/>
              </w:rPr>
              <w:t>All valid TINs have 10 digits; the 479,719 declarations without a TIN are all in IM8, PB4, PP4 and SE1 (C1, H3)</w:t>
            </w:r>
          </w:p>
        </w:tc>
      </w:tr>
      <w:tr>
        <w:tc>
          <w:tcPr>
            <w:tcW w:type="dxa" w:w="860"/>
          </w:tcPr>
          <w:p>
            <w:pPr>
              <w:spacing w:after="20" w:before="20" w:line="240" w:lineRule="auto"/>
            </w:pPr>
            <w:r/>
            <w:r>
              <w:rPr>
                <w:sz w:val="18"/>
              </w:rPr>
              <w:t>4</w:t>
            </w:r>
          </w:p>
        </w:tc>
        <w:tc>
          <w:tcPr>
            <w:tcW w:type="dxa" w:w="4015"/>
          </w:tcPr>
          <w:p>
            <w:pPr>
              <w:spacing w:after="20" w:before="20" w:line="240" w:lineRule="auto"/>
            </w:pPr>
            <w:r/>
            <w:r>
              <w:rPr>
                <w:sz w:val="18"/>
              </w:rPr>
              <w:t>Exclude cancelled declarations</w:t>
            </w:r>
          </w:p>
        </w:tc>
        <w:tc>
          <w:tcPr>
            <w:tcW w:type="dxa" w:w="4876"/>
          </w:tcPr>
          <w:p>
            <w:pPr>
              <w:spacing w:after="20" w:before="20" w:line="240" w:lineRule="auto"/>
            </w:pPr>
            <w:r/>
            <w:r>
              <w:rPr>
                <w:sz w:val="18"/>
              </w:rPr>
              <w:t>About 14,065 cancelled declarations (D1)</w:t>
            </w:r>
          </w:p>
        </w:tc>
      </w:tr>
      <w:tr>
        <w:tc>
          <w:tcPr>
            <w:tcW w:type="dxa" w:w="860"/>
          </w:tcPr>
          <w:p>
            <w:pPr>
              <w:spacing w:after="20" w:before="20" w:line="240" w:lineRule="auto"/>
            </w:pPr>
            <w:r/>
            <w:r>
              <w:rPr>
                <w:sz w:val="18"/>
              </w:rPr>
              <w:t>5</w:t>
            </w:r>
          </w:p>
        </w:tc>
        <w:tc>
          <w:tcPr>
            <w:tcW w:type="dxa" w:w="4015"/>
          </w:tcPr>
          <w:p>
            <w:pPr>
              <w:spacing w:after="20" w:before="20" w:line="240" w:lineRule="auto"/>
            </w:pPr>
            <w:r/>
            <w:r>
              <w:rPr>
                <w:sz w:val="18"/>
              </w:rPr>
              <w:t>One row per item</w:t>
            </w:r>
          </w:p>
        </w:tc>
        <w:tc>
          <w:tcPr>
            <w:tcW w:type="dxa" w:w="4876"/>
          </w:tcPr>
          <w:p>
            <w:pPr>
              <w:spacing w:after="20" w:before="20" w:line="240" w:lineRule="auto"/>
            </w:pPr>
            <w:r/>
            <w:r>
              <w:rPr>
                <w:sz w:val="18"/>
              </w:rPr>
              <w:t>14,215 items stored more than once, adding 1,478,314 identical rows (B1, H1)</w:t>
            </w:r>
          </w:p>
        </w:tc>
      </w:tr>
      <w:tr>
        <w:tc>
          <w:tcPr>
            <w:tcW w:type="dxa" w:w="860"/>
          </w:tcPr>
          <w:p>
            <w:pPr>
              <w:spacing w:after="20" w:before="20" w:line="240" w:lineRule="auto"/>
            </w:pPr>
            <w:r/>
            <w:r>
              <w:rPr>
                <w:sz w:val="18"/>
              </w:rPr>
              <w:t>6</w:t>
            </w:r>
          </w:p>
        </w:tc>
        <w:tc>
          <w:tcPr>
            <w:tcW w:type="dxa" w:w="4015"/>
          </w:tcPr>
          <w:p>
            <w:pPr>
              <w:spacing w:after="20" w:before="20" w:line="240" w:lineRule="auto"/>
            </w:pPr>
            <w:r/>
            <w:r>
              <w:rPr>
                <w:sz w:val="18"/>
              </w:rPr>
              <w:t>Tax amounts once per declaration</w:t>
            </w:r>
          </w:p>
        </w:tc>
        <w:tc>
          <w:tcPr>
            <w:tcW w:type="dxa" w:w="4876"/>
          </w:tcPr>
          <w:p>
            <w:pPr>
              <w:spacing w:after="20" w:before="20" w:line="240" w:lineRule="auto"/>
            </w:pPr>
            <w:r/>
            <w:r>
              <w:rPr>
                <w:sz w:val="18"/>
              </w:rPr>
              <w:t>Tax is repeated on every item row (B2)</w:t>
            </w:r>
          </w:p>
        </w:tc>
      </w:tr>
      <w:tr>
        <w:tc>
          <w:tcPr>
            <w:tcW w:type="dxa" w:w="860"/>
          </w:tcPr>
          <w:p>
            <w:pPr>
              <w:spacing w:after="20" w:before="20" w:line="240" w:lineRule="auto"/>
            </w:pPr>
            <w:r/>
            <w:r>
              <w:rPr>
                <w:sz w:val="18"/>
              </w:rPr>
              <w:t>7, 17</w:t>
            </w:r>
          </w:p>
        </w:tc>
        <w:tc>
          <w:tcPr>
            <w:tcW w:type="dxa" w:w="4015"/>
          </w:tcPr>
          <w:p>
            <w:pPr>
              <w:spacing w:after="20" w:before="20" w:line="240" w:lineRule="auto"/>
            </w:pPr>
            <w:r/>
            <w:r>
              <w:rPr>
                <w:sz w:val="18"/>
              </w:rPr>
              <w:t>Top-up = flag Y and final tax above original; amount = final minus original</w:t>
            </w:r>
          </w:p>
        </w:tc>
        <w:tc>
          <w:tcPr>
            <w:tcW w:type="dxa" w:w="4876"/>
          </w:tcPr>
          <w:p>
            <w:pPr>
              <w:spacing w:after="20" w:before="20" w:line="240" w:lineRule="auto"/>
            </w:pPr>
            <w:r/>
            <w:r>
              <w:rPr>
                <w:sz w:val="18"/>
              </w:rPr>
              <w:t>On unflagged declarations top_up_amt equals the final tax 99.8% of the time (H2)</w:t>
            </w:r>
          </w:p>
        </w:tc>
      </w:tr>
      <w:tr>
        <w:tc>
          <w:tcPr>
            <w:tcW w:type="dxa" w:w="860"/>
          </w:tcPr>
          <w:p>
            <w:pPr>
              <w:spacing w:after="20" w:before="20" w:line="240" w:lineRule="auto"/>
            </w:pPr>
            <w:r/>
            <w:r>
              <w:rPr>
                <w:sz w:val="18"/>
              </w:rPr>
              <w:t>8</w:t>
            </w:r>
          </w:p>
        </w:tc>
        <w:tc>
          <w:tcPr>
            <w:tcW w:type="dxa" w:w="4015"/>
          </w:tcPr>
          <w:p>
            <w:pPr>
              <w:spacing w:after="20" w:before="20" w:line="240" w:lineRule="auto"/>
            </w:pPr>
            <w:r/>
            <w:r>
              <w:rPr>
                <w:sz w:val="18"/>
              </w:rPr>
              <w:t>Negative top-up = final tax below original</w:t>
            </w:r>
          </w:p>
        </w:tc>
        <w:tc>
          <w:tcPr>
            <w:tcW w:type="dxa" w:w="4876"/>
          </w:tcPr>
          <w:p>
            <w:pPr>
              <w:spacing w:after="20" w:before="20" w:line="240" w:lineRule="auto"/>
            </w:pPr>
            <w:r/>
            <w:r>
              <w:rPr>
                <w:sz w:val="18"/>
              </w:rPr>
              <w:t>H2</w:t>
            </w:r>
          </w:p>
        </w:tc>
      </w:tr>
      <w:tr>
        <w:tc>
          <w:tcPr>
            <w:tcW w:type="dxa" w:w="860"/>
          </w:tcPr>
          <w:p>
            <w:pPr>
              <w:spacing w:after="20" w:before="20" w:line="240" w:lineRule="auto"/>
            </w:pPr>
            <w:r/>
            <w:r>
              <w:rPr>
                <w:sz w:val="18"/>
              </w:rPr>
              <w:t>9</w:t>
            </w:r>
          </w:p>
        </w:tc>
        <w:tc>
          <w:tcPr>
            <w:tcW w:type="dxa" w:w="4015"/>
          </w:tcPr>
          <w:p>
            <w:pPr>
              <w:spacing w:after="20" w:before="20" w:line="240" w:lineRule="auto"/>
            </w:pPr>
            <w:r/>
            <w:r>
              <w:rPr>
                <w:sz w:val="18"/>
              </w:rPr>
              <w:t>Blank original tax filled with the final tax</w:t>
            </w:r>
          </w:p>
        </w:tc>
        <w:tc>
          <w:tcPr>
            <w:tcW w:type="dxa" w:w="4876"/>
          </w:tcPr>
          <w:p>
            <w:pPr>
              <w:spacing w:after="20" w:before="20" w:line="240" w:lineRule="auto"/>
            </w:pPr>
            <w:r/>
            <w:r>
              <w:rPr>
                <w:sz w:val="18"/>
              </w:rPr>
              <w:t>Blank on about 37% of unflagged declarations; blank means unchanged</w:t>
            </w:r>
          </w:p>
        </w:tc>
      </w:tr>
      <w:tr>
        <w:tc>
          <w:tcPr>
            <w:tcW w:type="dxa" w:w="860"/>
          </w:tcPr>
          <w:p>
            <w:pPr>
              <w:spacing w:after="20" w:before="20" w:line="240" w:lineRule="auto"/>
            </w:pPr>
            <w:r/>
            <w:r>
              <w:rPr>
                <w:sz w:val="18"/>
              </w:rPr>
              <w:t>16</w:t>
            </w:r>
          </w:p>
        </w:tc>
        <w:tc>
          <w:tcPr>
            <w:tcW w:type="dxa" w:w="4015"/>
          </w:tcPr>
          <w:p>
            <w:pPr>
              <w:spacing w:after="20" w:before="20" w:line="240" w:lineRule="auto"/>
            </w:pPr>
            <w:r/>
            <w:r>
              <w:rPr>
                <w:sz w:val="18"/>
              </w:rPr>
              <w:t>Prices judged within each HS code; below 1% of the HS median is an entry error</w:t>
            </w:r>
          </w:p>
        </w:tc>
        <w:tc>
          <w:tcPr>
            <w:tcW w:type="dxa" w:w="4876"/>
          </w:tcPr>
          <w:p>
            <w:pPr>
              <w:spacing w:after="20" w:before="20" w:line="240" w:lineRule="auto"/>
            </w:pPr>
            <w:r/>
            <w:r>
              <w:rPr>
                <w:sz w:val="18"/>
              </w:rPr>
              <w:t>Price per kg runs from UGX 69 to 17 million across all goods (F3)</w:t>
            </w:r>
          </w:p>
        </w:tc>
      </w:tr>
      <w:tr>
        <w:tc>
          <w:tcPr>
            <w:tcW w:type="dxa" w:w="860"/>
          </w:tcPr>
          <w:p>
            <w:pPr>
              <w:spacing w:after="20" w:before="20" w:line="240" w:lineRule="auto"/>
            </w:pPr>
            <w:r/>
            <w:r>
              <w:rPr>
                <w:sz w:val="18"/>
              </w:rPr>
              <w:t>43</w:t>
            </w:r>
          </w:p>
        </w:tc>
        <w:tc>
          <w:tcPr>
            <w:tcW w:type="dxa" w:w="4015"/>
          </w:tcPr>
          <w:p>
            <w:pPr>
              <w:spacing w:after="20" w:before="20" w:line="240" w:lineRule="auto"/>
            </w:pPr>
            <w:r/>
            <w:r>
              <w:rPr>
                <w:sz w:val="18"/>
              </w:rPr>
              <w:t>APC 483 excluded</w:t>
            </w:r>
          </w:p>
        </w:tc>
        <w:tc>
          <w:tcPr>
            <w:tcW w:type="dxa" w:w="4876"/>
          </w:tcPr>
          <w:p>
            <w:pPr>
              <w:spacing w:after="20" w:before="20" w:line="240" w:lineRule="auto"/>
            </w:pPr>
            <w:r/>
            <w:r>
              <w:rPr>
                <w:sz w:val="18"/>
              </w:rPr>
              <w:t>Destroyed or abandoned goods and dummy reconciliation entries (procedure code guidance of 19 Nov 2025)</w:t>
            </w:r>
          </w:p>
        </w:tc>
      </w:tr>
    </w:tbl>
    <w:p>
      <w:pPr>
        <w:spacing w:after="40"/>
      </w:pPr>
    </w:p>
    <w:p>
      <w:pPr>
        <w:keepNext/>
        <w:jc w:val="center"/>
      </w:pPr>
      <w:r>
        <w:drawing>
          <wp:inline xmlns:a="http://schemas.openxmlformats.org/drawingml/2006/main" xmlns:pic="http://schemas.openxmlformats.org/drawingml/2006/picture">
            <wp:extent cx="5940000" cy="1699261"/>
            <wp:docPr id="3" name="Picture 3"/>
            <wp:cNvGraphicFramePr>
              <a:graphicFrameLocks noChangeAspect="1"/>
            </wp:cNvGraphicFramePr>
            <a:graphic>
              <a:graphicData uri="http://schemas.openxmlformats.org/drawingml/2006/picture">
                <pic:pic>
                  <pic:nvPicPr>
                    <pic:cNvPr id="0" name="chart_03.png"/>
                    <pic:cNvPicPr/>
                  </pic:nvPicPr>
                  <pic:blipFill>
                    <a:blip r:embed="rId28"/>
                    <a:stretch>
                      <a:fillRect/>
                    </a:stretch>
                  </pic:blipFill>
                  <pic:spPr>
                    <a:xfrm>
                      <a:off x="0" y="0"/>
                      <a:ext cx="5940000" cy="1699261"/>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2</w:t>
      </w:r>
      <w:r>
        <w:fldChar w:fldCharType="end"/>
      </w:r>
      <w:r>
        <w:t>: The three data problems behind the cleaning rules</w:t>
      </w:r>
    </w:p>
    <w:p>
      <w:pPr>
        <w:pStyle w:val="Heading2"/>
      </w:pPr>
      <w:r>
        <w:t>2.2 Extract Design (Stage 2)</w:t>
      </w:r>
    </w:p>
    <w:p>
      <w:pPr>
        <w:pStyle w:val="ListParagraph"/>
        <w:numPr>
          <w:ilvl w:val="0"/>
          <w:numId w:val="901"/>
        </w:numPr>
        <w:spacing w:after="60"/>
      </w:pPr>
      <w:r>
        <w:rPr>
          <w:b/>
        </w:rPr>
        <w:t>Six back-test snapshots, six months apart</w:t>
      </w:r>
      <w:r>
        <w:t xml:space="preserve"> (Sep 2023 to Mar 2026), plus the live snapshot of Sep 2026. Every month in the view is complete to September 2026 (A2).</w:t>
      </w:r>
    </w:p>
    <w:p>
      <w:pPr>
        <w:pStyle w:val="ListParagraph"/>
        <w:numPr>
          <w:ilvl w:val="0"/>
          <w:numId w:val="901"/>
        </w:numPr>
        <w:spacing w:after="60"/>
      </w:pPr>
      <w:r>
        <w:rPr>
          <w:b/>
        </w:rPr>
        <w:t>Features from the 24 months before the snapshot; outcomes from the 6 months after.</w:t>
      </w:r>
      <w:r>
        <w:t xml:space="preserve"> The model never sees the period it is judged on.</w:t>
      </w:r>
    </w:p>
    <w:p>
      <w:pPr>
        <w:pStyle w:val="ListParagraph"/>
        <w:numPr>
          <w:ilvl w:val="0"/>
          <w:numId w:val="901"/>
        </w:numPr>
        <w:spacing w:after="60"/>
      </w:pPr>
      <w:r>
        <w:rPr>
          <w:b/>
        </w:rPr>
        <w:t>Lift is measured against each snapshot's own hit rate</w:t>
      </w:r>
      <w:r>
        <w:t xml:space="preserve"> (decision 22), because the hit rate fell from about 12% to about 7% after March 2024 (decision 21). The cause is a question for the Risk team.</w:t>
      </w:r>
    </w:p>
    <w:p>
      <w:pPr>
        <w:pStyle w:val="ListParagraph"/>
        <w:numPr>
          <w:ilvl w:val="0"/>
          <w:numId w:val="901"/>
        </w:numPr>
        <w:spacing w:after="60"/>
      </w:pPr>
      <w:r>
        <w:rPr>
          <w:b/>
        </w:rPr>
        <w:t>All extracts passed the automatic checks</w:t>
      </w:r>
      <w:r>
        <w:t xml:space="preserve"> (decisions 19 and 25): one row per TIN, valid TINs, rates between 0 and 1, hits never above checks.</w:t>
      </w:r>
    </w:p>
    <w:p>
      <w:pPr>
        <w:keepNext/>
        <w:jc w:val="center"/>
      </w:pPr>
      <w:r>
        <w:drawing>
          <wp:inline xmlns:a="http://schemas.openxmlformats.org/drawingml/2006/main" xmlns:pic="http://schemas.openxmlformats.org/drawingml/2006/picture">
            <wp:extent cx="5940000" cy="1843072"/>
            <wp:docPr id="4" name="Picture 4"/>
            <wp:cNvGraphicFramePr>
              <a:graphicFrameLocks noChangeAspect="1"/>
            </wp:cNvGraphicFramePr>
            <a:graphic>
              <a:graphicData uri="http://schemas.openxmlformats.org/drawingml/2006/picture">
                <pic:pic>
                  <pic:nvPicPr>
                    <pic:cNvPr id="0" name="chart_07.png"/>
                    <pic:cNvPicPr/>
                  </pic:nvPicPr>
                  <pic:blipFill>
                    <a:blip r:embed="rId29"/>
                    <a:stretch>
                      <a:fillRect/>
                    </a:stretch>
                  </pic:blipFill>
                  <pic:spPr>
                    <a:xfrm>
                      <a:off x="0" y="0"/>
                      <a:ext cx="5940000" cy="1843072"/>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3</w:t>
      </w:r>
      <w:r>
        <w:fldChar w:fldCharType="end"/>
      </w:r>
      <w:r>
        <w:t>: Share topped up and later hit rate by snapshot</w:t>
      </w:r>
    </w:p>
    <w:p>
      <w:r>
        <w:br w:type="page"/>
      </w:r>
    </w:p>
    <w:p/>
    <w:p/>
    <w:p/>
    <w:p/>
    <w:p/>
    <w:p/>
    <w:p>
      <w:pPr>
        <w:pStyle w:val="Heading1"/>
      </w:pPr>
      <w:r>
        <w:t>PART 3: SCORECARD DECISIONS</w:t>
      </w:r>
    </w:p>
    <w:p>
      <w:pPr>
        <w:spacing w:after="120"/>
      </w:pPr>
      <w:r>
        <w:t>This part records how the risk parameters were chosen, measured, protected against small counts, thresholded and weighted (Stages 3 and 4). The scorecard produces every point of the score.</w:t>
      </w:r>
    </w:p>
    <w:p>
      <w:r>
        <w:br w:type="page"/>
      </w:r>
    </w:p>
    <w:p>
      <w:pPr>
        <w:pStyle w:val="Heading2"/>
      </w:pPr>
      <w:r>
        <w:t>3.1 The Small-Count Problem and Credibility Weighting</w:t>
      </w:r>
    </w:p>
    <w:p>
      <w:pPr>
        <w:spacing w:after="120"/>
      </w:pPr>
      <w:r>
        <w:t>Most taxpayers declare very little: 87% of IM4 and IM7 taxpayers have fewer than 10 declarations in 24 months, and 28,626 have exactly one. A rate built on one or two declarations can only be 0%, 50% or 100%. Left alone, these taxpayers filled 84% of the HIGH band. Each rate is therefore blended with the population average by the weight n / (n + 10), where n is the number of declarations (decision 31), and the blend may only lower a rate, never raise it (decision 35).</w:t>
      </w:r>
    </w:p>
    <w:p>
      <w:pPr>
        <w:pStyle w:val="Caption"/>
      </w:pPr>
      <w:r>
        <w:t xml:space="preserve">Table </w:t>
      </w:r>
      <w:r>
        <w:fldChar w:fldCharType="begin"/>
      </w:r>
      <w:r>
        <w:instrText xml:space="preserve"> SEQ Table \* ARABIC </w:instrText>
      </w:r>
      <w:r>
        <w:fldChar w:fldCharType="separate"/>
      </w:r>
      <w:r>
        <w:t>11</w:t>
      </w:r>
      <w:r>
        <w:fldChar w:fldCharType="end"/>
      </w:r>
      <w:r>
        <w:t>: Effect of the Weighting Strength K (March 2026, one-way weighting)</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294"/>
            <w:shd w:val="clear" w:color="auto" w:fill="D9E2F3"/>
          </w:tcPr>
          <w:p>
            <w:pPr>
              <w:spacing w:after="20" w:before="20" w:line="240" w:lineRule="auto"/>
            </w:pPr>
            <w:r/>
            <w:r>
              <w:rPr>
                <w:b/>
                <w:sz w:val="18"/>
              </w:rPr>
              <w:t>K</w:t>
            </w:r>
          </w:p>
        </w:tc>
        <w:tc>
          <w:tcPr>
            <w:tcW w:type="dxa" w:w="4015"/>
            <w:shd w:val="clear" w:color="auto" w:fill="D9E2F3"/>
          </w:tcPr>
          <w:p>
            <w:pPr>
              <w:spacing w:after="20" w:before="20" w:line="240" w:lineRule="auto"/>
            </w:pPr>
            <w:r/>
            <w:r>
              <w:rPr>
                <w:b/>
                <w:sz w:val="18"/>
              </w:rPr>
              <w:t>Small traders in HIGH and VERY HIGH</w:t>
            </w:r>
          </w:p>
        </w:tc>
        <w:tc>
          <w:tcPr>
            <w:tcW w:type="dxa" w:w="3442"/>
            <w:shd w:val="clear" w:color="auto" w:fill="D9E2F3"/>
          </w:tcPr>
          <w:p>
            <w:pPr>
              <w:spacing w:after="20" w:before="20" w:line="240" w:lineRule="auto"/>
            </w:pPr>
            <w:r/>
            <w:r>
              <w:rPr>
                <w:b/>
                <w:sz w:val="18"/>
              </w:rPr>
              <w:t>Lift top 1% / 5% / 10%</w:t>
            </w:r>
          </w:p>
        </w:tc>
      </w:tr>
      <w:tr>
        <w:tc>
          <w:tcPr>
            <w:tcW w:type="dxa" w:w="2294"/>
          </w:tcPr>
          <w:p>
            <w:pPr>
              <w:spacing w:after="20" w:before="20" w:line="240" w:lineRule="auto"/>
            </w:pPr>
            <w:r/>
            <w:r>
              <w:rPr>
                <w:sz w:val="18"/>
              </w:rPr>
              <w:t>None</w:t>
            </w:r>
          </w:p>
        </w:tc>
        <w:tc>
          <w:tcPr>
            <w:tcW w:type="dxa" w:w="4015"/>
          </w:tcPr>
          <w:p>
            <w:pPr>
              <w:spacing w:after="20" w:before="20" w:line="240" w:lineRule="auto"/>
            </w:pPr>
            <w:r/>
            <w:r>
              <w:rPr>
                <w:sz w:val="18"/>
              </w:rPr>
              <w:t>5,254</w:t>
            </w:r>
          </w:p>
        </w:tc>
        <w:tc>
          <w:tcPr>
            <w:tcW w:type="dxa" w:w="3442"/>
          </w:tcPr>
          <w:p>
            <w:pPr>
              <w:spacing w:after="20" w:before="20" w:line="240" w:lineRule="auto"/>
            </w:pPr>
            <w:r/>
            <w:r>
              <w:rPr>
                <w:sz w:val="18"/>
              </w:rPr>
              <w:t>4.10 / 3.69 / 3.46</w:t>
            </w:r>
          </w:p>
        </w:tc>
      </w:tr>
      <w:tr>
        <w:tc>
          <w:tcPr>
            <w:tcW w:type="dxa" w:w="2294"/>
          </w:tcPr>
          <w:p>
            <w:pPr>
              <w:spacing w:after="20" w:before="20" w:line="240" w:lineRule="auto"/>
            </w:pPr>
            <w:r/>
            <w:r>
              <w:rPr>
                <w:sz w:val="18"/>
              </w:rPr>
              <w:t>5</w:t>
            </w:r>
          </w:p>
        </w:tc>
        <w:tc>
          <w:tcPr>
            <w:tcW w:type="dxa" w:w="4015"/>
          </w:tcPr>
          <w:p>
            <w:pPr>
              <w:spacing w:after="20" w:before="20" w:line="240" w:lineRule="auto"/>
            </w:pPr>
            <w:r/>
            <w:r>
              <w:rPr>
                <w:sz w:val="18"/>
              </w:rPr>
              <w:t>1,540</w:t>
            </w:r>
          </w:p>
        </w:tc>
        <w:tc>
          <w:tcPr>
            <w:tcW w:type="dxa" w:w="3442"/>
          </w:tcPr>
          <w:p>
            <w:pPr>
              <w:spacing w:after="20" w:before="20" w:line="240" w:lineRule="auto"/>
            </w:pPr>
            <w:r/>
            <w:r>
              <w:rPr>
                <w:sz w:val="18"/>
              </w:rPr>
              <w:t>4.05 / 3.52 / 3.19</w:t>
            </w:r>
          </w:p>
        </w:tc>
      </w:tr>
      <w:tr>
        <w:tc>
          <w:tcPr>
            <w:tcW w:type="dxa" w:w="2294"/>
          </w:tcPr>
          <w:p>
            <w:pPr>
              <w:spacing w:after="20" w:before="20" w:line="240" w:lineRule="auto"/>
            </w:pPr>
            <w:r/>
            <w:r>
              <w:rPr>
                <w:sz w:val="18"/>
              </w:rPr>
              <w:t>10 (adopted)</w:t>
            </w:r>
          </w:p>
        </w:tc>
        <w:tc>
          <w:tcPr>
            <w:tcW w:type="dxa" w:w="4015"/>
          </w:tcPr>
          <w:p>
            <w:pPr>
              <w:spacing w:after="20" w:before="20" w:line="240" w:lineRule="auto"/>
            </w:pPr>
            <w:r/>
            <w:r>
              <w:rPr>
                <w:sz w:val="18"/>
              </w:rPr>
              <w:t>538</w:t>
            </w:r>
          </w:p>
        </w:tc>
        <w:tc>
          <w:tcPr>
            <w:tcW w:type="dxa" w:w="3442"/>
          </w:tcPr>
          <w:p>
            <w:pPr>
              <w:spacing w:after="20" w:before="20" w:line="240" w:lineRule="auto"/>
            </w:pPr>
            <w:r/>
            <w:r>
              <w:rPr>
                <w:sz w:val="18"/>
              </w:rPr>
              <w:t>3.90 / 3.33 / 2.96</w:t>
            </w:r>
          </w:p>
        </w:tc>
      </w:tr>
    </w:tbl>
    <w:p>
      <w:pPr>
        <w:spacing w:after="40"/>
      </w:pPr>
    </w:p>
    <w:p>
      <w:pPr>
        <w:spacing w:after="120"/>
      </w:pPr>
      <w:r>
        <w:t>Two-way weighting was rejected because it gave clean small traders points for other people's behaviour. A data-estimated strength was tested in the challenger round (decision 49): the data put K near 3, and two-way shrinkage moved small traders to the top of the list and caught fewer hits.</w:t>
      </w:r>
    </w:p>
    <w:p>
      <w:pPr>
        <w:keepNext/>
        <w:jc w:val="center"/>
      </w:pPr>
      <w:r>
        <w:drawing>
          <wp:inline xmlns:a="http://schemas.openxmlformats.org/drawingml/2006/main" xmlns:pic="http://schemas.openxmlformats.org/drawingml/2006/picture">
            <wp:extent cx="5940000" cy="1847926"/>
            <wp:docPr id="5" name="Picture 5"/>
            <wp:cNvGraphicFramePr>
              <a:graphicFrameLocks noChangeAspect="1"/>
            </wp:cNvGraphicFramePr>
            <a:graphic>
              <a:graphicData uri="http://schemas.openxmlformats.org/drawingml/2006/picture">
                <pic:pic>
                  <pic:nvPicPr>
                    <pic:cNvPr id="0" name="chart_12.png"/>
                    <pic:cNvPicPr/>
                  </pic:nvPicPr>
                  <pic:blipFill>
                    <a:blip r:embed="rId30"/>
                    <a:stretch>
                      <a:fillRect/>
                    </a:stretch>
                  </pic:blipFill>
                  <pic:spPr>
                    <a:xfrm>
                      <a:off x="0" y="0"/>
                      <a:ext cx="5940000" cy="1847926"/>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4</w:t>
      </w:r>
      <w:r>
        <w:fldChar w:fldCharType="end"/>
      </w:r>
      <w:r>
        <w:t>: Share topped up per taxpayer before and after weighting</w:t>
      </w:r>
    </w:p>
    <w:p>
      <w:pPr>
        <w:pStyle w:val="Heading2"/>
      </w:pPr>
      <w:r>
        <w:t>3.2 How Each Parameter is Measured</w:t>
      </w:r>
    </w:p>
    <w:p>
      <w:pPr>
        <w:pStyle w:val="ListParagraph"/>
        <w:numPr>
          <w:ilvl w:val="0"/>
          <w:numId w:val="902"/>
        </w:numPr>
        <w:spacing w:after="60"/>
      </w:pPr>
      <w:r>
        <w:rPr>
          <w:b/>
        </w:rPr>
        <w:t>PAR_048 is measured over final tax, not original tax</w:t>
      </w:r>
      <w:r>
        <w:t xml:space="preserve"> (decision 32). Over original tax, a declared tax of UGX 29 produced a ratio of 4,399; 2,318 taxpayers were above 1. Over final tax the measure stays between 0 and 1, keeps the same order, and the officers' thresholds convert exactly (6% becomes 5.7%, 33% becomes 24.8%).</w:t>
      </w:r>
    </w:p>
    <w:p>
      <w:pPr>
        <w:pStyle w:val="ListParagraph"/>
        <w:numPr>
          <w:ilvl w:val="0"/>
          <w:numId w:val="902"/>
        </w:numPr>
        <w:spacing w:after="60"/>
      </w:pPr>
      <w:r>
        <w:rPr>
          <w:b/>
        </w:rPr>
        <w:t>PAR_045T is the officers' business rule</w:t>
      </w:r>
      <w:r>
        <w:t xml:space="preserve"> "entries with top-up / total entries" (decision 42). Its maximum is 40%, not the officers' 10%: at 10%, 35% of regular traders scored full points and the scale stopped ranking.</w:t>
      </w:r>
    </w:p>
    <w:p>
      <w:pPr>
        <w:pStyle w:val="ListParagraph"/>
        <w:numPr>
          <w:ilvl w:val="0"/>
          <w:numId w:val="902"/>
        </w:numPr>
        <w:spacing w:after="60"/>
      </w:pPr>
      <w:r>
        <w:rPr>
          <w:b/>
        </w:rPr>
        <w:t>PAR_045 stays as amendments</w:t>
      </w:r>
      <w:r>
        <w:t xml:space="preserve"> (decision 37).</w:t>
      </w:r>
    </w:p>
    <w:p>
      <w:pPr>
        <w:pStyle w:val="ListParagraph"/>
        <w:numPr>
          <w:ilvl w:val="0"/>
          <w:numId w:val="902"/>
        </w:numPr>
        <w:spacing w:after="60"/>
      </w:pPr>
      <w:r>
        <w:rPr>
          <w:b/>
        </w:rPr>
        <w:t>Consignee measures were dropped</w:t>
      </w:r>
      <w:r>
        <w:t xml:space="preserve"> (decision 30): in IM4 and IM7 the consignee is always the taxpayer.</w:t>
      </w:r>
    </w:p>
    <w:p>
      <w:pPr>
        <w:keepNext/>
        <w:jc w:val="center"/>
      </w:pPr>
      <w:r>
        <w:drawing>
          <wp:inline xmlns:a="http://schemas.openxmlformats.org/drawingml/2006/main" xmlns:pic="http://schemas.openxmlformats.org/drawingml/2006/picture">
            <wp:extent cx="5940000" cy="2018871"/>
            <wp:docPr id="6" name="Picture 6"/>
            <wp:cNvGraphicFramePr>
              <a:graphicFrameLocks noChangeAspect="1"/>
            </wp:cNvGraphicFramePr>
            <a:graphic>
              <a:graphicData uri="http://schemas.openxmlformats.org/drawingml/2006/picture">
                <pic:pic>
                  <pic:nvPicPr>
                    <pic:cNvPr id="0" name="chart_14.png"/>
                    <pic:cNvPicPr/>
                  </pic:nvPicPr>
                  <pic:blipFill>
                    <a:blip r:embed="rId31"/>
                    <a:stretch>
                      <a:fillRect/>
                    </a:stretch>
                  </pic:blipFill>
                  <pic:spPr>
                    <a:xfrm>
                      <a:off x="0" y="0"/>
                      <a:ext cx="5940000" cy="2018871"/>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5</w:t>
      </w:r>
      <w:r>
        <w:fldChar w:fldCharType="end"/>
      </w:r>
      <w:r>
        <w:t>: The top-up ratio over original tax and over final tax</w:t>
      </w:r>
    </w:p>
    <w:p>
      <w:pPr>
        <w:pStyle w:val="Heading2"/>
      </w:pPr>
      <w:r>
        <w:t>3.3 The Adopted Scorecard</w:t>
      </w:r>
    </w:p>
    <w:p>
      <w:pPr>
        <w:pStyle w:val="Caption"/>
      </w:pPr>
      <w:r>
        <w:t xml:space="preserve">Table </w:t>
      </w:r>
      <w:r>
        <w:fldChar w:fldCharType="begin"/>
      </w:r>
      <w:r>
        <w:instrText xml:space="preserve"> SEQ Table \* ARABIC </w:instrText>
      </w:r>
      <w:r>
        <w:fldChar w:fldCharType="separate"/>
      </w:r>
      <w:r>
        <w:t>12</w:t>
      </w:r>
      <w:r>
        <w:fldChar w:fldCharType="end"/>
      </w:r>
      <w:r>
        <w:t>: Scored Parameters, Thresholds and Weights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625"/>
        <w:gridCol w:w="1625"/>
        <w:gridCol w:w="1625"/>
        <w:gridCol w:w="1625"/>
        <w:gridCol w:w="1625"/>
        <w:gridCol w:w="1625"/>
      </w:tblGrid>
      <w:tr>
        <w:trPr>
          <w:tblHeader w:val="true"/>
        </w:trPr>
        <w:tc>
          <w:tcPr>
            <w:tcW w:type="dxa" w:w="1300"/>
            <w:shd w:val="clear" w:color="auto" w:fill="D9E2F3"/>
          </w:tcPr>
          <w:p>
            <w:pPr>
              <w:spacing w:after="20" w:before="20" w:line="240" w:lineRule="auto"/>
            </w:pPr>
            <w:r/>
            <w:r>
              <w:rPr>
                <w:b/>
                <w:sz w:val="18"/>
              </w:rPr>
              <w:t>Code</w:t>
            </w:r>
          </w:p>
        </w:tc>
        <w:tc>
          <w:tcPr>
            <w:tcW w:type="dxa" w:w="3723"/>
            <w:shd w:val="clear" w:color="auto" w:fill="D9E2F3"/>
          </w:tcPr>
          <w:p>
            <w:pPr>
              <w:spacing w:after="20" w:before="20" w:line="240" w:lineRule="auto"/>
            </w:pPr>
            <w:r/>
            <w:r>
              <w:rPr>
                <w:b/>
                <w:sz w:val="18"/>
              </w:rPr>
              <w:t>Parameter</w:t>
            </w:r>
          </w:p>
        </w:tc>
        <w:tc>
          <w:tcPr>
            <w:tcW w:type="dxa" w:w="1300"/>
            <w:shd w:val="clear" w:color="auto" w:fill="D9E2F3"/>
          </w:tcPr>
          <w:p>
            <w:pPr>
              <w:spacing w:after="20" w:before="20" w:line="240" w:lineRule="auto"/>
            </w:pPr>
            <w:r/>
            <w:r>
              <w:rPr>
                <w:b/>
                <w:sz w:val="18"/>
              </w:rPr>
              <w:t>Minimum risk level</w:t>
            </w:r>
          </w:p>
        </w:tc>
        <w:tc>
          <w:tcPr>
            <w:tcW w:type="dxa" w:w="1300"/>
            <w:shd w:val="clear" w:color="auto" w:fill="D9E2F3"/>
          </w:tcPr>
          <w:p>
            <w:pPr>
              <w:spacing w:after="20" w:before="20" w:line="240" w:lineRule="auto"/>
            </w:pPr>
            <w:r/>
            <w:r>
              <w:rPr>
                <w:b/>
                <w:sz w:val="18"/>
              </w:rPr>
              <w:t>Maximum at</w:t>
            </w:r>
          </w:p>
        </w:tc>
        <w:tc>
          <w:tcPr>
            <w:tcW w:type="dxa" w:w="1064"/>
            <w:shd w:val="clear" w:color="auto" w:fill="D9E2F3"/>
          </w:tcPr>
          <w:p>
            <w:pPr>
              <w:spacing w:after="20" w:before="20" w:line="240" w:lineRule="auto"/>
            </w:pPr>
            <w:r/>
            <w:r>
              <w:rPr>
                <w:b/>
                <w:sz w:val="18"/>
              </w:rPr>
              <w:t>L x I</w:t>
            </w:r>
          </w:p>
        </w:tc>
        <w:tc>
          <w:tcPr>
            <w:tcW w:type="dxa" w:w="1064"/>
            <w:shd w:val="clear" w:color="auto" w:fill="D9E2F3"/>
          </w:tcPr>
          <w:p>
            <w:pPr>
              <w:spacing w:after="20" w:before="20" w:line="240" w:lineRule="auto"/>
            </w:pPr>
            <w:r/>
            <w:r>
              <w:rPr>
                <w:b/>
                <w:sz w:val="18"/>
              </w:rPr>
              <w:t>Weight</w:t>
            </w:r>
          </w:p>
        </w:tc>
      </w:tr>
      <w:tr>
        <w:tc>
          <w:tcPr>
            <w:tcW w:type="dxa" w:w="1300"/>
          </w:tcPr>
          <w:p>
            <w:pPr>
              <w:spacing w:after="20" w:before="20" w:line="240" w:lineRule="auto"/>
            </w:pPr>
            <w:r/>
            <w:r>
              <w:rPr>
                <w:sz w:val="18"/>
              </w:rPr>
              <w:t>PAR_045T</w:t>
            </w:r>
          </w:p>
        </w:tc>
        <w:tc>
          <w:tcPr>
            <w:tcW w:type="dxa" w:w="3723"/>
          </w:tcPr>
          <w:p>
            <w:pPr>
              <w:spacing w:after="20" w:before="20" w:line="240" w:lineRule="auto"/>
            </w:pPr>
            <w:r/>
            <w:r>
              <w:rPr>
                <w:sz w:val="18"/>
              </w:rPr>
              <w:t>Declarations topped up</w:t>
            </w:r>
          </w:p>
        </w:tc>
        <w:tc>
          <w:tcPr>
            <w:tcW w:type="dxa" w:w="1300"/>
          </w:tcPr>
          <w:p>
            <w:pPr>
              <w:spacing w:after="20" w:before="20" w:line="240" w:lineRule="auto"/>
            </w:pPr>
            <w:r/>
            <w:r>
              <w:rPr>
                <w:sz w:val="18"/>
              </w:rPr>
              <w:t>3%</w:t>
            </w:r>
          </w:p>
        </w:tc>
        <w:tc>
          <w:tcPr>
            <w:tcW w:type="dxa" w:w="1300"/>
          </w:tcPr>
          <w:p>
            <w:pPr>
              <w:spacing w:after="20" w:before="20" w:line="240" w:lineRule="auto"/>
            </w:pPr>
            <w:r/>
            <w:r>
              <w:rPr>
                <w:sz w:val="18"/>
              </w:rPr>
              <w:t>40%</w:t>
            </w:r>
          </w:p>
        </w:tc>
        <w:tc>
          <w:tcPr>
            <w:tcW w:type="dxa" w:w="1064"/>
          </w:tcPr>
          <w:p>
            <w:pPr>
              <w:spacing w:after="20" w:before="20" w:line="240" w:lineRule="auto"/>
            </w:pPr>
            <w:r/>
            <w:r>
              <w:rPr>
                <w:sz w:val="18"/>
              </w:rPr>
              <w:t>5 x 5</w:t>
            </w:r>
          </w:p>
        </w:tc>
        <w:tc>
          <w:tcPr>
            <w:tcW w:type="dxa" w:w="1064"/>
          </w:tcPr>
          <w:p>
            <w:pPr>
              <w:spacing w:after="20" w:before="20" w:line="240" w:lineRule="auto"/>
            </w:pPr>
            <w:r/>
            <w:r>
              <w:rPr>
                <w:sz w:val="18"/>
              </w:rPr>
              <w:t>33%</w:t>
            </w:r>
          </w:p>
        </w:tc>
      </w:tr>
      <w:tr>
        <w:tc>
          <w:tcPr>
            <w:tcW w:type="dxa" w:w="1300"/>
          </w:tcPr>
          <w:p>
            <w:pPr>
              <w:spacing w:after="20" w:before="20" w:line="240" w:lineRule="auto"/>
            </w:pPr>
            <w:r/>
            <w:r>
              <w:rPr>
                <w:sz w:val="18"/>
              </w:rPr>
              <w:t>PAR_077</w:t>
            </w:r>
          </w:p>
        </w:tc>
        <w:tc>
          <w:tcPr>
            <w:tcW w:type="dxa" w:w="3723"/>
          </w:tcPr>
          <w:p>
            <w:pPr>
              <w:spacing w:after="20" w:before="20" w:line="240" w:lineRule="auto"/>
            </w:pPr>
            <w:r/>
            <w:r>
              <w:rPr>
                <w:sz w:val="18"/>
              </w:rPr>
              <w:t>Severe top-ups (30% or more of final tax)</w:t>
            </w:r>
          </w:p>
        </w:tc>
        <w:tc>
          <w:tcPr>
            <w:tcW w:type="dxa" w:w="1300"/>
          </w:tcPr>
          <w:p>
            <w:pPr>
              <w:spacing w:after="20" w:before="20" w:line="240" w:lineRule="auto"/>
            </w:pPr>
            <w:r/>
            <w:r>
              <w:rPr>
                <w:sz w:val="18"/>
              </w:rPr>
              <w:t>2%</w:t>
            </w:r>
          </w:p>
        </w:tc>
        <w:tc>
          <w:tcPr>
            <w:tcW w:type="dxa" w:w="1300"/>
          </w:tcPr>
          <w:p>
            <w:pPr>
              <w:spacing w:after="20" w:before="20" w:line="240" w:lineRule="auto"/>
            </w:pPr>
            <w:r/>
            <w:r>
              <w:rPr>
                <w:sz w:val="18"/>
              </w:rPr>
              <w:t>20%</w:t>
            </w:r>
          </w:p>
        </w:tc>
        <w:tc>
          <w:tcPr>
            <w:tcW w:type="dxa" w:w="1064"/>
          </w:tcPr>
          <w:p>
            <w:pPr>
              <w:spacing w:after="20" w:before="20" w:line="240" w:lineRule="auto"/>
            </w:pPr>
            <w:r/>
            <w:r>
              <w:rPr>
                <w:sz w:val="18"/>
              </w:rPr>
              <w:t>4 x 5</w:t>
            </w:r>
          </w:p>
        </w:tc>
        <w:tc>
          <w:tcPr>
            <w:tcW w:type="dxa" w:w="1064"/>
          </w:tcPr>
          <w:p>
            <w:pPr>
              <w:spacing w:after="20" w:before="20" w:line="240" w:lineRule="auto"/>
            </w:pPr>
            <w:r/>
            <w:r>
              <w:rPr>
                <w:sz w:val="18"/>
              </w:rPr>
              <w:t>26%</w:t>
            </w:r>
          </w:p>
        </w:tc>
      </w:tr>
      <w:tr>
        <w:tc>
          <w:tcPr>
            <w:tcW w:type="dxa" w:w="1300"/>
          </w:tcPr>
          <w:p>
            <w:pPr>
              <w:spacing w:after="20" w:before="20" w:line="240" w:lineRule="auto"/>
            </w:pPr>
            <w:r/>
            <w:r>
              <w:rPr>
                <w:sz w:val="18"/>
              </w:rPr>
              <w:t>PAR_045</w:t>
            </w:r>
          </w:p>
        </w:tc>
        <w:tc>
          <w:tcPr>
            <w:tcW w:type="dxa" w:w="3723"/>
          </w:tcPr>
          <w:p>
            <w:pPr>
              <w:spacing w:after="20" w:before="20" w:line="240" w:lineRule="auto"/>
            </w:pPr>
            <w:r/>
            <w:r>
              <w:rPr>
                <w:sz w:val="18"/>
              </w:rPr>
              <w:t>Declarations amended</w:t>
            </w:r>
          </w:p>
        </w:tc>
        <w:tc>
          <w:tcPr>
            <w:tcW w:type="dxa" w:w="1300"/>
          </w:tcPr>
          <w:p>
            <w:pPr>
              <w:spacing w:after="20" w:before="20" w:line="240" w:lineRule="auto"/>
            </w:pPr>
            <w:r/>
            <w:r>
              <w:rPr>
                <w:sz w:val="18"/>
              </w:rPr>
              <w:t>10%</w:t>
            </w:r>
          </w:p>
        </w:tc>
        <w:tc>
          <w:tcPr>
            <w:tcW w:type="dxa" w:w="1300"/>
          </w:tcPr>
          <w:p>
            <w:pPr>
              <w:spacing w:after="20" w:before="20" w:line="240" w:lineRule="auto"/>
            </w:pPr>
            <w:r/>
            <w:r>
              <w:rPr>
                <w:sz w:val="18"/>
              </w:rPr>
              <w:t>50%</w:t>
            </w:r>
          </w:p>
        </w:tc>
        <w:tc>
          <w:tcPr>
            <w:tcW w:type="dxa" w:w="1064"/>
          </w:tcPr>
          <w:p>
            <w:pPr>
              <w:spacing w:after="20" w:before="20" w:line="240" w:lineRule="auto"/>
            </w:pPr>
            <w:r/>
            <w:r>
              <w:rPr>
                <w:sz w:val="18"/>
              </w:rPr>
              <w:t>4 x 4</w:t>
            </w:r>
          </w:p>
        </w:tc>
        <w:tc>
          <w:tcPr>
            <w:tcW w:type="dxa" w:w="1064"/>
          </w:tcPr>
          <w:p>
            <w:pPr>
              <w:spacing w:after="20" w:before="20" w:line="240" w:lineRule="auto"/>
            </w:pPr>
            <w:r/>
            <w:r>
              <w:rPr>
                <w:sz w:val="18"/>
              </w:rPr>
              <w:t>21%</w:t>
            </w:r>
          </w:p>
        </w:tc>
      </w:tr>
      <w:tr>
        <w:tc>
          <w:tcPr>
            <w:tcW w:type="dxa" w:w="1300"/>
          </w:tcPr>
          <w:p>
            <w:pPr>
              <w:spacing w:after="20" w:before="20" w:line="240" w:lineRule="auto"/>
            </w:pPr>
            <w:r/>
            <w:r>
              <w:rPr>
                <w:sz w:val="18"/>
              </w:rPr>
              <w:t>PAR_048</w:t>
            </w:r>
          </w:p>
        </w:tc>
        <w:tc>
          <w:tcPr>
            <w:tcW w:type="dxa" w:w="3723"/>
          </w:tcPr>
          <w:p>
            <w:pPr>
              <w:spacing w:after="20" w:before="20" w:line="240" w:lineRule="auto"/>
            </w:pPr>
            <w:r/>
            <w:r>
              <w:rPr>
                <w:sz w:val="18"/>
              </w:rPr>
              <w:t>Top-ups as a share of final tax</w:t>
            </w:r>
          </w:p>
        </w:tc>
        <w:tc>
          <w:tcPr>
            <w:tcW w:type="dxa" w:w="1300"/>
          </w:tcPr>
          <w:p>
            <w:pPr>
              <w:spacing w:after="20" w:before="20" w:line="240" w:lineRule="auto"/>
            </w:pPr>
            <w:r/>
            <w:r>
              <w:rPr>
                <w:sz w:val="18"/>
              </w:rPr>
              <w:t>5%</w:t>
            </w:r>
          </w:p>
        </w:tc>
        <w:tc>
          <w:tcPr>
            <w:tcW w:type="dxa" w:w="1300"/>
          </w:tcPr>
          <w:p>
            <w:pPr>
              <w:spacing w:after="20" w:before="20" w:line="240" w:lineRule="auto"/>
            </w:pPr>
            <w:r/>
            <w:r>
              <w:rPr>
                <w:sz w:val="18"/>
              </w:rPr>
              <w:t>25%</w:t>
            </w:r>
          </w:p>
        </w:tc>
        <w:tc>
          <w:tcPr>
            <w:tcW w:type="dxa" w:w="1064"/>
          </w:tcPr>
          <w:p>
            <w:pPr>
              <w:spacing w:after="20" w:before="20" w:line="240" w:lineRule="auto"/>
            </w:pPr>
            <w:r/>
            <w:r>
              <w:rPr>
                <w:sz w:val="18"/>
              </w:rPr>
              <w:t>3 x 1</w:t>
            </w:r>
          </w:p>
        </w:tc>
        <w:tc>
          <w:tcPr>
            <w:tcW w:type="dxa" w:w="1064"/>
          </w:tcPr>
          <w:p>
            <w:pPr>
              <w:spacing w:after="20" w:before="20" w:line="240" w:lineRule="auto"/>
            </w:pPr>
            <w:r/>
            <w:r>
              <w:rPr>
                <w:sz w:val="18"/>
              </w:rPr>
              <w:t>4%</w:t>
            </w:r>
          </w:p>
        </w:tc>
      </w:tr>
      <w:tr>
        <w:tc>
          <w:tcPr>
            <w:tcW w:type="dxa" w:w="1300"/>
          </w:tcPr>
          <w:p>
            <w:pPr>
              <w:spacing w:after="20" w:before="20" w:line="240" w:lineRule="auto"/>
            </w:pPr>
            <w:r/>
            <w:r>
              <w:rPr>
                <w:sz w:val="18"/>
              </w:rPr>
              <w:t>PAR_076</w:t>
            </w:r>
          </w:p>
        </w:tc>
        <w:tc>
          <w:tcPr>
            <w:tcW w:type="dxa" w:w="3723"/>
          </w:tcPr>
          <w:p>
            <w:pPr>
              <w:spacing w:after="20" w:before="20" w:line="240" w:lineRule="auto"/>
            </w:pPr>
            <w:r/>
            <w:r>
              <w:rPr>
                <w:sz w:val="18"/>
              </w:rPr>
              <w:t>Value below HS benchmark</w:t>
            </w:r>
          </w:p>
        </w:tc>
        <w:tc>
          <w:tcPr>
            <w:tcW w:type="dxa" w:w="1300"/>
          </w:tcPr>
          <w:p>
            <w:pPr>
              <w:spacing w:after="20" w:before="20" w:line="240" w:lineRule="auto"/>
            </w:pPr>
            <w:r/>
            <w:r>
              <w:rPr>
                <w:sz w:val="18"/>
              </w:rPr>
              <w:t>2%</w:t>
            </w:r>
          </w:p>
        </w:tc>
        <w:tc>
          <w:tcPr>
            <w:tcW w:type="dxa" w:w="1300"/>
          </w:tcPr>
          <w:p>
            <w:pPr>
              <w:spacing w:after="20" w:before="20" w:line="240" w:lineRule="auto"/>
            </w:pPr>
            <w:r/>
            <w:r>
              <w:rPr>
                <w:sz w:val="18"/>
              </w:rPr>
              <w:t>20%</w:t>
            </w:r>
          </w:p>
        </w:tc>
        <w:tc>
          <w:tcPr>
            <w:tcW w:type="dxa" w:w="1064"/>
          </w:tcPr>
          <w:p>
            <w:pPr>
              <w:spacing w:after="20" w:before="20" w:line="240" w:lineRule="auto"/>
            </w:pPr>
            <w:r/>
            <w:r>
              <w:rPr>
                <w:sz w:val="18"/>
              </w:rPr>
              <w:t>3 x 1</w:t>
            </w:r>
          </w:p>
        </w:tc>
        <w:tc>
          <w:tcPr>
            <w:tcW w:type="dxa" w:w="1064"/>
          </w:tcPr>
          <w:p>
            <w:pPr>
              <w:spacing w:after="20" w:before="20" w:line="240" w:lineRule="auto"/>
            </w:pPr>
            <w:r/>
            <w:r>
              <w:rPr>
                <w:sz w:val="18"/>
              </w:rPr>
              <w:t>4%</w:t>
            </w:r>
          </w:p>
        </w:tc>
      </w:tr>
      <w:tr>
        <w:tc>
          <w:tcPr>
            <w:tcW w:type="dxa" w:w="1300"/>
          </w:tcPr>
          <w:p>
            <w:pPr>
              <w:spacing w:after="20" w:before="20" w:line="240" w:lineRule="auto"/>
            </w:pPr>
            <w:r/>
            <w:r>
              <w:rPr>
                <w:sz w:val="18"/>
              </w:rPr>
              <w:t>PAR_066</w:t>
            </w:r>
          </w:p>
        </w:tc>
        <w:tc>
          <w:tcPr>
            <w:tcW w:type="dxa" w:w="3723"/>
          </w:tcPr>
          <w:p>
            <w:pPr>
              <w:spacing w:after="20" w:before="20" w:line="240" w:lineRule="auto"/>
            </w:pPr>
            <w:r/>
            <w:r>
              <w:rPr>
                <w:sz w:val="18"/>
              </w:rPr>
              <w:t>Tax reduced after assessment</w:t>
            </w:r>
          </w:p>
        </w:tc>
        <w:tc>
          <w:tcPr>
            <w:tcW w:type="dxa" w:w="1300"/>
          </w:tcPr>
          <w:p>
            <w:pPr>
              <w:spacing w:after="20" w:before="20" w:line="240" w:lineRule="auto"/>
            </w:pPr>
            <w:r/>
            <w:r>
              <w:rPr>
                <w:sz w:val="18"/>
              </w:rPr>
              <w:t>2%</w:t>
            </w:r>
          </w:p>
        </w:tc>
        <w:tc>
          <w:tcPr>
            <w:tcW w:type="dxa" w:w="1300"/>
          </w:tcPr>
          <w:p>
            <w:pPr>
              <w:spacing w:after="20" w:before="20" w:line="240" w:lineRule="auto"/>
            </w:pPr>
            <w:r/>
            <w:r>
              <w:rPr>
                <w:sz w:val="18"/>
              </w:rPr>
              <w:t>20%</w:t>
            </w:r>
          </w:p>
        </w:tc>
        <w:tc>
          <w:tcPr>
            <w:tcW w:type="dxa" w:w="1064"/>
          </w:tcPr>
          <w:p>
            <w:pPr>
              <w:spacing w:after="20" w:before="20" w:line="240" w:lineRule="auto"/>
            </w:pPr>
            <w:r/>
            <w:r>
              <w:rPr>
                <w:sz w:val="18"/>
              </w:rPr>
              <w:t>3 x 1</w:t>
            </w:r>
          </w:p>
        </w:tc>
        <w:tc>
          <w:tcPr>
            <w:tcW w:type="dxa" w:w="1064"/>
          </w:tcPr>
          <w:p>
            <w:pPr>
              <w:spacing w:after="20" w:before="20" w:line="240" w:lineRule="auto"/>
            </w:pPr>
            <w:r/>
            <w:r>
              <w:rPr>
                <w:sz w:val="18"/>
              </w:rPr>
              <w:t>4%</w:t>
            </w:r>
          </w:p>
        </w:tc>
      </w:tr>
      <w:tr>
        <w:tc>
          <w:tcPr>
            <w:tcW w:type="dxa" w:w="1300"/>
          </w:tcPr>
          <w:p>
            <w:pPr>
              <w:spacing w:after="20" w:before="20" w:line="240" w:lineRule="auto"/>
            </w:pPr>
            <w:r/>
            <w:r>
              <w:rPr>
                <w:sz w:val="18"/>
              </w:rPr>
              <w:t>PAR_105</w:t>
            </w:r>
          </w:p>
        </w:tc>
        <w:tc>
          <w:tcPr>
            <w:tcW w:type="dxa" w:w="3723"/>
          </w:tcPr>
          <w:p>
            <w:pPr>
              <w:spacing w:after="20" w:before="20" w:line="240" w:lineRule="auto"/>
            </w:pPr>
            <w:r/>
            <w:r>
              <w:rPr>
                <w:sz w:val="18"/>
              </w:rPr>
              <w:t>Top-up within 180 days</w:t>
            </w:r>
          </w:p>
        </w:tc>
        <w:tc>
          <w:tcPr>
            <w:tcW w:type="dxa" w:w="1300"/>
          </w:tcPr>
          <w:p>
            <w:pPr>
              <w:spacing w:after="20" w:before="20" w:line="240" w:lineRule="auto"/>
            </w:pPr>
            <w:r/>
            <w:r>
              <w:rPr>
                <w:sz w:val="18"/>
              </w:rPr>
              <w:t>no</w:t>
            </w:r>
          </w:p>
        </w:tc>
        <w:tc>
          <w:tcPr>
            <w:tcW w:type="dxa" w:w="1300"/>
          </w:tcPr>
          <w:p>
            <w:pPr>
              <w:spacing w:after="20" w:before="20" w:line="240" w:lineRule="auto"/>
            </w:pPr>
            <w:r/>
            <w:r>
              <w:rPr>
                <w:sz w:val="18"/>
              </w:rPr>
              <w:t>yes</w:t>
            </w:r>
          </w:p>
        </w:tc>
        <w:tc>
          <w:tcPr>
            <w:tcW w:type="dxa" w:w="1064"/>
          </w:tcPr>
          <w:p>
            <w:pPr>
              <w:spacing w:after="20" w:before="20" w:line="240" w:lineRule="auto"/>
            </w:pPr>
            <w:r/>
            <w:r>
              <w:rPr>
                <w:sz w:val="18"/>
              </w:rPr>
              <w:t>3 x 1</w:t>
            </w:r>
          </w:p>
        </w:tc>
        <w:tc>
          <w:tcPr>
            <w:tcW w:type="dxa" w:w="1064"/>
          </w:tcPr>
          <w:p>
            <w:pPr>
              <w:spacing w:after="20" w:before="20" w:line="240" w:lineRule="auto"/>
            </w:pPr>
            <w:r/>
            <w:r>
              <w:rPr>
                <w:sz w:val="18"/>
              </w:rPr>
              <w:t>4%</w:t>
            </w:r>
          </w:p>
        </w:tc>
      </w:tr>
      <w:tr>
        <w:tc>
          <w:tcPr>
            <w:tcW w:type="dxa" w:w="1300"/>
          </w:tcPr>
          <w:p>
            <w:pPr>
              <w:spacing w:after="20" w:before="20" w:line="240" w:lineRule="auto"/>
            </w:pPr>
            <w:r/>
            <w:r>
              <w:rPr>
                <w:sz w:val="18"/>
              </w:rPr>
              <w:t>PAR_023</w:t>
            </w:r>
          </w:p>
        </w:tc>
        <w:tc>
          <w:tcPr>
            <w:tcW w:type="dxa" w:w="3723"/>
          </w:tcPr>
          <w:p>
            <w:pPr>
              <w:spacing w:after="20" w:before="20" w:line="240" w:lineRule="auto"/>
            </w:pPr>
            <w:r/>
            <w:r>
              <w:rPr>
                <w:sz w:val="18"/>
              </w:rPr>
              <w:t>Clearance away from main station</w:t>
            </w:r>
          </w:p>
        </w:tc>
        <w:tc>
          <w:tcPr>
            <w:tcW w:type="dxa" w:w="1300"/>
          </w:tcPr>
          <w:p>
            <w:pPr>
              <w:spacing w:after="20" w:before="20" w:line="240" w:lineRule="auto"/>
            </w:pPr>
            <w:r/>
            <w:r>
              <w:rPr>
                <w:sz w:val="18"/>
              </w:rPr>
              <w:t>30%</w:t>
            </w:r>
          </w:p>
        </w:tc>
        <w:tc>
          <w:tcPr>
            <w:tcW w:type="dxa" w:w="1300"/>
          </w:tcPr>
          <w:p>
            <w:pPr>
              <w:spacing w:after="20" w:before="20" w:line="240" w:lineRule="auto"/>
            </w:pPr>
            <w:r/>
            <w:r>
              <w:rPr>
                <w:sz w:val="18"/>
              </w:rPr>
              <w:t>70%</w:t>
            </w:r>
          </w:p>
        </w:tc>
        <w:tc>
          <w:tcPr>
            <w:tcW w:type="dxa" w:w="1064"/>
          </w:tcPr>
          <w:p>
            <w:pPr>
              <w:spacing w:after="20" w:before="20" w:line="240" w:lineRule="auto"/>
            </w:pPr>
            <w:r/>
            <w:r>
              <w:rPr>
                <w:sz w:val="18"/>
              </w:rPr>
              <w:t>3 x 1</w:t>
            </w:r>
          </w:p>
        </w:tc>
        <w:tc>
          <w:tcPr>
            <w:tcW w:type="dxa" w:w="1064"/>
          </w:tcPr>
          <w:p>
            <w:pPr>
              <w:spacing w:after="20" w:before="20" w:line="240" w:lineRule="auto"/>
            </w:pPr>
            <w:r/>
            <w:r>
              <w:rPr>
                <w:sz w:val="18"/>
              </w:rPr>
              <w:t>4%</w:t>
            </w:r>
          </w:p>
        </w:tc>
      </w:tr>
    </w:tbl>
    <w:p>
      <w:pPr>
        <w:spacing w:after="40"/>
      </w:pPr>
    </w:p>
    <w:p>
      <w:pPr>
        <w:spacing w:after="120"/>
      </w:pPr>
      <w:r>
        <w:t>Each parameter scores 0 at its minimum risk level, full weight at its maximum, and a straight line between. If a parameter cannot be computed for a taxpayer, the others are reweighted to still total 100. The likelihood and impact ratings are Data Science working ratings set from the back-test, to be confirmed with the Risk Officers.</w:t>
      </w:r>
    </w:p>
    <w:p>
      <w:pPr>
        <w:keepNext/>
        <w:jc w:val="center"/>
      </w:pPr>
      <w:r>
        <w:drawing>
          <wp:inline xmlns:a="http://schemas.openxmlformats.org/drawingml/2006/main" xmlns:pic="http://schemas.openxmlformats.org/drawingml/2006/picture">
            <wp:extent cx="5940000" cy="2272032"/>
            <wp:docPr id="7" name="Picture 7"/>
            <wp:cNvGraphicFramePr>
              <a:graphicFrameLocks noChangeAspect="1"/>
            </wp:cNvGraphicFramePr>
            <a:graphic>
              <a:graphicData uri="http://schemas.openxmlformats.org/drawingml/2006/picture">
                <pic:pic>
                  <pic:nvPicPr>
                    <pic:cNvPr id="0" name="chart_16.png"/>
                    <pic:cNvPicPr/>
                  </pic:nvPicPr>
                  <pic:blipFill>
                    <a:blip r:embed="rId32"/>
                    <a:stretch>
                      <a:fillRect/>
                    </a:stretch>
                  </pic:blipFill>
                  <pic:spPr>
                    <a:xfrm>
                      <a:off x="0" y="0"/>
                      <a:ext cx="5940000" cy="2272032"/>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6</w:t>
      </w:r>
      <w:r>
        <w:fldChar w:fldCharType="end"/>
      </w:r>
      <w:r>
        <w:t>: Lift at the top 5% for each parameter alone, the baseline and the scorecard</w:t>
      </w:r>
    </w:p>
    <w:p>
      <w:pPr>
        <w:pStyle w:val="Caption"/>
      </w:pPr>
      <w:r>
        <w:t xml:space="preserve">Table </w:t>
      </w:r>
      <w:r>
        <w:fldChar w:fldCharType="begin"/>
      </w:r>
      <w:r>
        <w:instrText xml:space="preserve"> SEQ Table \* ARABIC </w:instrText>
      </w:r>
      <w:r>
        <w:fldChar w:fldCharType="separate"/>
      </w:r>
      <w:r>
        <w:t>13</w:t>
      </w:r>
      <w:r>
        <w:fldChar w:fldCharType="end"/>
      </w:r>
      <w:r>
        <w:t>: Scorecard Options Tested (average of 6 snapshots)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4015"/>
            <w:shd w:val="clear" w:color="auto" w:fill="D9E2F3"/>
          </w:tcPr>
          <w:p>
            <w:pPr>
              <w:spacing w:after="20" w:before="20" w:line="240" w:lineRule="auto"/>
            </w:pPr>
            <w:r/>
            <w:r>
              <w:rPr>
                <w:b/>
                <w:sz w:val="18"/>
              </w:rPr>
              <w:t>Scorecard</w:t>
            </w:r>
          </w:p>
        </w:tc>
        <w:tc>
          <w:tcPr>
            <w:tcW w:type="dxa" w:w="2868"/>
            <w:shd w:val="clear" w:color="auto" w:fill="D9E2F3"/>
          </w:tcPr>
          <w:p>
            <w:pPr>
              <w:spacing w:after="20" w:before="20" w:line="240" w:lineRule="auto"/>
            </w:pPr>
            <w:r/>
            <w:r>
              <w:rPr>
                <w:b/>
                <w:sz w:val="18"/>
              </w:rPr>
              <w:t>Lift top 1% / 5% / 10%</w:t>
            </w:r>
          </w:p>
        </w:tc>
        <w:tc>
          <w:tcPr>
            <w:tcW w:type="dxa" w:w="2868"/>
            <w:shd w:val="clear" w:color="auto" w:fill="D9E2F3"/>
          </w:tcPr>
          <w:p>
            <w:pPr>
              <w:spacing w:after="20" w:before="20" w:line="240" w:lineRule="auto"/>
            </w:pPr>
            <w:r/>
            <w:r>
              <w:rPr>
                <w:b/>
                <w:sz w:val="18"/>
              </w:rPr>
              <w:t>Snapshots beating the baseline</w:t>
            </w:r>
          </w:p>
        </w:tc>
      </w:tr>
      <w:tr>
        <w:tc>
          <w:tcPr>
            <w:tcW w:type="dxa" w:w="4015"/>
          </w:tcPr>
          <w:p>
            <w:pPr>
              <w:spacing w:after="20" w:before="20" w:line="240" w:lineRule="auto"/>
            </w:pPr>
            <w:r/>
            <w:r>
              <w:rPr>
                <w:sz w:val="18"/>
              </w:rPr>
              <w:t>Lean: PAR_045T + PAR_077 + PAR_045</w:t>
            </w:r>
          </w:p>
        </w:tc>
        <w:tc>
          <w:tcPr>
            <w:tcW w:type="dxa" w:w="2868"/>
          </w:tcPr>
          <w:p>
            <w:pPr>
              <w:spacing w:after="20" w:before="20" w:line="240" w:lineRule="auto"/>
            </w:pPr>
            <w:r/>
            <w:r>
              <w:rPr>
                <w:sz w:val="18"/>
              </w:rPr>
              <w:t>4.87 / 4.26 / 4.19</w:t>
            </w:r>
          </w:p>
        </w:tc>
        <w:tc>
          <w:tcPr>
            <w:tcW w:type="dxa" w:w="2868"/>
          </w:tcPr>
          <w:p>
            <w:pPr>
              <w:spacing w:after="20" w:before="20" w:line="240" w:lineRule="auto"/>
            </w:pPr>
            <w:r/>
            <w:r>
              <w:rPr>
                <w:sz w:val="18"/>
              </w:rPr>
              <w:t>6 / 4 / 3</w:t>
            </w:r>
          </w:p>
        </w:tc>
      </w:tr>
      <w:tr>
        <w:tc>
          <w:tcPr>
            <w:tcW w:type="dxa" w:w="4015"/>
          </w:tcPr>
          <w:p>
            <w:pPr>
              <w:spacing w:after="20" w:before="20" w:line="240" w:lineRule="auto"/>
            </w:pPr>
            <w:r/>
            <w:r>
              <w:rPr>
                <w:sz w:val="18"/>
              </w:rPr>
              <w:t>All 8, evidence weights (adopted, decision 41)</w:t>
            </w:r>
          </w:p>
        </w:tc>
        <w:tc>
          <w:tcPr>
            <w:tcW w:type="dxa" w:w="2868"/>
          </w:tcPr>
          <w:p>
            <w:pPr>
              <w:spacing w:after="20" w:before="20" w:line="240" w:lineRule="auto"/>
            </w:pPr>
            <w:r/>
            <w:r>
              <w:rPr>
                <w:sz w:val="18"/>
              </w:rPr>
              <w:t>4.62 / 4.49 / 4.05</w:t>
            </w:r>
          </w:p>
        </w:tc>
        <w:tc>
          <w:tcPr>
            <w:tcW w:type="dxa" w:w="2868"/>
          </w:tcPr>
          <w:p>
            <w:pPr>
              <w:spacing w:after="20" w:before="20" w:line="240" w:lineRule="auto"/>
            </w:pPr>
            <w:r/>
            <w:r>
              <w:rPr>
                <w:sz w:val="18"/>
              </w:rPr>
              <w:t>6 / 4 / 4</w:t>
            </w:r>
          </w:p>
        </w:tc>
      </w:tr>
      <w:tr>
        <w:tc>
          <w:tcPr>
            <w:tcW w:type="dxa" w:w="4015"/>
          </w:tcPr>
          <w:p>
            <w:pPr>
              <w:spacing w:after="20" w:before="20" w:line="240" w:lineRule="auto"/>
            </w:pPr>
            <w:r/>
            <w:r>
              <w:rPr>
                <w:sz w:val="18"/>
              </w:rPr>
              <w:t>Earlier 7-parameter card</w:t>
            </w:r>
          </w:p>
        </w:tc>
        <w:tc>
          <w:tcPr>
            <w:tcW w:type="dxa" w:w="2868"/>
          </w:tcPr>
          <w:p>
            <w:pPr>
              <w:spacing w:after="20" w:before="20" w:line="240" w:lineRule="auto"/>
            </w:pPr>
            <w:r/>
            <w:r>
              <w:rPr>
                <w:sz w:val="18"/>
              </w:rPr>
              <w:t>4.00 / 3.39 / 2.94</w:t>
            </w:r>
          </w:p>
        </w:tc>
        <w:tc>
          <w:tcPr>
            <w:tcW w:type="dxa" w:w="2868"/>
          </w:tcPr>
          <w:p>
            <w:pPr>
              <w:spacing w:after="20" w:before="20" w:line="240" w:lineRule="auto"/>
            </w:pPr>
            <w:r/>
            <w:r>
              <w:rPr>
                <w:sz w:val="18"/>
              </w:rPr>
              <w:t>6 / 2 / 1</w:t>
            </w:r>
          </w:p>
        </w:tc>
      </w:tr>
      <w:tr>
        <w:tc>
          <w:tcPr>
            <w:tcW w:type="dxa" w:w="4015"/>
          </w:tcPr>
          <w:p>
            <w:pPr>
              <w:spacing w:after="20" w:before="20" w:line="240" w:lineRule="auto"/>
            </w:pPr>
            <w:r/>
            <w:r>
              <w:rPr>
                <w:sz w:val="18"/>
              </w:rPr>
              <w:t>Baseline: past top-up ratio</w:t>
            </w:r>
          </w:p>
        </w:tc>
        <w:tc>
          <w:tcPr>
            <w:tcW w:type="dxa" w:w="2868"/>
          </w:tcPr>
          <w:p>
            <w:pPr>
              <w:spacing w:after="20" w:before="20" w:line="240" w:lineRule="auto"/>
            </w:pPr>
            <w:r/>
            <w:r>
              <w:rPr>
                <w:sz w:val="18"/>
              </w:rPr>
              <w:t>2.87 / 3.60 / 3.55</w:t>
            </w:r>
          </w:p>
        </w:tc>
        <w:tc>
          <w:tcPr>
            <w:tcW w:type="dxa" w:w="2868"/>
          </w:tcPr>
          <w:p>
            <w:pPr>
              <w:spacing w:after="20" w:before="20" w:line="240" w:lineRule="auto"/>
            </w:pPr>
            <w:r/>
          </w:p>
        </w:tc>
      </w:tr>
    </w:tbl>
    <w:p>
      <w:pPr>
        <w:spacing w:after="40"/>
      </w:pPr>
    </w:p>
    <w:p>
      <w:pPr>
        <w:spacing w:after="120"/>
      </w:pPr>
      <w:r>
        <w:t>All eight were kept because scoring them costs almost nothing in ranking and keeps every agreed parameter with data in the score and in the reasons officers read.</w:t>
      </w:r>
    </w:p>
    <w:p>
      <w:pPr>
        <w:pStyle w:val="Heading2"/>
      </w:pPr>
      <w:r>
        <w:t>3.4 Officers' Thresholds Compared</w:t>
      </w:r>
    </w:p>
    <w:p>
      <w:pPr>
        <w:pStyle w:val="Caption"/>
      </w:pPr>
      <w:r>
        <w:t xml:space="preserve">Table </w:t>
      </w:r>
      <w:r>
        <w:fldChar w:fldCharType="begin"/>
      </w:r>
      <w:r>
        <w:instrText xml:space="preserve"> SEQ Table \* ARABIC </w:instrText>
      </w:r>
      <w:r>
        <w:fldChar w:fldCharType="separate"/>
      </w:r>
      <w:r>
        <w:t>14</w:t>
      </w:r>
      <w:r>
        <w:fldChar w:fldCharType="end"/>
      </w:r>
      <w:r>
        <w:t>: Threshold Profiles Compared (one-way weighting, K = 10)</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868"/>
            <w:shd w:val="clear" w:color="auto" w:fill="D9E2F3"/>
          </w:tcPr>
          <w:p>
            <w:pPr>
              <w:spacing w:after="20" w:before="20" w:line="240" w:lineRule="auto"/>
            </w:pPr>
            <w:r/>
            <w:r>
              <w:rPr>
                <w:b/>
                <w:sz w:val="18"/>
              </w:rPr>
              <w:t>Profile</w:t>
            </w:r>
          </w:p>
        </w:tc>
        <w:tc>
          <w:tcPr>
            <w:tcW w:type="dxa" w:w="2868"/>
            <w:shd w:val="clear" w:color="auto" w:fill="D9E2F3"/>
          </w:tcPr>
          <w:p>
            <w:pPr>
              <w:spacing w:after="20" w:before="20" w:line="240" w:lineRule="auto"/>
            </w:pPr>
            <w:r/>
            <w:r>
              <w:rPr>
                <w:b/>
                <w:sz w:val="18"/>
              </w:rPr>
              <w:t>Lift top 1% / 5% / 10%</w:t>
            </w:r>
          </w:p>
        </w:tc>
        <w:tc>
          <w:tcPr>
            <w:tcW w:type="dxa" w:w="4015"/>
            <w:shd w:val="clear" w:color="auto" w:fill="D9E2F3"/>
          </w:tcPr>
          <w:p>
            <w:pPr>
              <w:spacing w:after="20" w:before="20" w:line="240" w:lineRule="auto"/>
            </w:pPr>
            <w:r/>
            <w:r>
              <w:rPr>
                <w:b/>
                <w:sz w:val="18"/>
              </w:rPr>
              <w:t>Regular / small traders in HIGH and VERY HIGH</w:t>
            </w:r>
          </w:p>
        </w:tc>
      </w:tr>
      <w:tr>
        <w:tc>
          <w:tcPr>
            <w:tcW w:type="dxa" w:w="2868"/>
          </w:tcPr>
          <w:p>
            <w:pPr>
              <w:spacing w:after="20" w:before="20" w:line="240" w:lineRule="auto"/>
            </w:pPr>
            <w:r/>
            <w:r>
              <w:rPr>
                <w:sz w:val="18"/>
              </w:rPr>
              <w:t>Data Science provisional</w:t>
            </w:r>
          </w:p>
        </w:tc>
        <w:tc>
          <w:tcPr>
            <w:tcW w:type="dxa" w:w="2868"/>
          </w:tcPr>
          <w:p>
            <w:pPr>
              <w:spacing w:after="20" w:before="20" w:line="240" w:lineRule="auto"/>
            </w:pPr>
            <w:r/>
            <w:r>
              <w:rPr>
                <w:sz w:val="18"/>
              </w:rPr>
              <w:t>3.90 / 3.33 / 2.96</w:t>
            </w:r>
          </w:p>
        </w:tc>
        <w:tc>
          <w:tcPr>
            <w:tcW w:type="dxa" w:w="4015"/>
          </w:tcPr>
          <w:p>
            <w:pPr>
              <w:spacing w:after="20" w:before="20" w:line="240" w:lineRule="auto"/>
            </w:pPr>
            <w:r/>
            <w:r>
              <w:rPr>
                <w:sz w:val="18"/>
              </w:rPr>
              <w:t>740 / 538</w:t>
            </w:r>
          </w:p>
        </w:tc>
      </w:tr>
      <w:tr>
        <w:tc>
          <w:tcPr>
            <w:tcW w:type="dxa" w:w="2868"/>
          </w:tcPr>
          <w:p>
            <w:pPr>
              <w:spacing w:after="20" w:before="20" w:line="240" w:lineRule="auto"/>
            </w:pPr>
            <w:r/>
            <w:r>
              <w:rPr>
                <w:sz w:val="18"/>
              </w:rPr>
              <w:t>Officers (profile 1)</w:t>
            </w:r>
          </w:p>
        </w:tc>
        <w:tc>
          <w:tcPr>
            <w:tcW w:type="dxa" w:w="2868"/>
          </w:tcPr>
          <w:p>
            <w:pPr>
              <w:spacing w:after="20" w:before="20" w:line="240" w:lineRule="auto"/>
            </w:pPr>
            <w:r/>
            <w:r>
              <w:rPr>
                <w:sz w:val="18"/>
              </w:rPr>
              <w:t>3.76 / 3.29 / 2.99</w:t>
            </w:r>
          </w:p>
        </w:tc>
        <w:tc>
          <w:tcPr>
            <w:tcW w:type="dxa" w:w="4015"/>
          </w:tcPr>
          <w:p>
            <w:pPr>
              <w:spacing w:after="20" w:before="20" w:line="240" w:lineRule="auto"/>
            </w:pPr>
            <w:r/>
            <w:r>
              <w:rPr>
                <w:sz w:val="18"/>
              </w:rPr>
              <w:t>1,466 / 3,205</w:t>
            </w:r>
          </w:p>
        </w:tc>
      </w:tr>
      <w:tr>
        <w:tc>
          <w:tcPr>
            <w:tcW w:type="dxa" w:w="2868"/>
          </w:tcPr>
          <w:p>
            <w:pPr>
              <w:spacing w:after="20" w:before="20" w:line="240" w:lineRule="auto"/>
            </w:pPr>
            <w:r/>
            <w:r>
              <w:rPr>
                <w:sz w:val="18"/>
              </w:rPr>
              <w:t>Officers (profile 2)</w:t>
            </w:r>
          </w:p>
        </w:tc>
        <w:tc>
          <w:tcPr>
            <w:tcW w:type="dxa" w:w="2868"/>
          </w:tcPr>
          <w:p>
            <w:pPr>
              <w:spacing w:after="20" w:before="20" w:line="240" w:lineRule="auto"/>
            </w:pPr>
            <w:r/>
            <w:r>
              <w:rPr>
                <w:sz w:val="18"/>
              </w:rPr>
              <w:t>3.77 / 3.26 / 2.88</w:t>
            </w:r>
          </w:p>
        </w:tc>
        <w:tc>
          <w:tcPr>
            <w:tcW w:type="dxa" w:w="4015"/>
          </w:tcPr>
          <w:p>
            <w:pPr>
              <w:spacing w:after="20" w:before="20" w:line="240" w:lineRule="auto"/>
            </w:pPr>
            <w:r/>
            <w:r>
              <w:rPr>
                <w:sz w:val="18"/>
              </w:rPr>
              <w:t>1,002 / 1,149</w:t>
            </w:r>
          </w:p>
        </w:tc>
      </w:tr>
    </w:tbl>
    <w:p>
      <w:pPr>
        <w:spacing w:after="40"/>
      </w:pPr>
    </w:p>
    <w:p>
      <w:pPr>
        <w:spacing w:after="120"/>
      </w:pPr>
      <w:r>
        <w:t>Both officer profiles are kept in the code for continued testing (decision 34). PAR_048 uses the band of 5% to 25% of final tax and PAR_105 the officers' yes or no rule (decision 40).</w:t>
      </w:r>
    </w:p>
    <w:p>
      <w:pPr>
        <w:pStyle w:val="Heading2"/>
      </w:pPr>
      <w:r>
        <w:t>3.5 Coverage of the 20 Agreed Parameters</w:t>
      </w:r>
    </w:p>
    <w:p>
      <w:pPr>
        <w:pStyle w:val="Caption"/>
      </w:pPr>
      <w:r>
        <w:t xml:space="preserve">Table </w:t>
      </w:r>
      <w:r>
        <w:fldChar w:fldCharType="begin"/>
      </w:r>
      <w:r>
        <w:instrText xml:space="preserve"> SEQ Table \* ARABIC </w:instrText>
      </w:r>
      <w:r>
        <w:fldChar w:fldCharType="separate"/>
      </w:r>
      <w:r>
        <w:t>15</w:t>
      </w:r>
      <w:r>
        <w:fldChar w:fldCharType="end"/>
      </w:r>
      <w:r>
        <w:t>: Status of the 20 Agreed Parameters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581"/>
            <w:shd w:val="clear" w:color="auto" w:fill="D9E2F3"/>
          </w:tcPr>
          <w:p>
            <w:pPr>
              <w:spacing w:after="20" w:before="20" w:line="240" w:lineRule="auto"/>
            </w:pPr>
            <w:r/>
            <w:r>
              <w:rPr>
                <w:b/>
                <w:sz w:val="18"/>
              </w:rPr>
              <w:t>Status</w:t>
            </w:r>
          </w:p>
        </w:tc>
        <w:tc>
          <w:tcPr>
            <w:tcW w:type="dxa" w:w="4302"/>
            <w:shd w:val="clear" w:color="auto" w:fill="D9E2F3"/>
          </w:tcPr>
          <w:p>
            <w:pPr>
              <w:spacing w:after="20" w:before="20" w:line="240" w:lineRule="auto"/>
            </w:pPr>
            <w:r/>
            <w:r>
              <w:rPr>
                <w:b/>
                <w:sz w:val="18"/>
              </w:rPr>
              <w:t>Parameters</w:t>
            </w:r>
          </w:p>
        </w:tc>
        <w:tc>
          <w:tcPr>
            <w:tcW w:type="dxa" w:w="2868"/>
            <w:shd w:val="clear" w:color="auto" w:fill="D9E2F3"/>
          </w:tcPr>
          <w:p>
            <w:pPr>
              <w:spacing w:after="20" w:before="20" w:line="240" w:lineRule="auto"/>
            </w:pPr>
            <w:r/>
            <w:r>
              <w:rPr>
                <w:b/>
                <w:sz w:val="18"/>
              </w:rPr>
              <w:t>Reason</w:t>
            </w:r>
          </w:p>
        </w:tc>
      </w:tr>
      <w:tr>
        <w:tc>
          <w:tcPr>
            <w:tcW w:type="dxa" w:w="2581"/>
          </w:tcPr>
          <w:p>
            <w:pPr>
              <w:spacing w:after="20" w:before="20" w:line="240" w:lineRule="auto"/>
            </w:pPr>
            <w:r/>
            <w:r>
              <w:rPr>
                <w:sz w:val="18"/>
              </w:rPr>
              <w:t>Scored (8)</w:t>
            </w:r>
          </w:p>
        </w:tc>
        <w:tc>
          <w:tcPr>
            <w:tcW w:type="dxa" w:w="4302"/>
          </w:tcPr>
          <w:p>
            <w:pPr>
              <w:spacing w:after="20" w:before="20" w:line="240" w:lineRule="auto"/>
            </w:pPr>
            <w:r/>
            <w:r>
              <w:rPr>
                <w:sz w:val="18"/>
              </w:rPr>
              <w:t>PAR_045, PAR_045T, PAR_077, PAR_048, PAR_076, PAR_066, PAR_105, PAR_023</w:t>
            </w:r>
          </w:p>
        </w:tc>
        <w:tc>
          <w:tcPr>
            <w:tcW w:type="dxa" w:w="2868"/>
          </w:tcPr>
          <w:p>
            <w:pPr>
              <w:spacing w:after="20" w:before="20" w:line="240" w:lineRule="auto"/>
            </w:pPr>
            <w:r/>
            <w:r>
              <w:rPr>
                <w:sz w:val="18"/>
              </w:rPr>
              <w:t>Data available in the view</w:t>
            </w:r>
          </w:p>
        </w:tc>
      </w:tr>
      <w:tr>
        <w:tc>
          <w:tcPr>
            <w:tcW w:type="dxa" w:w="2581"/>
          </w:tcPr>
          <w:p>
            <w:pPr>
              <w:spacing w:after="20" w:before="20" w:line="240" w:lineRule="auto"/>
            </w:pPr>
            <w:r/>
            <w:r>
              <w:rPr>
                <w:sz w:val="18"/>
              </w:rPr>
              <w:t>Built, awaiting the next extract (2)</w:t>
            </w:r>
          </w:p>
        </w:tc>
        <w:tc>
          <w:tcPr>
            <w:tcW w:type="dxa" w:w="4302"/>
          </w:tcPr>
          <w:p>
            <w:pPr>
              <w:spacing w:after="20" w:before="20" w:line="240" w:lineRule="auto"/>
            </w:pPr>
            <w:r/>
            <w:r>
              <w:rPr>
                <w:sz w:val="18"/>
              </w:rPr>
              <w:t>PAR_067 (price against own history), PAR_053 (exemption and watch-list APC use)</w:t>
            </w:r>
          </w:p>
        </w:tc>
        <w:tc>
          <w:tcPr>
            <w:tcW w:type="dxa" w:w="2868"/>
          </w:tcPr>
          <w:p>
            <w:pPr>
              <w:spacing w:after="20" w:before="20" w:line="240" w:lineRule="auto"/>
            </w:pPr>
            <w:r/>
            <w:r>
              <w:rPr>
                <w:sz w:val="18"/>
              </w:rPr>
              <w:t>Query written; the source platform was unavailable</w:t>
            </w:r>
          </w:p>
        </w:tc>
      </w:tr>
      <w:tr>
        <w:tc>
          <w:tcPr>
            <w:tcW w:type="dxa" w:w="2581"/>
          </w:tcPr>
          <w:p>
            <w:pPr>
              <w:spacing w:after="20" w:before="20" w:line="240" w:lineRule="auto"/>
            </w:pPr>
            <w:r/>
            <w:r>
              <w:rPr>
                <w:sz w:val="18"/>
              </w:rPr>
              <w:t>Data not available (11)</w:t>
            </w:r>
          </w:p>
        </w:tc>
        <w:tc>
          <w:tcPr>
            <w:tcW w:type="dxa" w:w="4302"/>
          </w:tcPr>
          <w:p>
            <w:pPr>
              <w:spacing w:after="20" w:before="20" w:line="240" w:lineRule="auto"/>
            </w:pPr>
            <w:r/>
            <w:r>
              <w:rPr>
                <w:sz w:val="18"/>
              </w:rPr>
              <w:t>PAR_012, PAR_016, PAR_051, PAR_054, PAR_096</w:t>
            </w:r>
          </w:p>
        </w:tc>
        <w:tc>
          <w:tcPr>
            <w:tcW w:type="dxa" w:w="2868"/>
          </w:tcPr>
          <w:p>
            <w:pPr>
              <w:spacing w:after="20" w:before="20" w:line="240" w:lineRule="auto"/>
            </w:pPr>
            <w:r/>
            <w:r>
              <w:rPr>
                <w:sz w:val="18"/>
              </w:rPr>
              <w:t>Need earlier versions of each declaration</w:t>
            </w:r>
          </w:p>
        </w:tc>
      </w:tr>
      <w:tr>
        <w:tc>
          <w:tcPr>
            <w:tcW w:type="dxa" w:w="2581"/>
          </w:tcPr>
          <w:p>
            <w:pPr>
              <w:spacing w:after="20" w:before="20" w:line="240" w:lineRule="auto"/>
            </w:pPr>
            <w:r/>
          </w:p>
        </w:tc>
        <w:tc>
          <w:tcPr>
            <w:tcW w:type="dxa" w:w="4302"/>
          </w:tcPr>
          <w:p>
            <w:pPr>
              <w:spacing w:after="20" w:before="20" w:line="240" w:lineRule="auto"/>
            </w:pPr>
            <w:r/>
            <w:r>
              <w:rPr>
                <w:sz w:val="18"/>
              </w:rPr>
              <w:t>PAR_015, PAR_075</w:t>
            </w:r>
          </w:p>
        </w:tc>
        <w:tc>
          <w:tcPr>
            <w:tcW w:type="dxa" w:w="2868"/>
          </w:tcPr>
          <w:p>
            <w:pPr>
              <w:spacing w:after="20" w:before="20" w:line="240" w:lineRule="auto"/>
            </w:pPr>
            <w:r/>
            <w:r>
              <w:rPr>
                <w:sz w:val="18"/>
              </w:rPr>
              <w:t>Boxes 45 and 46 not in the view</w:t>
            </w:r>
          </w:p>
        </w:tc>
      </w:tr>
      <w:tr>
        <w:tc>
          <w:tcPr>
            <w:tcW w:type="dxa" w:w="2581"/>
          </w:tcPr>
          <w:p>
            <w:pPr>
              <w:spacing w:after="20" w:before="20" w:line="240" w:lineRule="auto"/>
            </w:pPr>
            <w:r/>
          </w:p>
        </w:tc>
        <w:tc>
          <w:tcPr>
            <w:tcW w:type="dxa" w:w="4302"/>
          </w:tcPr>
          <w:p>
            <w:pPr>
              <w:spacing w:after="20" w:before="20" w:line="240" w:lineRule="auto"/>
            </w:pPr>
            <w:r/>
            <w:r>
              <w:rPr>
                <w:sz w:val="18"/>
              </w:rPr>
              <w:t>PAR_039, PAR_040</w:t>
            </w:r>
          </w:p>
        </w:tc>
        <w:tc>
          <w:tcPr>
            <w:tcW w:type="dxa" w:w="2868"/>
          </w:tcPr>
          <w:p>
            <w:pPr>
              <w:spacing w:after="20" w:before="20" w:line="240" w:lineRule="auto"/>
            </w:pPr>
            <w:r/>
            <w:r>
              <w:rPr>
                <w:sz w:val="18"/>
              </w:rPr>
              <w:t>Penalties not in the view</w:t>
            </w:r>
          </w:p>
        </w:tc>
      </w:tr>
      <w:tr>
        <w:tc>
          <w:tcPr>
            <w:tcW w:type="dxa" w:w="2581"/>
          </w:tcPr>
          <w:p>
            <w:pPr>
              <w:spacing w:after="20" w:before="20" w:line="240" w:lineRule="auto"/>
            </w:pPr>
            <w:r/>
          </w:p>
        </w:tc>
        <w:tc>
          <w:tcPr>
            <w:tcW w:type="dxa" w:w="4302"/>
          </w:tcPr>
          <w:p>
            <w:pPr>
              <w:spacing w:after="20" w:before="20" w:line="240" w:lineRule="auto"/>
            </w:pPr>
            <w:r/>
            <w:r>
              <w:rPr>
                <w:sz w:val="18"/>
              </w:rPr>
              <w:t>PAR_078, PAR_173</w:t>
            </w:r>
          </w:p>
        </w:tc>
        <w:tc>
          <w:tcPr>
            <w:tcW w:type="dxa" w:w="2868"/>
          </w:tcPr>
          <w:p>
            <w:pPr>
              <w:spacing w:after="20" w:before="20" w:line="240" w:lineRule="auto"/>
            </w:pPr>
            <w:r/>
            <w:r>
              <w:rPr>
                <w:sz w:val="18"/>
              </w:rPr>
              <w:t>Agent TIN not in the view</w:t>
            </w:r>
          </w:p>
        </w:tc>
      </w:tr>
    </w:tbl>
    <w:p>
      <w:pPr>
        <w:spacing w:after="40"/>
      </w:pPr>
    </w:p>
    <w:p>
      <w:r>
        <w:br w:type="page"/>
      </w:r>
    </w:p>
    <w:p/>
    <w:p/>
    <w:p/>
    <w:p/>
    <w:p/>
    <w:p/>
    <w:p>
      <w:pPr>
        <w:pStyle w:val="Heading1"/>
      </w:pPr>
      <w:r>
        <w:t>PART 4: PEER GROUPS AND THE PATTERN CHECK</w:t>
      </w:r>
    </w:p>
    <w:p>
      <w:pPr>
        <w:spacing w:after="120"/>
      </w:pPr>
      <w:r>
        <w:t>This part records why HDBSCAN was dropped in favour of named peer groups (main goods x size), and why the pattern check became a note with no points (Stages 5 and 6).</w:t>
      </w:r>
    </w:p>
    <w:p>
      <w:r>
        <w:br w:type="page"/>
      </w:r>
    </w:p>
    <w:p>
      <w:pPr>
        <w:pStyle w:val="Heading2"/>
      </w:pPr>
      <w:r>
        <w:t>4.1 Peer Groups: Main Goods x Size (decision 44)</w:t>
      </w:r>
    </w:p>
    <w:p>
      <w:pPr>
        <w:spacing w:after="120"/>
      </w:pPr>
      <w:r>
        <w:t>A peer group answers one question: who is this taxpayer compared with? It is used only by the pattern check; it never changes scorecard points. Only regular taxpayers (10 or more declarations) are grouped.</w:t>
      </w:r>
    </w:p>
    <w:p>
      <w:pPr>
        <w:pStyle w:val="ListParagraph"/>
        <w:numPr>
          <w:ilvl w:val="0"/>
          <w:numId w:val="903"/>
        </w:numPr>
        <w:spacing w:after="60"/>
      </w:pPr>
      <w:r>
        <w:rPr>
          <w:b/>
        </w:rPr>
        <w:t>Main goods</w:t>
      </w:r>
      <w:r>
        <w:t>: the WCO HS section of the chapter where most of the taxpayer's customs value sits over the 24 months (for example HS 87 is Vehicles).</w:t>
      </w:r>
    </w:p>
    <w:p>
      <w:pPr>
        <w:pStyle w:val="ListParagraph"/>
        <w:numPr>
          <w:ilvl w:val="0"/>
          <w:numId w:val="903"/>
        </w:numPr>
        <w:spacing w:after="60"/>
      </w:pPr>
      <w:r>
        <w:rPr>
          <w:b/>
        </w:rPr>
        <w:t>Size</w:t>
      </w:r>
      <w:r>
        <w:t>: the taxpayer's total customs value over 24 months, ranked among regular taxpayers in the same section and cut into thirds: small, medium, large. The cut-offs are recalculated each run.</w:t>
      </w:r>
    </w:p>
    <w:p>
      <w:pPr>
        <w:pStyle w:val="ListParagraph"/>
        <w:numPr>
          <w:ilvl w:val="0"/>
          <w:numId w:val="903"/>
        </w:numPr>
        <w:spacing w:after="60"/>
      </w:pPr>
      <w:r>
        <w:rPr>
          <w:b/>
        </w:rPr>
        <w:t>Pooling</w:t>
      </w:r>
      <w:r>
        <w:t>: a group with fewer than 30 taxpayers is merged into "Other goods, &lt;size&gt;" and its members carry the "no close peers" note.</w:t>
      </w:r>
    </w:p>
    <w:p>
      <w:pPr>
        <w:pStyle w:val="Caption"/>
      </w:pPr>
      <w:r>
        <w:t xml:space="preserve">Table </w:t>
      </w:r>
      <w:r>
        <w:fldChar w:fldCharType="begin"/>
      </w:r>
      <w:r>
        <w:instrText xml:space="preserve"> SEQ Table \* ARABIC </w:instrText>
      </w:r>
      <w:r>
        <w:fldChar w:fldCharType="separate"/>
      </w:r>
      <w:r>
        <w:t>16</w:t>
      </w:r>
      <w:r>
        <w:fldChar w:fldCharType="end"/>
      </w:r>
      <w:r>
        <w:t>: Size Cut-offs for the Largest Sections (March 2026, customs value over 24 months)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868"/>
            <w:shd w:val="clear" w:color="auto" w:fill="D9E2F3"/>
          </w:tcPr>
          <w:p>
            <w:pPr>
              <w:spacing w:after="20" w:before="20" w:line="240" w:lineRule="auto"/>
            </w:pPr>
            <w:r/>
            <w:r>
              <w:rPr>
                <w:b/>
                <w:sz w:val="18"/>
              </w:rPr>
              <w:t>Section</w:t>
            </w:r>
          </w:p>
        </w:tc>
        <w:tc>
          <w:tcPr>
            <w:tcW w:type="dxa" w:w="2294"/>
            <w:shd w:val="clear" w:color="auto" w:fill="D9E2F3"/>
          </w:tcPr>
          <w:p>
            <w:pPr>
              <w:spacing w:after="20" w:before="20" w:line="240" w:lineRule="auto"/>
            </w:pPr>
            <w:r/>
            <w:r>
              <w:rPr>
                <w:b/>
                <w:sz w:val="18"/>
              </w:rPr>
              <w:t>Small</w:t>
            </w:r>
          </w:p>
        </w:tc>
        <w:tc>
          <w:tcPr>
            <w:tcW w:type="dxa" w:w="2294"/>
            <w:shd w:val="clear" w:color="auto" w:fill="D9E2F3"/>
          </w:tcPr>
          <w:p>
            <w:pPr>
              <w:spacing w:after="20" w:before="20" w:line="240" w:lineRule="auto"/>
            </w:pPr>
            <w:r/>
            <w:r>
              <w:rPr>
                <w:b/>
                <w:sz w:val="18"/>
              </w:rPr>
              <w:t>Medium</w:t>
            </w:r>
          </w:p>
        </w:tc>
        <w:tc>
          <w:tcPr>
            <w:tcW w:type="dxa" w:w="2294"/>
            <w:shd w:val="clear" w:color="auto" w:fill="D9E2F3"/>
          </w:tcPr>
          <w:p>
            <w:pPr>
              <w:spacing w:after="20" w:before="20" w:line="240" w:lineRule="auto"/>
            </w:pPr>
            <w:r/>
            <w:r>
              <w:rPr>
                <w:b/>
                <w:sz w:val="18"/>
              </w:rPr>
              <w:t>Large</w:t>
            </w:r>
          </w:p>
        </w:tc>
      </w:tr>
      <w:tr>
        <w:tc>
          <w:tcPr>
            <w:tcW w:type="dxa" w:w="2868"/>
          </w:tcPr>
          <w:p>
            <w:pPr>
              <w:spacing w:after="20" w:before="20" w:line="240" w:lineRule="auto"/>
            </w:pPr>
            <w:r/>
            <w:r>
              <w:rPr>
                <w:sz w:val="18"/>
              </w:rPr>
              <w:t>Vehicles</w:t>
            </w:r>
          </w:p>
        </w:tc>
        <w:tc>
          <w:tcPr>
            <w:tcW w:type="dxa" w:w="2294"/>
          </w:tcPr>
          <w:p>
            <w:pPr>
              <w:spacing w:after="20" w:before="20" w:line="240" w:lineRule="auto"/>
            </w:pPr>
            <w:r/>
            <w:r>
              <w:rPr>
                <w:sz w:val="18"/>
              </w:rPr>
              <w:t>under UGX 380M</w:t>
            </w:r>
          </w:p>
        </w:tc>
        <w:tc>
          <w:tcPr>
            <w:tcW w:type="dxa" w:w="2294"/>
          </w:tcPr>
          <w:p>
            <w:pPr>
              <w:spacing w:after="20" w:before="20" w:line="240" w:lineRule="auto"/>
            </w:pPr>
            <w:r/>
            <w:r>
              <w:rPr>
                <w:sz w:val="18"/>
              </w:rPr>
              <w:t>380M to 1.39B</w:t>
            </w:r>
          </w:p>
        </w:tc>
        <w:tc>
          <w:tcPr>
            <w:tcW w:type="dxa" w:w="2294"/>
          </w:tcPr>
          <w:p>
            <w:pPr>
              <w:spacing w:after="20" w:before="20" w:line="240" w:lineRule="auto"/>
            </w:pPr>
            <w:r/>
            <w:r>
              <w:rPr>
                <w:sz w:val="18"/>
              </w:rPr>
              <w:t>1.39B and above</w:t>
            </w:r>
          </w:p>
        </w:tc>
      </w:tr>
      <w:tr>
        <w:tc>
          <w:tcPr>
            <w:tcW w:type="dxa" w:w="2868"/>
          </w:tcPr>
          <w:p>
            <w:pPr>
              <w:spacing w:after="20" w:before="20" w:line="240" w:lineRule="auto"/>
            </w:pPr>
            <w:r/>
            <w:r>
              <w:rPr>
                <w:sz w:val="18"/>
              </w:rPr>
              <w:t>Machinery, electrical</w:t>
            </w:r>
          </w:p>
        </w:tc>
        <w:tc>
          <w:tcPr>
            <w:tcW w:type="dxa" w:w="2294"/>
          </w:tcPr>
          <w:p>
            <w:pPr>
              <w:spacing w:after="20" w:before="20" w:line="240" w:lineRule="auto"/>
            </w:pPr>
            <w:r/>
            <w:r>
              <w:rPr>
                <w:sz w:val="18"/>
              </w:rPr>
              <w:t>under 845M</w:t>
            </w:r>
          </w:p>
        </w:tc>
        <w:tc>
          <w:tcPr>
            <w:tcW w:type="dxa" w:w="2294"/>
          </w:tcPr>
          <w:p>
            <w:pPr>
              <w:spacing w:after="20" w:before="20" w:line="240" w:lineRule="auto"/>
            </w:pPr>
            <w:r/>
            <w:r>
              <w:rPr>
                <w:sz w:val="18"/>
              </w:rPr>
              <w:t>845M to 3.65B</w:t>
            </w:r>
          </w:p>
        </w:tc>
        <w:tc>
          <w:tcPr>
            <w:tcW w:type="dxa" w:w="2294"/>
          </w:tcPr>
          <w:p>
            <w:pPr>
              <w:spacing w:after="20" w:before="20" w:line="240" w:lineRule="auto"/>
            </w:pPr>
            <w:r/>
            <w:r>
              <w:rPr>
                <w:sz w:val="18"/>
              </w:rPr>
              <w:t>3.65B and above</w:t>
            </w:r>
          </w:p>
        </w:tc>
      </w:tr>
      <w:tr>
        <w:tc>
          <w:tcPr>
            <w:tcW w:type="dxa" w:w="2868"/>
          </w:tcPr>
          <w:p>
            <w:pPr>
              <w:spacing w:after="20" w:before="20" w:line="240" w:lineRule="auto"/>
            </w:pPr>
            <w:r/>
            <w:r>
              <w:rPr>
                <w:sz w:val="18"/>
              </w:rPr>
              <w:t>Textiles</w:t>
            </w:r>
          </w:p>
        </w:tc>
        <w:tc>
          <w:tcPr>
            <w:tcW w:type="dxa" w:w="2294"/>
          </w:tcPr>
          <w:p>
            <w:pPr>
              <w:spacing w:after="20" w:before="20" w:line="240" w:lineRule="auto"/>
            </w:pPr>
            <w:r/>
            <w:r>
              <w:rPr>
                <w:sz w:val="18"/>
              </w:rPr>
              <w:t>under 735M</w:t>
            </w:r>
          </w:p>
        </w:tc>
        <w:tc>
          <w:tcPr>
            <w:tcW w:type="dxa" w:w="2294"/>
          </w:tcPr>
          <w:p>
            <w:pPr>
              <w:spacing w:after="20" w:before="20" w:line="240" w:lineRule="auto"/>
            </w:pPr>
            <w:r/>
            <w:r>
              <w:rPr>
                <w:sz w:val="18"/>
              </w:rPr>
              <w:t>735M to 3.13B</w:t>
            </w:r>
          </w:p>
        </w:tc>
        <w:tc>
          <w:tcPr>
            <w:tcW w:type="dxa" w:w="2294"/>
          </w:tcPr>
          <w:p>
            <w:pPr>
              <w:spacing w:after="20" w:before="20" w:line="240" w:lineRule="auto"/>
            </w:pPr>
            <w:r/>
            <w:r>
              <w:rPr>
                <w:sz w:val="18"/>
              </w:rPr>
              <w:t>3.13B and above</w:t>
            </w:r>
          </w:p>
        </w:tc>
      </w:tr>
      <w:tr>
        <w:tc>
          <w:tcPr>
            <w:tcW w:type="dxa" w:w="2868"/>
          </w:tcPr>
          <w:p>
            <w:pPr>
              <w:spacing w:after="20" w:before="20" w:line="240" w:lineRule="auto"/>
            </w:pPr>
            <w:r/>
            <w:r>
              <w:rPr>
                <w:sz w:val="18"/>
              </w:rPr>
              <w:t>Minerals and fuel</w:t>
            </w:r>
          </w:p>
        </w:tc>
        <w:tc>
          <w:tcPr>
            <w:tcW w:type="dxa" w:w="2294"/>
          </w:tcPr>
          <w:p>
            <w:pPr>
              <w:spacing w:after="20" w:before="20" w:line="240" w:lineRule="auto"/>
            </w:pPr>
            <w:r/>
            <w:r>
              <w:rPr>
                <w:sz w:val="18"/>
              </w:rPr>
              <w:t>under 3.3B</w:t>
            </w:r>
          </w:p>
        </w:tc>
        <w:tc>
          <w:tcPr>
            <w:tcW w:type="dxa" w:w="2294"/>
          </w:tcPr>
          <w:p>
            <w:pPr>
              <w:spacing w:after="20" w:before="20" w:line="240" w:lineRule="auto"/>
            </w:pPr>
            <w:r/>
            <w:r>
              <w:rPr>
                <w:sz w:val="18"/>
              </w:rPr>
              <w:t>3.3B to 50B</w:t>
            </w:r>
          </w:p>
        </w:tc>
        <w:tc>
          <w:tcPr>
            <w:tcW w:type="dxa" w:w="2294"/>
          </w:tcPr>
          <w:p>
            <w:pPr>
              <w:spacing w:after="20" w:before="20" w:line="240" w:lineRule="auto"/>
            </w:pPr>
            <w:r/>
            <w:r>
              <w:rPr>
                <w:sz w:val="18"/>
              </w:rPr>
              <w:t>50B and above</w:t>
            </w:r>
          </w:p>
        </w:tc>
      </w:tr>
    </w:tbl>
    <w:p>
      <w:pPr>
        <w:spacing w:after="40"/>
      </w:pPr>
    </w:p>
    <w:p>
      <w:pPr>
        <w:keepNext/>
        <w:jc w:val="center"/>
      </w:pPr>
      <w:r>
        <w:drawing>
          <wp:inline xmlns:a="http://schemas.openxmlformats.org/drawingml/2006/main" xmlns:pic="http://schemas.openxmlformats.org/drawingml/2006/picture">
            <wp:extent cx="5940000" cy="3480246"/>
            <wp:docPr id="8" name="Picture 8"/>
            <wp:cNvGraphicFramePr>
              <a:graphicFrameLocks noChangeAspect="1"/>
            </wp:cNvGraphicFramePr>
            <a:graphic>
              <a:graphicData uri="http://schemas.openxmlformats.org/drawingml/2006/picture">
                <pic:pic>
                  <pic:nvPicPr>
                    <pic:cNvPr id="0" name="chart_17.png"/>
                    <pic:cNvPicPr/>
                  </pic:nvPicPr>
                  <pic:blipFill>
                    <a:blip r:embed="rId33"/>
                    <a:stretch>
                      <a:fillRect/>
                    </a:stretch>
                  </pic:blipFill>
                  <pic:spPr>
                    <a:xfrm>
                      <a:off x="0" y="0"/>
                      <a:ext cx="5940000" cy="3480246"/>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7</w:t>
      </w:r>
      <w:r>
        <w:fldChar w:fldCharType="end"/>
      </w:r>
      <w:r>
        <w:t>: Regular taxpayers by main goods and size (48 peer groups)</w:t>
      </w:r>
    </w:p>
    <w:p>
      <w:pPr>
        <w:pStyle w:val="Heading2"/>
      </w:pPr>
      <w:r>
        <w:t>4.2 HDBSCAN Tested and Dropped (decision 45)</w:t>
      </w:r>
    </w:p>
    <w:p>
      <w:pPr>
        <w:spacing w:after="120"/>
      </w:pPr>
      <w:r>
        <w:t>HDBSCAN groups points that sit in crowded neighbourhoods and labels every point in a thin area as noise. On the nine trading-structure measures it left 77.1% of regular taxpayers unclustered. The six groups it found were piles of single-product traders sharing identical counts (one HS heading, one origin, one item per declaration), mostly vehicle importers and one group of fuel importers. Loosening the settings only reduced noise to about 70%. Trade is a continuum, not a set of separate types, so a density method has no gap to cut along.</w:t>
      </w:r>
    </w:p>
    <w:p>
      <w:pPr>
        <w:pStyle w:val="Caption"/>
      </w:pPr>
      <w:r>
        <w:t xml:space="preserve">Table </w:t>
      </w:r>
      <w:r>
        <w:fldChar w:fldCharType="begin"/>
      </w:r>
      <w:r>
        <w:instrText xml:space="preserve"> SEQ Table \* ARABIC </w:instrText>
      </w:r>
      <w:r>
        <w:fldChar w:fldCharType="separate"/>
      </w:r>
      <w:r>
        <w:t>17</w:t>
      </w:r>
      <w:r>
        <w:fldChar w:fldCharType="end"/>
      </w:r>
      <w:r>
        <w:t>: Peer Group Methods Compared (March 2026)</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3442"/>
            <w:shd w:val="clear" w:color="auto" w:fill="D9E2F3"/>
          </w:tcPr>
          <w:p>
            <w:pPr>
              <w:spacing w:after="20" w:before="20" w:line="240" w:lineRule="auto"/>
            </w:pPr>
            <w:r/>
            <w:r>
              <w:rPr>
                <w:b/>
                <w:sz w:val="18"/>
              </w:rPr>
            </w:r>
          </w:p>
        </w:tc>
        <w:tc>
          <w:tcPr>
            <w:tcW w:type="dxa" w:w="3155"/>
            <w:shd w:val="clear" w:color="auto" w:fill="D9E2F3"/>
          </w:tcPr>
          <w:p>
            <w:pPr>
              <w:spacing w:after="20" w:before="20" w:line="240" w:lineRule="auto"/>
            </w:pPr>
            <w:r/>
            <w:r>
              <w:rPr>
                <w:b/>
                <w:sz w:val="18"/>
              </w:rPr>
              <w:t>HDBSCAN</w:t>
            </w:r>
          </w:p>
        </w:tc>
        <w:tc>
          <w:tcPr>
            <w:tcW w:type="dxa" w:w="3155"/>
            <w:shd w:val="clear" w:color="auto" w:fill="D9E2F3"/>
          </w:tcPr>
          <w:p>
            <w:pPr>
              <w:spacing w:after="20" w:before="20" w:line="240" w:lineRule="auto"/>
            </w:pPr>
            <w:r/>
            <w:r>
              <w:rPr>
                <w:b/>
                <w:sz w:val="18"/>
              </w:rPr>
              <w:t>Main goods x size (adopted)</w:t>
            </w:r>
          </w:p>
        </w:tc>
      </w:tr>
      <w:tr>
        <w:tc>
          <w:tcPr>
            <w:tcW w:type="dxa" w:w="3442"/>
          </w:tcPr>
          <w:p>
            <w:pPr>
              <w:spacing w:after="20" w:before="20" w:line="240" w:lineRule="auto"/>
            </w:pPr>
            <w:r/>
            <w:r>
              <w:rPr>
                <w:sz w:val="18"/>
              </w:rPr>
              <w:t>Groups</w:t>
            </w:r>
          </w:p>
        </w:tc>
        <w:tc>
          <w:tcPr>
            <w:tcW w:type="dxa" w:w="3155"/>
          </w:tcPr>
          <w:p>
            <w:pPr>
              <w:spacing w:after="20" w:before="20" w:line="240" w:lineRule="auto"/>
            </w:pPr>
            <w:r/>
            <w:r>
              <w:rPr>
                <w:sz w:val="18"/>
              </w:rPr>
              <w:t>6</w:t>
            </w:r>
          </w:p>
        </w:tc>
        <w:tc>
          <w:tcPr>
            <w:tcW w:type="dxa" w:w="3155"/>
          </w:tcPr>
          <w:p>
            <w:pPr>
              <w:spacing w:after="20" w:before="20" w:line="240" w:lineRule="auto"/>
            </w:pPr>
            <w:r/>
            <w:r>
              <w:rPr>
                <w:sz w:val="18"/>
              </w:rPr>
              <w:t>48</w:t>
            </w:r>
          </w:p>
        </w:tc>
      </w:tr>
      <w:tr>
        <w:tc>
          <w:tcPr>
            <w:tcW w:type="dxa" w:w="3442"/>
          </w:tcPr>
          <w:p>
            <w:pPr>
              <w:spacing w:after="20" w:before="20" w:line="240" w:lineRule="auto"/>
            </w:pPr>
            <w:r/>
            <w:r>
              <w:rPr>
                <w:sz w:val="18"/>
              </w:rPr>
              <w:t>Regular taxpayers without a real group</w:t>
            </w:r>
          </w:p>
        </w:tc>
        <w:tc>
          <w:tcPr>
            <w:tcW w:type="dxa" w:w="3155"/>
          </w:tcPr>
          <w:p>
            <w:pPr>
              <w:spacing w:after="20" w:before="20" w:line="240" w:lineRule="auto"/>
            </w:pPr>
            <w:r/>
            <w:r>
              <w:rPr>
                <w:sz w:val="18"/>
              </w:rPr>
              <w:t>77% (sent to the nearest group)</w:t>
            </w:r>
          </w:p>
        </w:tc>
        <w:tc>
          <w:tcPr>
            <w:tcW w:type="dxa" w:w="3155"/>
          </w:tcPr>
          <w:p>
            <w:pPr>
              <w:spacing w:after="20" w:before="20" w:line="240" w:lineRule="auto"/>
            </w:pPr>
            <w:r/>
            <w:r>
              <w:rPr>
                <w:sz w:val="18"/>
              </w:rPr>
              <w:t>2.5% (pooled)</w:t>
            </w:r>
          </w:p>
        </w:tc>
      </w:tr>
      <w:tr>
        <w:tc>
          <w:tcPr>
            <w:tcW w:type="dxa" w:w="3442"/>
          </w:tcPr>
          <w:p>
            <w:pPr>
              <w:spacing w:after="20" w:before="20" w:line="240" w:lineRule="auto"/>
            </w:pPr>
            <w:r/>
            <w:r>
              <w:rPr>
                <w:sz w:val="18"/>
              </w:rPr>
              <w:t>What a group means</w:t>
            </w:r>
          </w:p>
        </w:tc>
        <w:tc>
          <w:tcPr>
            <w:tcW w:type="dxa" w:w="3155"/>
          </w:tcPr>
          <w:p>
            <w:pPr>
              <w:spacing w:after="20" w:before="20" w:line="240" w:lineRule="auto"/>
            </w:pPr>
            <w:r/>
            <w:r>
              <w:rPr>
                <w:sz w:val="18"/>
              </w:rPr>
              <w:t>A pile of single-product traders</w:t>
            </w:r>
          </w:p>
        </w:tc>
        <w:tc>
          <w:tcPr>
            <w:tcW w:type="dxa" w:w="3155"/>
          </w:tcPr>
          <w:p>
            <w:pPr>
              <w:spacing w:after="20" w:before="20" w:line="240" w:lineRule="auto"/>
            </w:pPr>
            <w:r/>
            <w:r>
              <w:rPr>
                <w:sz w:val="18"/>
              </w:rPr>
              <w:t>A named trade and size, e.g. Textiles, large</w:t>
            </w:r>
          </w:p>
        </w:tc>
      </w:tr>
      <w:tr>
        <w:tc>
          <w:tcPr>
            <w:tcW w:type="dxa" w:w="3442"/>
          </w:tcPr>
          <w:p>
            <w:pPr>
              <w:spacing w:after="20" w:before="20" w:line="240" w:lineRule="auto"/>
            </w:pPr>
            <w:r/>
            <w:r>
              <w:rPr>
                <w:sz w:val="18"/>
              </w:rPr>
              <w:t>Pattern check lift, top 1% / 5% / 10%</w:t>
            </w:r>
          </w:p>
        </w:tc>
        <w:tc>
          <w:tcPr>
            <w:tcW w:type="dxa" w:w="3155"/>
          </w:tcPr>
          <w:p>
            <w:pPr>
              <w:spacing w:after="20" w:before="20" w:line="240" w:lineRule="auto"/>
            </w:pPr>
            <w:r/>
            <w:r>
              <w:rPr>
                <w:sz w:val="18"/>
              </w:rPr>
              <w:t>4.41 / 4.44 / 3.96</w:t>
            </w:r>
          </w:p>
        </w:tc>
        <w:tc>
          <w:tcPr>
            <w:tcW w:type="dxa" w:w="3155"/>
          </w:tcPr>
          <w:p>
            <w:pPr>
              <w:spacing w:after="20" w:before="20" w:line="240" w:lineRule="auto"/>
            </w:pPr>
            <w:r/>
            <w:r>
              <w:rPr>
                <w:sz w:val="18"/>
              </w:rPr>
              <w:t>4.09 / 4.34 / 3.88</w:t>
            </w:r>
          </w:p>
        </w:tc>
      </w:tr>
      <w:tr>
        <w:tc>
          <w:tcPr>
            <w:tcW w:type="dxa" w:w="3442"/>
          </w:tcPr>
          <w:p>
            <w:pPr>
              <w:spacing w:after="20" w:before="20" w:line="240" w:lineRule="auto"/>
            </w:pPr>
            <w:r/>
            <w:r>
              <w:rPr>
                <w:sz w:val="18"/>
              </w:rPr>
              <w:t>Without pattern points</w:t>
            </w:r>
          </w:p>
        </w:tc>
        <w:tc>
          <w:tcPr>
            <w:tcW w:type="dxa" w:w="3155"/>
          </w:tcPr>
          <w:p>
            <w:pPr>
              <w:spacing w:after="20" w:before="20" w:line="240" w:lineRule="auto"/>
            </w:pPr>
            <w:r/>
            <w:r>
              <w:rPr>
                <w:sz w:val="18"/>
              </w:rPr>
              <w:t>4.62 / 4.49 / 4.05</w:t>
            </w:r>
          </w:p>
        </w:tc>
        <w:tc>
          <w:tcPr>
            <w:tcW w:type="dxa" w:w="3155"/>
          </w:tcPr>
          <w:p>
            <w:pPr>
              <w:spacing w:after="20" w:before="20" w:line="240" w:lineRule="auto"/>
            </w:pPr>
            <w:r/>
            <w:r>
              <w:rPr>
                <w:sz w:val="18"/>
              </w:rPr>
              <w:t>4.62 / 4.49 / 4.05</w:t>
            </w:r>
          </w:p>
        </w:tc>
      </w:tr>
    </w:tbl>
    <w:p>
      <w:pPr>
        <w:spacing w:after="40"/>
      </w:pPr>
    </w:p>
    <w:p>
      <w:pPr>
        <w:spacing w:after="120"/>
      </w:pPr>
      <w:r>
        <w:t>HDBSCAN was removed from the model code. The test remains in the notebook as the record of why.</w:t>
      </w:r>
    </w:p>
    <w:p>
      <w:pPr>
        <w:keepNext/>
        <w:jc w:val="center"/>
      </w:pPr>
      <w:r>
        <w:drawing>
          <wp:inline xmlns:a="http://schemas.openxmlformats.org/drawingml/2006/main" xmlns:pic="http://schemas.openxmlformats.org/drawingml/2006/picture">
            <wp:extent cx="5940000" cy="2940000"/>
            <wp:docPr id="9" name="Picture 9"/>
            <wp:cNvGraphicFramePr>
              <a:graphicFrameLocks noChangeAspect="1"/>
            </wp:cNvGraphicFramePr>
            <a:graphic>
              <a:graphicData uri="http://schemas.openxmlformats.org/drawingml/2006/picture">
                <pic:pic>
                  <pic:nvPicPr>
                    <pic:cNvPr id="0" name="chart_20.png"/>
                    <pic:cNvPicPr/>
                  </pic:nvPicPr>
                  <pic:blipFill>
                    <a:blip r:embed="rId34"/>
                    <a:stretch>
                      <a:fillRect/>
                    </a:stretch>
                  </pic:blipFill>
                  <pic:spPr>
                    <a:xfrm>
                      <a:off x="0" y="0"/>
                      <a:ext cx="5940000" cy="294000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8</w:t>
      </w:r>
      <w:r>
        <w:fldChar w:fldCharType="end"/>
      </w:r>
      <w:r>
        <w:t>: HDBSCAN on regular taxpayers: the six groups sit in one corner, the rest is noise</w:t>
      </w:r>
    </w:p>
    <w:p>
      <w:pPr>
        <w:pStyle w:val="Heading2"/>
      </w:pPr>
      <w:r>
        <w:t>4.3 Pattern Check: a Note, Not Points (decision 46)</w:t>
      </w:r>
    </w:p>
    <w:p>
      <w:pPr>
        <w:spacing w:after="120"/>
      </w:pPr>
      <w:r>
        <w:t>The pattern check runs an Isolation Forest within each peer group. It measures how few random cuts are needed to isolate a taxpayer from their peers: the fewer, the more unusual. It never sees outcomes, so it finds what is rare, not what is risky. It was tested as up to 15 extra points for the most unusual 20% of each group.</w:t>
      </w:r>
    </w:p>
    <w:p>
      <w:pPr>
        <w:pStyle w:val="Caption"/>
      </w:pPr>
      <w:r>
        <w:t xml:space="preserve">Table </w:t>
      </w:r>
      <w:r>
        <w:fldChar w:fldCharType="begin"/>
      </w:r>
      <w:r>
        <w:instrText xml:space="preserve"> SEQ Table \* ARABIC </w:instrText>
      </w:r>
      <w:r>
        <w:fldChar w:fldCharType="separate"/>
      </w:r>
      <w:r>
        <w:t>18</w:t>
      </w:r>
      <w:r>
        <w:fldChar w:fldCharType="end"/>
      </w:r>
      <w:r>
        <w:t>: Lift by Points Allowed to the Pattern Check (average of 6 snapshots)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4266"/>
            <w:shd w:val="clear" w:color="auto" w:fill="D9E2F3"/>
          </w:tcPr>
          <w:p>
            <w:pPr>
              <w:spacing w:after="20" w:before="20" w:line="240" w:lineRule="auto"/>
            </w:pPr>
            <w:r/>
            <w:r>
              <w:rPr>
                <w:b/>
                <w:sz w:val="18"/>
              </w:rPr>
              <w:t>Pattern points</w:t>
            </w:r>
          </w:p>
        </w:tc>
        <w:tc>
          <w:tcPr>
            <w:tcW w:type="dxa" w:w="1828"/>
            <w:shd w:val="clear" w:color="auto" w:fill="D9E2F3"/>
          </w:tcPr>
          <w:p>
            <w:pPr>
              <w:spacing w:after="20" w:before="20" w:line="240" w:lineRule="auto"/>
            </w:pPr>
            <w:r/>
            <w:r>
              <w:rPr>
                <w:b/>
                <w:sz w:val="18"/>
              </w:rPr>
              <w:t>Top 1%</w:t>
            </w:r>
          </w:p>
        </w:tc>
        <w:tc>
          <w:tcPr>
            <w:tcW w:type="dxa" w:w="1828"/>
            <w:shd w:val="clear" w:color="auto" w:fill="D9E2F3"/>
          </w:tcPr>
          <w:p>
            <w:pPr>
              <w:spacing w:after="20" w:before="20" w:line="240" w:lineRule="auto"/>
            </w:pPr>
            <w:r/>
            <w:r>
              <w:rPr>
                <w:b/>
                <w:sz w:val="18"/>
              </w:rPr>
              <w:t>Top 5%</w:t>
            </w:r>
          </w:p>
        </w:tc>
        <w:tc>
          <w:tcPr>
            <w:tcW w:type="dxa" w:w="1828"/>
            <w:shd w:val="clear" w:color="auto" w:fill="D9E2F3"/>
          </w:tcPr>
          <w:p>
            <w:pPr>
              <w:spacing w:after="20" w:before="20" w:line="240" w:lineRule="auto"/>
            </w:pPr>
            <w:r/>
            <w:r>
              <w:rPr>
                <w:b/>
                <w:sz w:val="18"/>
              </w:rPr>
              <w:t>Top 10%</w:t>
            </w:r>
          </w:p>
        </w:tc>
      </w:tr>
      <w:tr>
        <w:tc>
          <w:tcPr>
            <w:tcW w:type="dxa" w:w="4266"/>
          </w:tcPr>
          <w:p>
            <w:pPr>
              <w:spacing w:after="20" w:before="20" w:line="240" w:lineRule="auto"/>
            </w:pPr>
            <w:r/>
            <w:r>
              <w:rPr>
                <w:sz w:val="18"/>
              </w:rPr>
              <w:t>0 (note only, adopted)</w:t>
            </w:r>
          </w:p>
        </w:tc>
        <w:tc>
          <w:tcPr>
            <w:tcW w:type="dxa" w:w="1828"/>
          </w:tcPr>
          <w:p>
            <w:pPr>
              <w:spacing w:after="20" w:before="20" w:line="240" w:lineRule="auto"/>
            </w:pPr>
            <w:r/>
            <w:r>
              <w:rPr>
                <w:sz w:val="18"/>
              </w:rPr>
              <w:t>4.62</w:t>
            </w:r>
          </w:p>
        </w:tc>
        <w:tc>
          <w:tcPr>
            <w:tcW w:type="dxa" w:w="1828"/>
          </w:tcPr>
          <w:p>
            <w:pPr>
              <w:spacing w:after="20" w:before="20" w:line="240" w:lineRule="auto"/>
            </w:pPr>
            <w:r/>
            <w:r>
              <w:rPr>
                <w:sz w:val="18"/>
              </w:rPr>
              <w:t>4.49</w:t>
            </w:r>
          </w:p>
        </w:tc>
        <w:tc>
          <w:tcPr>
            <w:tcW w:type="dxa" w:w="1828"/>
          </w:tcPr>
          <w:p>
            <w:pPr>
              <w:spacing w:after="20" w:before="20" w:line="240" w:lineRule="auto"/>
            </w:pPr>
            <w:r/>
            <w:r>
              <w:rPr>
                <w:sz w:val="18"/>
              </w:rPr>
              <w:t>4.05</w:t>
            </w:r>
          </w:p>
        </w:tc>
      </w:tr>
      <w:tr>
        <w:tc>
          <w:tcPr>
            <w:tcW w:type="dxa" w:w="4266"/>
          </w:tcPr>
          <w:p>
            <w:pPr>
              <w:spacing w:after="20" w:before="20" w:line="240" w:lineRule="auto"/>
            </w:pPr>
            <w:r/>
            <w:r>
              <w:rPr>
                <w:sz w:val="18"/>
              </w:rPr>
              <w:t>Up to 5</w:t>
            </w:r>
          </w:p>
        </w:tc>
        <w:tc>
          <w:tcPr>
            <w:tcW w:type="dxa" w:w="1828"/>
          </w:tcPr>
          <w:p>
            <w:pPr>
              <w:spacing w:after="20" w:before="20" w:line="240" w:lineRule="auto"/>
            </w:pPr>
            <w:r/>
            <w:r>
              <w:rPr>
                <w:sz w:val="18"/>
              </w:rPr>
              <w:t>4.44</w:t>
            </w:r>
          </w:p>
        </w:tc>
        <w:tc>
          <w:tcPr>
            <w:tcW w:type="dxa" w:w="1828"/>
          </w:tcPr>
          <w:p>
            <w:pPr>
              <w:spacing w:after="20" w:before="20" w:line="240" w:lineRule="auto"/>
            </w:pPr>
            <w:r/>
            <w:r>
              <w:rPr>
                <w:sz w:val="18"/>
              </w:rPr>
              <w:t>4.45</w:t>
            </w:r>
          </w:p>
        </w:tc>
        <w:tc>
          <w:tcPr>
            <w:tcW w:type="dxa" w:w="1828"/>
          </w:tcPr>
          <w:p>
            <w:pPr>
              <w:spacing w:after="20" w:before="20" w:line="240" w:lineRule="auto"/>
            </w:pPr>
            <w:r/>
            <w:r>
              <w:rPr>
                <w:sz w:val="18"/>
              </w:rPr>
              <w:t>3.99</w:t>
            </w:r>
          </w:p>
        </w:tc>
      </w:tr>
      <w:tr>
        <w:tc>
          <w:tcPr>
            <w:tcW w:type="dxa" w:w="4266"/>
          </w:tcPr>
          <w:p>
            <w:pPr>
              <w:spacing w:after="20" w:before="20" w:line="240" w:lineRule="auto"/>
            </w:pPr>
            <w:r/>
            <w:r>
              <w:rPr>
                <w:sz w:val="18"/>
              </w:rPr>
              <w:t>Up to 10</w:t>
            </w:r>
          </w:p>
        </w:tc>
        <w:tc>
          <w:tcPr>
            <w:tcW w:type="dxa" w:w="1828"/>
          </w:tcPr>
          <w:p>
            <w:pPr>
              <w:spacing w:after="20" w:before="20" w:line="240" w:lineRule="auto"/>
            </w:pPr>
            <w:r/>
            <w:r>
              <w:rPr>
                <w:sz w:val="18"/>
              </w:rPr>
              <w:t>4.32</w:t>
            </w:r>
          </w:p>
        </w:tc>
        <w:tc>
          <w:tcPr>
            <w:tcW w:type="dxa" w:w="1828"/>
          </w:tcPr>
          <w:p>
            <w:pPr>
              <w:spacing w:after="20" w:before="20" w:line="240" w:lineRule="auto"/>
            </w:pPr>
            <w:r/>
            <w:r>
              <w:rPr>
                <w:sz w:val="18"/>
              </w:rPr>
              <w:t>4.41</w:t>
            </w:r>
          </w:p>
        </w:tc>
        <w:tc>
          <w:tcPr>
            <w:tcW w:type="dxa" w:w="1828"/>
          </w:tcPr>
          <w:p>
            <w:pPr>
              <w:spacing w:after="20" w:before="20" w:line="240" w:lineRule="auto"/>
            </w:pPr>
            <w:r/>
            <w:r>
              <w:rPr>
                <w:sz w:val="18"/>
              </w:rPr>
              <w:t>3.92</w:t>
            </w:r>
          </w:p>
        </w:tc>
      </w:tr>
      <w:tr>
        <w:tc>
          <w:tcPr>
            <w:tcW w:type="dxa" w:w="4266"/>
          </w:tcPr>
          <w:p>
            <w:pPr>
              <w:spacing w:after="20" w:before="20" w:line="240" w:lineRule="auto"/>
            </w:pPr>
            <w:r/>
            <w:r>
              <w:rPr>
                <w:sz w:val="18"/>
              </w:rPr>
              <w:t>Up to 15 (as tested)</w:t>
            </w:r>
          </w:p>
        </w:tc>
        <w:tc>
          <w:tcPr>
            <w:tcW w:type="dxa" w:w="1828"/>
          </w:tcPr>
          <w:p>
            <w:pPr>
              <w:spacing w:after="20" w:before="20" w:line="240" w:lineRule="auto"/>
            </w:pPr>
            <w:r/>
            <w:r>
              <w:rPr>
                <w:sz w:val="18"/>
              </w:rPr>
              <w:t>4.09</w:t>
            </w:r>
          </w:p>
        </w:tc>
        <w:tc>
          <w:tcPr>
            <w:tcW w:type="dxa" w:w="1828"/>
          </w:tcPr>
          <w:p>
            <w:pPr>
              <w:spacing w:after="20" w:before="20" w:line="240" w:lineRule="auto"/>
            </w:pPr>
            <w:r/>
            <w:r>
              <w:rPr>
                <w:sz w:val="18"/>
              </w:rPr>
              <w:t>4.34</w:t>
            </w:r>
          </w:p>
        </w:tc>
        <w:tc>
          <w:tcPr>
            <w:tcW w:type="dxa" w:w="1828"/>
          </w:tcPr>
          <w:p>
            <w:pPr>
              <w:spacing w:after="20" w:before="20" w:line="240" w:lineRule="auto"/>
            </w:pPr>
            <w:r/>
            <w:r>
              <w:rPr>
                <w:sz w:val="18"/>
              </w:rPr>
              <w:t>3.88</w:t>
            </w:r>
          </w:p>
        </w:tc>
      </w:tr>
    </w:tbl>
    <w:p>
      <w:pPr>
        <w:spacing w:after="40"/>
      </w:pPr>
    </w:p>
    <w:p>
      <w:pPr>
        <w:pStyle w:val="Caption"/>
      </w:pPr>
      <w:r>
        <w:t xml:space="preserve">Table </w:t>
      </w:r>
      <w:r>
        <w:fldChar w:fldCharType="begin"/>
      </w:r>
      <w:r>
        <w:instrText xml:space="preserve"> SEQ Table \* ARABIC </w:instrText>
      </w:r>
      <w:r>
        <w:fldChar w:fldCharType="separate"/>
      </w:r>
      <w:r>
        <w:t>19</w:t>
      </w:r>
      <w:r>
        <w:fldChar w:fldCharType="end"/>
      </w:r>
      <w:r>
        <w:t>: Later Hit Rate of Regular Taxpayers by Scorecard and Pattern (average of 6 snapshots)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6310"/>
            <w:shd w:val="clear" w:color="auto" w:fill="D9E2F3"/>
          </w:tcPr>
          <w:p>
            <w:pPr>
              <w:spacing w:after="20" w:before="20" w:line="240" w:lineRule="auto"/>
            </w:pPr>
            <w:r/>
            <w:r>
              <w:rPr>
                <w:b/>
                <w:sz w:val="18"/>
              </w:rPr>
              <w:t>Group</w:t>
            </w:r>
          </w:p>
        </w:tc>
        <w:tc>
          <w:tcPr>
            <w:tcW w:type="dxa" w:w="3442"/>
            <w:shd w:val="clear" w:color="auto" w:fill="D9E2F3"/>
          </w:tcPr>
          <w:p>
            <w:pPr>
              <w:spacing w:after="20" w:before="20" w:line="240" w:lineRule="auto"/>
            </w:pPr>
            <w:r/>
            <w:r>
              <w:rPr>
                <w:b/>
                <w:sz w:val="18"/>
              </w:rPr>
              <w:t>Hit rate in the 6 months after</w:t>
            </w:r>
          </w:p>
        </w:tc>
      </w:tr>
      <w:tr>
        <w:tc>
          <w:tcPr>
            <w:tcW w:type="dxa" w:w="6310"/>
          </w:tcPr>
          <w:p>
            <w:pPr>
              <w:spacing w:after="20" w:before="20" w:line="240" w:lineRule="auto"/>
            </w:pPr>
            <w:r/>
            <w:r>
              <w:rPr>
                <w:sz w:val="18"/>
              </w:rPr>
              <w:t>Scorecard under 15 points, usual pattern</w:t>
            </w:r>
          </w:p>
        </w:tc>
        <w:tc>
          <w:tcPr>
            <w:tcW w:type="dxa" w:w="3442"/>
          </w:tcPr>
          <w:p>
            <w:pPr>
              <w:spacing w:after="20" w:before="20" w:line="240" w:lineRule="auto"/>
            </w:pPr>
            <w:r/>
            <w:r>
              <w:rPr>
                <w:sz w:val="18"/>
              </w:rPr>
              <w:t>2.8%</w:t>
            </w:r>
          </w:p>
        </w:tc>
      </w:tr>
      <w:tr>
        <w:tc>
          <w:tcPr>
            <w:tcW w:type="dxa" w:w="6310"/>
          </w:tcPr>
          <w:p>
            <w:pPr>
              <w:spacing w:after="20" w:before="20" w:line="240" w:lineRule="auto"/>
            </w:pPr>
            <w:r/>
            <w:r>
              <w:rPr>
                <w:sz w:val="18"/>
              </w:rPr>
              <w:t>Scorecard under 15 points, unusual pattern (top 20%)</w:t>
            </w:r>
          </w:p>
        </w:tc>
        <w:tc>
          <w:tcPr>
            <w:tcW w:type="dxa" w:w="3442"/>
          </w:tcPr>
          <w:p>
            <w:pPr>
              <w:spacing w:after="20" w:before="20" w:line="240" w:lineRule="auto"/>
            </w:pPr>
            <w:r/>
            <w:r>
              <w:rPr>
                <w:sz w:val="18"/>
              </w:rPr>
              <w:t>2.4%</w:t>
            </w:r>
          </w:p>
        </w:tc>
      </w:tr>
      <w:tr>
        <w:tc>
          <w:tcPr>
            <w:tcW w:type="dxa" w:w="6310"/>
          </w:tcPr>
          <w:p>
            <w:pPr>
              <w:spacing w:after="20" w:before="20" w:line="240" w:lineRule="auto"/>
            </w:pPr>
            <w:r/>
            <w:r>
              <w:rPr>
                <w:sz w:val="18"/>
              </w:rPr>
              <w:t>Scorecard 15 points or more, usual pattern</w:t>
            </w:r>
          </w:p>
        </w:tc>
        <w:tc>
          <w:tcPr>
            <w:tcW w:type="dxa" w:w="3442"/>
          </w:tcPr>
          <w:p>
            <w:pPr>
              <w:spacing w:after="20" w:before="20" w:line="240" w:lineRule="auto"/>
            </w:pPr>
            <w:r/>
            <w:r>
              <w:rPr>
                <w:sz w:val="18"/>
              </w:rPr>
              <w:t>23.0%</w:t>
            </w:r>
          </w:p>
        </w:tc>
      </w:tr>
      <w:tr>
        <w:tc>
          <w:tcPr>
            <w:tcW w:type="dxa" w:w="6310"/>
          </w:tcPr>
          <w:p>
            <w:pPr>
              <w:spacing w:after="20" w:before="20" w:line="240" w:lineRule="auto"/>
            </w:pPr>
            <w:r/>
            <w:r>
              <w:rPr>
                <w:sz w:val="18"/>
              </w:rPr>
              <w:t>Scorecard 15 points or more, unusual pattern</w:t>
            </w:r>
          </w:p>
        </w:tc>
        <w:tc>
          <w:tcPr>
            <w:tcW w:type="dxa" w:w="3442"/>
          </w:tcPr>
          <w:p>
            <w:pPr>
              <w:spacing w:after="20" w:before="20" w:line="240" w:lineRule="auto"/>
            </w:pPr>
            <w:r/>
            <w:r>
              <w:rPr>
                <w:sz w:val="18"/>
              </w:rPr>
              <w:t>24.7%</w:t>
            </w:r>
          </w:p>
        </w:tc>
      </w:tr>
      <w:tr>
        <w:tc>
          <w:tcPr>
            <w:tcW w:type="dxa" w:w="6310"/>
          </w:tcPr>
          <w:p>
            <w:pPr>
              <w:spacing w:after="20" w:before="20" w:line="240" w:lineRule="auto"/>
            </w:pPr>
            <w:r/>
            <w:r>
              <w:rPr>
                <w:sz w:val="18"/>
              </w:rPr>
              <w:t>All taxpayers</w:t>
            </w:r>
          </w:p>
        </w:tc>
        <w:tc>
          <w:tcPr>
            <w:tcW w:type="dxa" w:w="3442"/>
          </w:tcPr>
          <w:p>
            <w:pPr>
              <w:spacing w:after="20" w:before="20" w:line="240" w:lineRule="auto"/>
            </w:pPr>
            <w:r/>
            <w:r>
              <w:rPr>
                <w:sz w:val="18"/>
              </w:rPr>
              <w:t>8.8%</w:t>
            </w:r>
          </w:p>
        </w:tc>
      </w:tr>
    </w:tbl>
    <w:p>
      <w:pPr>
        <w:spacing w:after="40"/>
      </w:pPr>
    </w:p>
    <w:p>
      <w:pPr>
        <w:spacing w:after="120"/>
      </w:pPr>
      <w:r>
        <w:t>Among taxpayers the scorecard sees as low risk, the unusual ones were hit no more often than the usual ones. The most unusual 10% use 7.7 times as many HS headings, 3.7 times as many items per declaration and twice the origins of the usual half: general merchants and consolidators. Pattern points therefore pushed varied but clean traders above taxpayers with real top-up records. The check is kept as a note (code PAT) for taxpayers more unusual than 95% of their peer group (413 taxpayers in March 2026), because officers asked to be made aware of such cases. The outcome used here only sees top-ups on checked declarations; risks it cannot see remain possible, and the decision can be revisited if audit outcomes show otherwise.</w:t>
      </w:r>
    </w:p>
    <w:p>
      <w:pPr>
        <w:keepNext/>
        <w:jc w:val="center"/>
      </w:pPr>
      <w:r>
        <w:drawing>
          <wp:inline xmlns:a="http://schemas.openxmlformats.org/drawingml/2006/main" xmlns:pic="http://schemas.openxmlformats.org/drawingml/2006/picture">
            <wp:extent cx="5940000" cy="1773824"/>
            <wp:docPr id="10" name="Picture 10"/>
            <wp:cNvGraphicFramePr>
              <a:graphicFrameLocks noChangeAspect="1"/>
            </wp:cNvGraphicFramePr>
            <a:graphic>
              <a:graphicData uri="http://schemas.openxmlformats.org/drawingml/2006/picture">
                <pic:pic>
                  <pic:nvPicPr>
                    <pic:cNvPr id="0" name="chart_23.png"/>
                    <pic:cNvPicPr/>
                  </pic:nvPicPr>
                  <pic:blipFill>
                    <a:blip r:embed="rId35"/>
                    <a:stretch>
                      <a:fillRect/>
                    </a:stretch>
                  </pic:blipFill>
                  <pic:spPr>
                    <a:xfrm>
                      <a:off x="0" y="0"/>
                      <a:ext cx="5940000" cy="1773824"/>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9</w:t>
      </w:r>
      <w:r>
        <w:fldChar w:fldCharType="end"/>
      </w:r>
      <w:r>
        <w:t>: Later hit rate by scorecard level and pattern</w:t>
      </w:r>
    </w:p>
    <w:p>
      <w:r>
        <w:br w:type="page"/>
      </w:r>
    </w:p>
    <w:p/>
    <w:p/>
    <w:p/>
    <w:p/>
    <w:p/>
    <w:p/>
    <w:p>
      <w:pPr>
        <w:pStyle w:val="Heading1"/>
      </w:pPr>
      <w:r>
        <w:t>PART 5: SCORES, BANDS AND OUTPUTS</w:t>
      </w:r>
    </w:p>
    <w:p>
      <w:pPr>
        <w:spacing w:after="120"/>
      </w:pPr>
      <w:r>
        <w:t>This part records the output contract officers receive and the current state of the bands, which remain provisional until Stage 7.</w:t>
      </w:r>
    </w:p>
    <w:p>
      <w:r>
        <w:br w:type="page"/>
      </w:r>
    </w:p>
    <w:p>
      <w:pPr>
        <w:pStyle w:val="Heading2"/>
      </w:pPr>
      <w:r>
        <w:t>5.1 Output Contract (decisions 26 to 29)</w:t>
      </w:r>
    </w:p>
    <w:p>
      <w:pPr>
        <w:pStyle w:val="ListParagraph"/>
        <w:numPr>
          <w:ilvl w:val="0"/>
          <w:numId w:val="904"/>
        </w:numPr>
        <w:spacing w:after="60"/>
      </w:pPr>
      <w:r>
        <w:t>One model (</w:t>
      </w:r>
      <w:r>
        <w:rPr>
          <w:rFonts w:ascii="Consolas" w:hAnsi="Consolas"/>
        </w:rPr>
        <w:t>src/ctrp/core.py</w:t>
      </w:r>
      <w:r>
        <w:t xml:space="preserve">, in the </w:t>
      </w:r>
      <w:r>
        <w:rPr>
          <w:rFonts w:ascii="Consolas" w:hAnsi="Consolas"/>
        </w:rPr>
        <w:t>ctrp</w:t>
      </w:r>
      <w:r>
        <w:t xml:space="preserve"> package) is used by the notebook, the command line (</w:t>
      </w:r>
      <w:r>
        <w:rPr>
          <w:rFonts w:ascii="Consolas" w:hAnsi="Consolas"/>
        </w:rPr>
        <w:t>main.py</w:t>
      </w:r>
      <w:r>
        <w:t>) and production, so the same input always gives the same scores. Automatic tests check its promises (decision 55).</w:t>
      </w:r>
    </w:p>
    <w:p>
      <w:pPr>
        <w:pStyle w:val="ListParagraph"/>
        <w:numPr>
          <w:ilvl w:val="0"/>
          <w:numId w:val="904"/>
        </w:numPr>
        <w:spacing w:after="60"/>
      </w:pPr>
      <w:r>
        <w:t>Officers receive an Excel workbook with fixed sheets: Read me, Scores, Reasons, Parameter values, Band summary, Reason codes, Run info.</w:t>
      </w:r>
    </w:p>
    <w:p>
      <w:pPr>
        <w:pStyle w:val="ListParagraph"/>
        <w:numPr>
          <w:ilvl w:val="0"/>
          <w:numId w:val="904"/>
        </w:numPr>
        <w:spacing w:after="60"/>
      </w:pPr>
      <w:r>
        <w:t>Every reason is a fixed sentence per code, ordered by points then code. Notes (PAT, LIM, NPE, LAG, MIS) carry no points.</w:t>
      </w:r>
    </w:p>
    <w:p>
      <w:pPr>
        <w:pStyle w:val="ListParagraph"/>
        <w:numPr>
          <w:ilvl w:val="0"/>
          <w:numId w:val="904"/>
        </w:numPr>
        <w:spacing w:after="60"/>
      </w:pPr>
      <w:r>
        <w:t>Every output carries the model version and a fingerprint of all settings.</w:t>
      </w:r>
    </w:p>
    <w:p>
      <w:pPr>
        <w:pStyle w:val="Heading2"/>
      </w:pPr>
      <w:r>
        <w:t>5.2 Bands (provisional)</w:t>
      </w:r>
    </w:p>
    <w:p>
      <w:pPr>
        <w:pStyle w:val="Caption"/>
      </w:pPr>
      <w:r>
        <w:t xml:space="preserve">Table </w:t>
      </w:r>
      <w:r>
        <w:fldChar w:fldCharType="begin"/>
      </w:r>
      <w:r>
        <w:instrText xml:space="preserve"> SEQ Table \* ARABIC </w:instrText>
      </w:r>
      <w:r>
        <w:fldChar w:fldCharType="separate"/>
      </w:r>
      <w:r>
        <w:t>20</w:t>
      </w:r>
      <w:r>
        <w:fldChar w:fldCharType="end"/>
      </w:r>
      <w:r>
        <w:t>: Bands and Results for March 2026 (model 1.0.0-dev4)</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294"/>
            <w:shd w:val="clear" w:color="auto" w:fill="D9E2F3"/>
          </w:tcPr>
          <w:p>
            <w:pPr>
              <w:spacing w:after="20" w:before="20" w:line="240" w:lineRule="auto"/>
            </w:pPr>
            <w:r/>
            <w:r>
              <w:rPr>
                <w:b/>
                <w:sz w:val="18"/>
              </w:rPr>
              <w:t>Band</w:t>
            </w:r>
          </w:p>
        </w:tc>
        <w:tc>
          <w:tcPr>
            <w:tcW w:type="dxa" w:w="1721"/>
            <w:shd w:val="clear" w:color="auto" w:fill="D9E2F3"/>
          </w:tcPr>
          <w:p>
            <w:pPr>
              <w:spacing w:after="20" w:before="20" w:line="240" w:lineRule="auto"/>
            </w:pPr>
            <w:r/>
            <w:r>
              <w:rPr>
                <w:b/>
                <w:sz w:val="18"/>
              </w:rPr>
              <w:t>Score</w:t>
            </w:r>
          </w:p>
        </w:tc>
        <w:tc>
          <w:tcPr>
            <w:tcW w:type="dxa" w:w="2294"/>
            <w:shd w:val="clear" w:color="auto" w:fill="D9E2F3"/>
          </w:tcPr>
          <w:p>
            <w:pPr>
              <w:spacing w:after="20" w:before="20" w:line="240" w:lineRule="auto"/>
            </w:pPr>
            <w:r/>
            <w:r>
              <w:rPr>
                <w:b/>
                <w:sz w:val="18"/>
              </w:rPr>
              <w:t>Taxpayers</w:t>
            </w:r>
          </w:p>
        </w:tc>
        <w:tc>
          <w:tcPr>
            <w:tcW w:type="dxa" w:w="3442"/>
            <w:shd w:val="clear" w:color="auto" w:fill="D9E2F3"/>
          </w:tcPr>
          <w:p>
            <w:pPr>
              <w:spacing w:after="20" w:before="20" w:line="240" w:lineRule="auto"/>
            </w:pPr>
            <w:r/>
            <w:r>
              <w:rPr>
                <w:b/>
                <w:sz w:val="18"/>
              </w:rPr>
              <w:t>Hit rate in the 6 months after</w:t>
            </w:r>
          </w:p>
        </w:tc>
      </w:tr>
      <w:tr>
        <w:tc>
          <w:tcPr>
            <w:tcW w:type="dxa" w:w="2294"/>
          </w:tcPr>
          <w:p>
            <w:pPr>
              <w:spacing w:after="20" w:before="20" w:line="240" w:lineRule="auto"/>
            </w:pPr>
            <w:r/>
            <w:r>
              <w:rPr>
                <w:sz w:val="18"/>
              </w:rPr>
              <w:t>VERY LOW</w:t>
            </w:r>
          </w:p>
        </w:tc>
        <w:tc>
          <w:tcPr>
            <w:tcW w:type="dxa" w:w="1721"/>
          </w:tcPr>
          <w:p>
            <w:pPr>
              <w:spacing w:after="20" w:before="20" w:line="240" w:lineRule="auto"/>
            </w:pPr>
            <w:r/>
            <w:r>
              <w:rPr>
                <w:sz w:val="18"/>
              </w:rPr>
              <w:t>0 to 15</w:t>
            </w:r>
          </w:p>
        </w:tc>
        <w:tc>
          <w:tcPr>
            <w:tcW w:type="dxa" w:w="2294"/>
          </w:tcPr>
          <w:p>
            <w:pPr>
              <w:spacing w:after="20" w:before="20" w:line="240" w:lineRule="auto"/>
            </w:pPr>
            <w:r/>
            <w:r>
              <w:rPr>
                <w:sz w:val="18"/>
              </w:rPr>
              <w:t>44,245</w:t>
            </w:r>
          </w:p>
        </w:tc>
        <w:tc>
          <w:tcPr>
            <w:tcW w:type="dxa" w:w="3442"/>
          </w:tcPr>
          <w:p>
            <w:pPr>
              <w:spacing w:after="20" w:before="20" w:line="240" w:lineRule="auto"/>
            </w:pPr>
            <w:r/>
            <w:r>
              <w:rPr>
                <w:sz w:val="18"/>
              </w:rPr>
              <w:t>2.8%</w:t>
            </w:r>
          </w:p>
        </w:tc>
      </w:tr>
      <w:tr>
        <w:tc>
          <w:tcPr>
            <w:tcW w:type="dxa" w:w="2294"/>
          </w:tcPr>
          <w:p>
            <w:pPr>
              <w:spacing w:after="20" w:before="20" w:line="240" w:lineRule="auto"/>
            </w:pPr>
            <w:r/>
            <w:r>
              <w:rPr>
                <w:sz w:val="18"/>
              </w:rPr>
              <w:t>LOW</w:t>
            </w:r>
          </w:p>
        </w:tc>
        <w:tc>
          <w:tcPr>
            <w:tcW w:type="dxa" w:w="1721"/>
          </w:tcPr>
          <w:p>
            <w:pPr>
              <w:spacing w:after="20" w:before="20" w:line="240" w:lineRule="auto"/>
            </w:pPr>
            <w:r/>
            <w:r>
              <w:rPr>
                <w:sz w:val="18"/>
              </w:rPr>
              <w:t>16 to 35</w:t>
            </w:r>
          </w:p>
        </w:tc>
        <w:tc>
          <w:tcPr>
            <w:tcW w:type="dxa" w:w="2294"/>
          </w:tcPr>
          <w:p>
            <w:pPr>
              <w:spacing w:after="20" w:before="20" w:line="240" w:lineRule="auto"/>
            </w:pPr>
            <w:r/>
            <w:r>
              <w:rPr>
                <w:sz w:val="18"/>
              </w:rPr>
              <w:t>9,888</w:t>
            </w:r>
          </w:p>
        </w:tc>
        <w:tc>
          <w:tcPr>
            <w:tcW w:type="dxa" w:w="3442"/>
          </w:tcPr>
          <w:p>
            <w:pPr>
              <w:spacing w:after="20" w:before="20" w:line="240" w:lineRule="auto"/>
            </w:pPr>
            <w:r/>
            <w:r>
              <w:rPr>
                <w:sz w:val="18"/>
              </w:rPr>
              <w:t>5.8%</w:t>
            </w:r>
          </w:p>
        </w:tc>
      </w:tr>
      <w:tr>
        <w:tc>
          <w:tcPr>
            <w:tcW w:type="dxa" w:w="2294"/>
          </w:tcPr>
          <w:p>
            <w:pPr>
              <w:spacing w:after="20" w:before="20" w:line="240" w:lineRule="auto"/>
            </w:pPr>
            <w:r/>
            <w:r>
              <w:rPr>
                <w:sz w:val="18"/>
              </w:rPr>
              <w:t>MEDIUM</w:t>
            </w:r>
          </w:p>
        </w:tc>
        <w:tc>
          <w:tcPr>
            <w:tcW w:type="dxa" w:w="1721"/>
          </w:tcPr>
          <w:p>
            <w:pPr>
              <w:spacing w:after="20" w:before="20" w:line="240" w:lineRule="auto"/>
            </w:pPr>
            <w:r/>
            <w:r>
              <w:rPr>
                <w:sz w:val="18"/>
              </w:rPr>
              <w:t>36 to 50</w:t>
            </w:r>
          </w:p>
        </w:tc>
        <w:tc>
          <w:tcPr>
            <w:tcW w:type="dxa" w:w="2294"/>
          </w:tcPr>
          <w:p>
            <w:pPr>
              <w:spacing w:after="20" w:before="20" w:line="240" w:lineRule="auto"/>
            </w:pPr>
            <w:r/>
            <w:r>
              <w:rPr>
                <w:sz w:val="18"/>
              </w:rPr>
              <w:t>1,897</w:t>
            </w:r>
          </w:p>
        </w:tc>
        <w:tc>
          <w:tcPr>
            <w:tcW w:type="dxa" w:w="3442"/>
          </w:tcPr>
          <w:p>
            <w:pPr>
              <w:spacing w:after="20" w:before="20" w:line="240" w:lineRule="auto"/>
            </w:pPr>
            <w:r/>
            <w:r>
              <w:rPr>
                <w:sz w:val="18"/>
              </w:rPr>
              <w:t>10.7%</w:t>
            </w:r>
          </w:p>
        </w:tc>
      </w:tr>
      <w:tr>
        <w:tc>
          <w:tcPr>
            <w:tcW w:type="dxa" w:w="2294"/>
          </w:tcPr>
          <w:p>
            <w:pPr>
              <w:spacing w:after="20" w:before="20" w:line="240" w:lineRule="auto"/>
            </w:pPr>
            <w:r/>
            <w:r>
              <w:rPr>
                <w:sz w:val="18"/>
              </w:rPr>
              <w:t>HIGH</w:t>
            </w:r>
          </w:p>
        </w:tc>
        <w:tc>
          <w:tcPr>
            <w:tcW w:type="dxa" w:w="1721"/>
          </w:tcPr>
          <w:p>
            <w:pPr>
              <w:spacing w:after="20" w:before="20" w:line="240" w:lineRule="auto"/>
            </w:pPr>
            <w:r/>
            <w:r>
              <w:rPr>
                <w:sz w:val="18"/>
              </w:rPr>
              <w:t>51 to 80</w:t>
            </w:r>
          </w:p>
        </w:tc>
        <w:tc>
          <w:tcPr>
            <w:tcW w:type="dxa" w:w="2294"/>
          </w:tcPr>
          <w:p>
            <w:pPr>
              <w:spacing w:after="20" w:before="20" w:line="240" w:lineRule="auto"/>
            </w:pPr>
            <w:r/>
            <w:r>
              <w:rPr>
                <w:sz w:val="18"/>
              </w:rPr>
              <w:t>1,785</w:t>
            </w:r>
          </w:p>
        </w:tc>
        <w:tc>
          <w:tcPr>
            <w:tcW w:type="dxa" w:w="3442"/>
          </w:tcPr>
          <w:p>
            <w:pPr>
              <w:spacing w:after="20" w:before="20" w:line="240" w:lineRule="auto"/>
            </w:pPr>
            <w:r/>
            <w:r>
              <w:rPr>
                <w:sz w:val="18"/>
              </w:rPr>
              <w:t>43.0%</w:t>
            </w:r>
          </w:p>
        </w:tc>
      </w:tr>
      <w:tr>
        <w:tc>
          <w:tcPr>
            <w:tcW w:type="dxa" w:w="2294"/>
          </w:tcPr>
          <w:p>
            <w:pPr>
              <w:spacing w:after="20" w:before="20" w:line="240" w:lineRule="auto"/>
            </w:pPr>
            <w:r/>
            <w:r>
              <w:rPr>
                <w:sz w:val="18"/>
              </w:rPr>
              <w:t>VERY HIGH</w:t>
            </w:r>
          </w:p>
        </w:tc>
        <w:tc>
          <w:tcPr>
            <w:tcW w:type="dxa" w:w="1721"/>
          </w:tcPr>
          <w:p>
            <w:pPr>
              <w:spacing w:after="20" w:before="20" w:line="240" w:lineRule="auto"/>
            </w:pPr>
            <w:r/>
            <w:r>
              <w:rPr>
                <w:sz w:val="18"/>
              </w:rPr>
              <w:t>81 to 100</w:t>
            </w:r>
          </w:p>
        </w:tc>
        <w:tc>
          <w:tcPr>
            <w:tcW w:type="dxa" w:w="2294"/>
          </w:tcPr>
          <w:p>
            <w:pPr>
              <w:spacing w:after="20" w:before="20" w:line="240" w:lineRule="auto"/>
            </w:pPr>
            <w:r/>
            <w:r>
              <w:rPr>
                <w:sz w:val="18"/>
              </w:rPr>
              <w:t>346</w:t>
            </w:r>
          </w:p>
        </w:tc>
        <w:tc>
          <w:tcPr>
            <w:tcW w:type="dxa" w:w="3442"/>
          </w:tcPr>
          <w:p>
            <w:pPr>
              <w:spacing w:after="20" w:before="20" w:line="240" w:lineRule="auto"/>
            </w:pPr>
            <w:r/>
            <w:r>
              <w:rPr>
                <w:sz w:val="18"/>
              </w:rPr>
              <w:t>38.4%</w:t>
            </w:r>
          </w:p>
        </w:tc>
      </w:tr>
      <w:tr>
        <w:tc>
          <w:tcPr>
            <w:tcW w:type="dxa" w:w="2294"/>
          </w:tcPr>
          <w:p>
            <w:pPr>
              <w:spacing w:after="20" w:before="20" w:line="240" w:lineRule="auto"/>
            </w:pPr>
            <w:r/>
            <w:r>
              <w:rPr>
                <w:sz w:val="18"/>
              </w:rPr>
              <w:t>All</w:t>
            </w:r>
          </w:p>
        </w:tc>
        <w:tc>
          <w:tcPr>
            <w:tcW w:type="dxa" w:w="1721"/>
          </w:tcPr>
          <w:p>
            <w:pPr>
              <w:spacing w:after="20" w:before="20" w:line="240" w:lineRule="auto"/>
            </w:pPr>
            <w:r/>
          </w:p>
        </w:tc>
        <w:tc>
          <w:tcPr>
            <w:tcW w:type="dxa" w:w="2294"/>
          </w:tcPr>
          <w:p>
            <w:pPr>
              <w:spacing w:after="20" w:before="20" w:line="240" w:lineRule="auto"/>
            </w:pPr>
            <w:r/>
            <w:r>
              <w:rPr>
                <w:sz w:val="18"/>
              </w:rPr>
              <w:t>58,161</w:t>
            </w:r>
          </w:p>
        </w:tc>
        <w:tc>
          <w:tcPr>
            <w:tcW w:type="dxa" w:w="3442"/>
          </w:tcPr>
          <w:p>
            <w:pPr>
              <w:spacing w:after="20" w:before="20" w:line="240" w:lineRule="auto"/>
            </w:pPr>
            <w:r/>
            <w:r>
              <w:rPr>
                <w:sz w:val="18"/>
              </w:rPr>
              <w:t>7.0%</w:t>
            </w:r>
          </w:p>
        </w:tc>
      </w:tr>
    </w:tbl>
    <w:p>
      <w:pPr>
        <w:spacing w:after="40"/>
      </w:pPr>
    </w:p>
    <w:p>
      <w:pPr>
        <w:spacing w:after="120"/>
      </w:pPr>
      <w:r>
        <w:t>The hit rate rises band by band to HIGH. VERY HIGH sits above HIGH in the four earlier snapshots but below it in September 2025 and March 2026; the dip is concentrated in scores of 71 to 90. Stage 7 will set the cut-offs against this evidence and against inspection capacity.</w:t>
      </w:r>
    </w:p>
    <w:p>
      <w:pPr>
        <w:keepNext/>
        <w:jc w:val="center"/>
      </w:pPr>
      <w:r>
        <w:drawing>
          <wp:inline xmlns:a="http://schemas.openxmlformats.org/drawingml/2006/main" xmlns:pic="http://schemas.openxmlformats.org/drawingml/2006/picture">
            <wp:extent cx="5940000" cy="2865790"/>
            <wp:docPr id="11" name="Picture 11"/>
            <wp:cNvGraphicFramePr>
              <a:graphicFrameLocks noChangeAspect="1"/>
            </wp:cNvGraphicFramePr>
            <a:graphic>
              <a:graphicData uri="http://schemas.openxmlformats.org/drawingml/2006/picture">
                <pic:pic>
                  <pic:nvPicPr>
                    <pic:cNvPr id="0" name="chart_32.png"/>
                    <pic:cNvPicPr/>
                  </pic:nvPicPr>
                  <pic:blipFill>
                    <a:blip r:embed="rId36"/>
                    <a:stretch>
                      <a:fillRect/>
                    </a:stretch>
                  </pic:blipFill>
                  <pic:spPr>
                    <a:xfrm>
                      <a:off x="0" y="0"/>
                      <a:ext cx="5940000" cy="286579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10</w:t>
      </w:r>
      <w:r>
        <w:fldChar w:fldCharType="end"/>
      </w:r>
      <w:r>
        <w:t>: Hit rate by band in every snapshot</w:t>
      </w:r>
    </w:p>
    <w:p>
      <w:r>
        <w:br w:type="page"/>
      </w:r>
    </w:p>
    <w:p/>
    <w:p/>
    <w:p/>
    <w:p/>
    <w:p/>
    <w:p/>
    <w:p>
      <w:pPr>
        <w:pStyle w:val="Heading1"/>
      </w:pPr>
      <w:r>
        <w:t>PART 6: CHALLENGER COMPARISON, ROUND 1</w:t>
      </w:r>
    </w:p>
    <w:p>
      <w:pPr>
        <w:spacing w:after="120"/>
      </w:pPr>
      <w:r>
        <w:t>This part records the first comparison of the scorecard against alternative models: the candidates of the June 2026 Scope, Architecture and Design document and the challengers identified by desk research.</w:t>
      </w:r>
    </w:p>
    <w:p>
      <w:r>
        <w:br w:type="page"/>
      </w:r>
    </w:p>
    <w:p>
      <w:pPr>
        <w:pStyle w:val="Heading2"/>
      </w:pPr>
      <w:r>
        <w:t>6.1 How the Comparison was Run</w:t>
      </w:r>
    </w:p>
    <w:p>
      <w:pPr>
        <w:pStyle w:val="ListParagraph"/>
        <w:numPr>
          <w:ilvl w:val="0"/>
          <w:numId w:val="905"/>
        </w:numPr>
        <w:spacing w:after="60"/>
      </w:pPr>
      <w:r>
        <w:t xml:space="preserve">Every challenger scores the same taxpayers and is measured the same way (code: </w:t>
      </w:r>
      <w:r>
        <w:rPr>
          <w:rFonts w:ascii="Consolas" w:hAnsi="Consolas"/>
        </w:rPr>
        <w:t>src/ctrp/models/challengers.py</w:t>
      </w:r>
      <w:r>
        <w:t>).</w:t>
      </w:r>
    </w:p>
    <w:p>
      <w:pPr>
        <w:pStyle w:val="ListParagraph"/>
        <w:numPr>
          <w:ilvl w:val="0"/>
          <w:numId w:val="905"/>
        </w:numPr>
        <w:spacing w:after="60"/>
      </w:pPr>
      <w:r>
        <w:t>Models that learn from outcomes train only on earlier snapshots whose outcome window had closed. Tests run on September 2024, March 2025, September 2025 and March 2026.</w:t>
      </w:r>
    </w:p>
    <w:p>
      <w:pPr>
        <w:pStyle w:val="ListParagraph"/>
        <w:numPr>
          <w:ilvl w:val="0"/>
          <w:numId w:val="905"/>
        </w:numPr>
        <w:spacing w:after="60"/>
      </w:pPr>
      <w:r>
        <w:t>A challenger is called better or worse than the scorecard only where a 90% paired bootstrap interval of the top-5% lift difference excludes zero.</w:t>
      </w:r>
    </w:p>
    <w:p>
      <w:pPr>
        <w:pStyle w:val="ListParagraph"/>
        <w:numPr>
          <w:ilvl w:val="0"/>
          <w:numId w:val="905"/>
        </w:numPr>
        <w:spacing w:after="60"/>
      </w:pPr>
      <w:r>
        <w:t>Unsupervised candidates were given one-sided features (how far above the HS-section median each parameter sits, floored at zero), so they could only react to worse-than-peer behaviour.</w:t>
      </w:r>
    </w:p>
    <w:p>
      <w:pPr>
        <w:pStyle w:val="Heading2"/>
      </w:pPr>
      <w:r>
        <w:t>6.2 Results</w:t>
      </w:r>
    </w:p>
    <w:p>
      <w:pPr>
        <w:pStyle w:val="Caption"/>
      </w:pPr>
      <w:r>
        <w:t xml:space="preserve">Table </w:t>
      </w:r>
      <w:r>
        <w:fldChar w:fldCharType="begin"/>
      </w:r>
      <w:r>
        <w:instrText xml:space="preserve"> SEQ Table \* ARABIC </w:instrText>
      </w:r>
      <w:r>
        <w:fldChar w:fldCharType="separate"/>
      </w:r>
      <w:r>
        <w:t>21</w:t>
      </w:r>
      <w:r>
        <w:fldChar w:fldCharType="end"/>
      </w:r>
      <w:r>
        <w:t>: Challenger Results (average of 4 test snapshots)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393"/>
        <w:gridCol w:w="1393"/>
        <w:gridCol w:w="1393"/>
        <w:gridCol w:w="1393"/>
        <w:gridCol w:w="1393"/>
        <w:gridCol w:w="1393"/>
        <w:gridCol w:w="1393"/>
      </w:tblGrid>
      <w:tr>
        <w:trPr>
          <w:tblHeader w:val="true"/>
        </w:trPr>
        <w:tc>
          <w:tcPr>
            <w:tcW w:type="dxa" w:w="2301"/>
            <w:shd w:val="clear" w:color="auto" w:fill="D9E2F3"/>
          </w:tcPr>
          <w:p>
            <w:pPr>
              <w:spacing w:after="20" w:before="20" w:line="240" w:lineRule="auto"/>
            </w:pPr>
            <w:r/>
            <w:r>
              <w:rPr>
                <w:b/>
                <w:sz w:val="16"/>
              </w:rPr>
              <w:t>Model</w:t>
            </w:r>
          </w:p>
        </w:tc>
        <w:tc>
          <w:tcPr>
            <w:tcW w:type="dxa" w:w="1753"/>
            <w:shd w:val="clear" w:color="auto" w:fill="D9E2F3"/>
          </w:tcPr>
          <w:p>
            <w:pPr>
              <w:spacing w:after="20" w:before="20" w:line="240" w:lineRule="auto"/>
            </w:pPr>
            <w:r/>
            <w:r>
              <w:rPr>
                <w:b/>
                <w:sz w:val="16"/>
              </w:rPr>
              <w:t>Lift 1% / 5% / 10%</w:t>
            </w:r>
          </w:p>
        </w:tc>
        <w:tc>
          <w:tcPr>
            <w:tcW w:type="dxa" w:w="1041"/>
            <w:shd w:val="clear" w:color="auto" w:fill="D9E2F3"/>
          </w:tcPr>
          <w:p>
            <w:pPr>
              <w:spacing w:after="20" w:before="20" w:line="240" w:lineRule="auto"/>
            </w:pPr>
            <w:r/>
            <w:r>
              <w:rPr>
                <w:b/>
                <w:sz w:val="16"/>
              </w:rPr>
              <w:t>Hits in top 5%</w:t>
            </w:r>
          </w:p>
        </w:tc>
        <w:tc>
          <w:tcPr>
            <w:tcW w:type="dxa" w:w="1041"/>
            <w:shd w:val="clear" w:color="auto" w:fill="D9E2F3"/>
          </w:tcPr>
          <w:p>
            <w:pPr>
              <w:spacing w:after="20" w:before="20" w:line="240" w:lineRule="auto"/>
            </w:pPr>
            <w:r/>
            <w:r>
              <w:rPr>
                <w:b/>
                <w:sz w:val="16"/>
              </w:rPr>
              <w:t>Revenue in top 5%</w:t>
            </w:r>
          </w:p>
        </w:tc>
        <w:tc>
          <w:tcPr>
            <w:tcW w:type="dxa" w:w="1096"/>
            <w:shd w:val="clear" w:color="auto" w:fill="D9E2F3"/>
          </w:tcPr>
          <w:p>
            <w:pPr>
              <w:spacing w:after="20" w:before="20" w:line="240" w:lineRule="auto"/>
            </w:pPr>
            <w:r/>
            <w:r>
              <w:rPr>
                <w:b/>
                <w:sz w:val="16"/>
              </w:rPr>
              <w:t>Revenue per check (UGX M)</w:t>
            </w:r>
          </w:p>
        </w:tc>
        <w:tc>
          <w:tcPr>
            <w:tcW w:type="dxa" w:w="1096"/>
            <w:shd w:val="clear" w:color="auto" w:fill="D9E2F3"/>
          </w:tcPr>
          <w:p>
            <w:pPr>
              <w:spacing w:after="20" w:before="20" w:line="240" w:lineRule="auto"/>
            </w:pPr>
            <w:r/>
            <w:r>
              <w:rPr>
                <w:b/>
                <w:sz w:val="16"/>
              </w:rPr>
              <w:t>Small traders in top 5%</w:t>
            </w:r>
          </w:p>
        </w:tc>
        <w:tc>
          <w:tcPr>
            <w:tcW w:type="dxa" w:w="1424"/>
            <w:shd w:val="clear" w:color="auto" w:fill="D9E2F3"/>
          </w:tcPr>
          <w:p>
            <w:pPr>
              <w:spacing w:after="20" w:before="20" w:line="240" w:lineRule="auto"/>
            </w:pPr>
            <w:r/>
            <w:r>
              <w:rPr>
                <w:b/>
                <w:sz w:val="16"/>
              </w:rPr>
              <w:t>vs scorecard (top 5%)</w:t>
            </w:r>
          </w:p>
        </w:tc>
      </w:tr>
      <w:tr>
        <w:tc>
          <w:tcPr>
            <w:tcW w:type="dxa" w:w="2301"/>
          </w:tcPr>
          <w:p>
            <w:pPr>
              <w:spacing w:after="20" w:before="20" w:line="240" w:lineRule="auto"/>
            </w:pPr>
            <w:r/>
            <w:r>
              <w:rPr>
                <w:sz w:val="16"/>
              </w:rPr>
              <w:t>Scorecard (release 1)</w:t>
            </w:r>
          </w:p>
        </w:tc>
        <w:tc>
          <w:tcPr>
            <w:tcW w:type="dxa" w:w="1753"/>
          </w:tcPr>
          <w:p>
            <w:pPr>
              <w:spacing w:after="20" w:before="20" w:line="240" w:lineRule="auto"/>
            </w:pPr>
            <w:r/>
            <w:r>
              <w:rPr>
                <w:sz w:val="16"/>
              </w:rPr>
              <w:t>4.30 / 4.37 / 3.86</w:t>
            </w:r>
          </w:p>
        </w:tc>
        <w:tc>
          <w:tcPr>
            <w:tcW w:type="dxa" w:w="1041"/>
          </w:tcPr>
          <w:p>
            <w:pPr>
              <w:spacing w:after="20" w:before="20" w:line="240" w:lineRule="auto"/>
            </w:pPr>
            <w:r/>
            <w:r>
              <w:rPr>
                <w:sz w:val="16"/>
              </w:rPr>
              <w:t>5,522</w:t>
            </w:r>
          </w:p>
        </w:tc>
        <w:tc>
          <w:tcPr>
            <w:tcW w:type="dxa" w:w="1041"/>
          </w:tcPr>
          <w:p>
            <w:pPr>
              <w:spacing w:after="20" w:before="20" w:line="240" w:lineRule="auto"/>
            </w:pPr>
            <w:r/>
            <w:r>
              <w:rPr>
                <w:sz w:val="16"/>
              </w:rPr>
              <w:t>45%</w:t>
            </w:r>
          </w:p>
        </w:tc>
        <w:tc>
          <w:tcPr>
            <w:tcW w:type="dxa" w:w="1096"/>
          </w:tcPr>
          <w:p>
            <w:pPr>
              <w:spacing w:after="20" w:before="20" w:line="240" w:lineRule="auto"/>
            </w:pPr>
            <w:r/>
            <w:r>
              <w:rPr>
                <w:sz w:val="16"/>
              </w:rPr>
              <w:t>1.18</w:t>
            </w:r>
          </w:p>
        </w:tc>
        <w:tc>
          <w:tcPr>
            <w:tcW w:type="dxa" w:w="1096"/>
          </w:tcPr>
          <w:p>
            <w:pPr>
              <w:spacing w:after="20" w:before="20" w:line="240" w:lineRule="auto"/>
            </w:pPr>
            <w:r/>
            <w:r>
              <w:rPr>
                <w:sz w:val="16"/>
              </w:rPr>
              <w:t>53%</w:t>
            </w:r>
          </w:p>
        </w:tc>
        <w:tc>
          <w:tcPr>
            <w:tcW w:type="dxa" w:w="1424"/>
          </w:tcPr>
          <w:p>
            <w:pPr>
              <w:spacing w:after="20" w:before="20" w:line="240" w:lineRule="auto"/>
            </w:pPr>
            <w:r/>
          </w:p>
        </w:tc>
      </w:tr>
      <w:tr>
        <w:tc>
          <w:tcPr>
            <w:tcW w:type="dxa" w:w="2301"/>
          </w:tcPr>
          <w:p>
            <w:pPr>
              <w:spacing w:after="20" w:before="20" w:line="240" w:lineRule="auto"/>
            </w:pPr>
            <w:r/>
            <w:r>
              <w:rPr>
                <w:sz w:val="16"/>
              </w:rPr>
              <w:t>Baseline: past top-up ratio</w:t>
            </w:r>
          </w:p>
        </w:tc>
        <w:tc>
          <w:tcPr>
            <w:tcW w:type="dxa" w:w="1753"/>
          </w:tcPr>
          <w:p>
            <w:pPr>
              <w:spacing w:after="20" w:before="20" w:line="240" w:lineRule="auto"/>
            </w:pPr>
            <w:r/>
            <w:r>
              <w:rPr>
                <w:sz w:val="16"/>
              </w:rPr>
              <w:t>1.93 / 2.58 / 2.71</w:t>
            </w:r>
          </w:p>
        </w:tc>
        <w:tc>
          <w:tcPr>
            <w:tcW w:type="dxa" w:w="1041"/>
          </w:tcPr>
          <w:p>
            <w:pPr>
              <w:spacing w:after="20" w:before="20" w:line="240" w:lineRule="auto"/>
            </w:pPr>
            <w:r/>
            <w:r>
              <w:rPr>
                <w:sz w:val="16"/>
              </w:rPr>
              <w:t>807</w:t>
            </w:r>
          </w:p>
        </w:tc>
        <w:tc>
          <w:tcPr>
            <w:tcW w:type="dxa" w:w="1041"/>
          </w:tcPr>
          <w:p>
            <w:pPr>
              <w:spacing w:after="20" w:before="20" w:line="240" w:lineRule="auto"/>
            </w:pPr>
            <w:r/>
            <w:r>
              <w:rPr>
                <w:sz w:val="16"/>
              </w:rPr>
              <w:t>13%</w:t>
            </w:r>
          </w:p>
        </w:tc>
        <w:tc>
          <w:tcPr>
            <w:tcW w:type="dxa" w:w="1096"/>
          </w:tcPr>
          <w:p>
            <w:pPr>
              <w:spacing w:after="20" w:before="20" w:line="240" w:lineRule="auto"/>
            </w:pPr>
            <w:r/>
            <w:r>
              <w:rPr>
                <w:sz w:val="16"/>
              </w:rPr>
              <w:t>1.39</w:t>
            </w:r>
          </w:p>
        </w:tc>
        <w:tc>
          <w:tcPr>
            <w:tcW w:type="dxa" w:w="1096"/>
          </w:tcPr>
          <w:p>
            <w:pPr>
              <w:spacing w:after="20" w:before="20" w:line="240" w:lineRule="auto"/>
            </w:pPr>
            <w:r/>
            <w:r>
              <w:rPr>
                <w:sz w:val="16"/>
              </w:rPr>
              <w:t>94%</w:t>
            </w:r>
          </w:p>
        </w:tc>
        <w:tc>
          <w:tcPr>
            <w:tcW w:type="dxa" w:w="1424"/>
          </w:tcPr>
          <w:p>
            <w:pPr>
              <w:spacing w:after="20" w:before="20" w:line="240" w:lineRule="auto"/>
            </w:pPr>
            <w:r/>
            <w:r>
              <w:rPr>
                <w:sz w:val="16"/>
              </w:rPr>
              <w:t>0 better, 2 worse</w:t>
            </w:r>
          </w:p>
        </w:tc>
      </w:tr>
      <w:tr>
        <w:tc>
          <w:tcPr>
            <w:tcW w:type="dxa" w:w="2301"/>
          </w:tcPr>
          <w:p>
            <w:pPr>
              <w:spacing w:after="20" w:before="20" w:line="240" w:lineRule="auto"/>
            </w:pPr>
            <w:r/>
            <w:r>
              <w:rPr>
                <w:sz w:val="16"/>
              </w:rPr>
              <w:t>Largest importers by value (reference)</w:t>
            </w:r>
          </w:p>
        </w:tc>
        <w:tc>
          <w:tcPr>
            <w:tcW w:type="dxa" w:w="1753"/>
          </w:tcPr>
          <w:p>
            <w:pPr>
              <w:spacing w:after="20" w:before="20" w:line="240" w:lineRule="auto"/>
            </w:pPr>
            <w:r/>
            <w:r>
              <w:rPr>
                <w:sz w:val="16"/>
              </w:rPr>
              <w:t>0.39 / 0.52 / 0.71</w:t>
            </w:r>
          </w:p>
        </w:tc>
        <w:tc>
          <w:tcPr>
            <w:tcW w:type="dxa" w:w="1041"/>
          </w:tcPr>
          <w:p>
            <w:pPr>
              <w:spacing w:after="20" w:before="20" w:line="240" w:lineRule="auto"/>
            </w:pPr>
            <w:r/>
            <w:r>
              <w:rPr>
                <w:sz w:val="16"/>
              </w:rPr>
              <w:t>5,099</w:t>
            </w:r>
          </w:p>
        </w:tc>
        <w:tc>
          <w:tcPr>
            <w:tcW w:type="dxa" w:w="1041"/>
          </w:tcPr>
          <w:p>
            <w:pPr>
              <w:spacing w:after="20" w:before="20" w:line="240" w:lineRule="auto"/>
            </w:pPr>
            <w:r/>
            <w:r>
              <w:rPr>
                <w:sz w:val="16"/>
              </w:rPr>
              <w:t>53%</w:t>
            </w:r>
          </w:p>
        </w:tc>
        <w:tc>
          <w:tcPr>
            <w:tcW w:type="dxa" w:w="1096"/>
          </w:tcPr>
          <w:p>
            <w:pPr>
              <w:spacing w:after="20" w:before="20" w:line="240" w:lineRule="auto"/>
            </w:pPr>
            <w:r/>
            <w:r>
              <w:rPr>
                <w:sz w:val="16"/>
              </w:rPr>
              <w:t>0.17</w:t>
            </w:r>
          </w:p>
        </w:tc>
        <w:tc>
          <w:tcPr>
            <w:tcW w:type="dxa" w:w="1096"/>
          </w:tcPr>
          <w:p>
            <w:pPr>
              <w:spacing w:after="20" w:before="20" w:line="240" w:lineRule="auto"/>
            </w:pPr>
            <w:r/>
            <w:r>
              <w:rPr>
                <w:sz w:val="16"/>
              </w:rPr>
              <w:t>2%</w:t>
            </w:r>
          </w:p>
        </w:tc>
        <w:tc>
          <w:tcPr>
            <w:tcW w:type="dxa" w:w="1424"/>
          </w:tcPr>
          <w:p>
            <w:pPr>
              <w:spacing w:after="20" w:before="20" w:line="240" w:lineRule="auto"/>
            </w:pPr>
            <w:r/>
            <w:r>
              <w:rPr>
                <w:sz w:val="16"/>
              </w:rPr>
              <w:t>0 better, 4 worse</w:t>
            </w:r>
          </w:p>
        </w:tc>
      </w:tr>
      <w:tr>
        <w:tc>
          <w:tcPr>
            <w:tcW w:type="dxa" w:w="2301"/>
          </w:tcPr>
          <w:p>
            <w:pPr>
              <w:spacing w:after="20" w:before="20" w:line="240" w:lineRule="auto"/>
            </w:pPr>
            <w:r/>
            <w:r>
              <w:rPr>
                <w:sz w:val="16"/>
              </w:rPr>
              <w:t>Learned weights (logistic)</w:t>
            </w:r>
          </w:p>
        </w:tc>
        <w:tc>
          <w:tcPr>
            <w:tcW w:type="dxa" w:w="1753"/>
          </w:tcPr>
          <w:p>
            <w:pPr>
              <w:spacing w:after="20" w:before="20" w:line="240" w:lineRule="auto"/>
            </w:pPr>
            <w:r/>
            <w:r>
              <w:rPr>
                <w:sz w:val="16"/>
              </w:rPr>
              <w:t>4.11 / 5.00 / 4.49</w:t>
            </w:r>
          </w:p>
        </w:tc>
        <w:tc>
          <w:tcPr>
            <w:tcW w:type="dxa" w:w="1041"/>
          </w:tcPr>
          <w:p>
            <w:pPr>
              <w:spacing w:after="20" w:before="20" w:line="240" w:lineRule="auto"/>
            </w:pPr>
            <w:r/>
            <w:r>
              <w:rPr>
                <w:sz w:val="16"/>
              </w:rPr>
              <w:t>5,070</w:t>
            </w:r>
          </w:p>
        </w:tc>
        <w:tc>
          <w:tcPr>
            <w:tcW w:type="dxa" w:w="1041"/>
          </w:tcPr>
          <w:p>
            <w:pPr>
              <w:spacing w:after="20" w:before="20" w:line="240" w:lineRule="auto"/>
            </w:pPr>
            <w:r/>
            <w:r>
              <w:rPr>
                <w:sz w:val="16"/>
              </w:rPr>
              <w:t>38%</w:t>
            </w:r>
          </w:p>
        </w:tc>
        <w:tc>
          <w:tcPr>
            <w:tcW w:type="dxa" w:w="1096"/>
          </w:tcPr>
          <w:p>
            <w:pPr>
              <w:spacing w:after="20" w:before="20" w:line="240" w:lineRule="auto"/>
            </w:pPr>
            <w:r/>
            <w:r>
              <w:rPr>
                <w:sz w:val="16"/>
              </w:rPr>
              <w:t>1.27</w:t>
            </w:r>
          </w:p>
        </w:tc>
        <w:tc>
          <w:tcPr>
            <w:tcW w:type="dxa" w:w="1096"/>
          </w:tcPr>
          <w:p>
            <w:pPr>
              <w:spacing w:after="20" w:before="20" w:line="240" w:lineRule="auto"/>
            </w:pPr>
            <w:r/>
            <w:r>
              <w:rPr>
                <w:sz w:val="16"/>
              </w:rPr>
              <w:t>59%</w:t>
            </w:r>
          </w:p>
        </w:tc>
        <w:tc>
          <w:tcPr>
            <w:tcW w:type="dxa" w:w="1424"/>
          </w:tcPr>
          <w:p>
            <w:pPr>
              <w:spacing w:after="20" w:before="20" w:line="240" w:lineRule="auto"/>
            </w:pPr>
            <w:r/>
            <w:r>
              <w:rPr>
                <w:sz w:val="16"/>
              </w:rPr>
              <w:t>3 better, 0 worse</w:t>
            </w:r>
          </w:p>
        </w:tc>
      </w:tr>
      <w:tr>
        <w:tc>
          <w:tcPr>
            <w:tcW w:type="dxa" w:w="2301"/>
          </w:tcPr>
          <w:p>
            <w:pPr>
              <w:spacing w:after="20" w:before="20" w:line="240" w:lineRule="auto"/>
            </w:pPr>
            <w:r/>
            <w:r>
              <w:rPr>
                <w:sz w:val="16"/>
              </w:rPr>
              <w:t>Data-estimated shrinkage</w:t>
            </w:r>
          </w:p>
        </w:tc>
        <w:tc>
          <w:tcPr>
            <w:tcW w:type="dxa" w:w="1753"/>
          </w:tcPr>
          <w:p>
            <w:pPr>
              <w:spacing w:after="20" w:before="20" w:line="240" w:lineRule="auto"/>
            </w:pPr>
            <w:r/>
            <w:r>
              <w:rPr>
                <w:sz w:val="16"/>
              </w:rPr>
              <w:t>4.88 / 3.97 / 3.50</w:t>
            </w:r>
          </w:p>
        </w:tc>
        <w:tc>
          <w:tcPr>
            <w:tcW w:type="dxa" w:w="1041"/>
          </w:tcPr>
          <w:p>
            <w:pPr>
              <w:spacing w:after="20" w:before="20" w:line="240" w:lineRule="auto"/>
            </w:pPr>
            <w:r/>
            <w:r>
              <w:rPr>
                <w:sz w:val="16"/>
              </w:rPr>
              <w:t>2,238</w:t>
            </w:r>
          </w:p>
        </w:tc>
        <w:tc>
          <w:tcPr>
            <w:tcW w:type="dxa" w:w="1041"/>
          </w:tcPr>
          <w:p>
            <w:pPr>
              <w:spacing w:after="20" w:before="20" w:line="240" w:lineRule="auto"/>
            </w:pPr>
            <w:r/>
            <w:r>
              <w:rPr>
                <w:sz w:val="16"/>
              </w:rPr>
              <w:t>35%</w:t>
            </w:r>
          </w:p>
        </w:tc>
        <w:tc>
          <w:tcPr>
            <w:tcW w:type="dxa" w:w="1096"/>
          </w:tcPr>
          <w:p>
            <w:pPr>
              <w:spacing w:after="20" w:before="20" w:line="240" w:lineRule="auto"/>
            </w:pPr>
            <w:r/>
            <w:r>
              <w:rPr>
                <w:sz w:val="16"/>
              </w:rPr>
              <w:t>1.93</w:t>
            </w:r>
          </w:p>
        </w:tc>
        <w:tc>
          <w:tcPr>
            <w:tcW w:type="dxa" w:w="1096"/>
          </w:tcPr>
          <w:p>
            <w:pPr>
              <w:spacing w:after="20" w:before="20" w:line="240" w:lineRule="auto"/>
            </w:pPr>
            <w:r/>
            <w:r>
              <w:rPr>
                <w:sz w:val="16"/>
              </w:rPr>
              <w:t>78%</w:t>
            </w:r>
          </w:p>
        </w:tc>
        <w:tc>
          <w:tcPr>
            <w:tcW w:type="dxa" w:w="1424"/>
          </w:tcPr>
          <w:p>
            <w:pPr>
              <w:spacing w:after="20" w:before="20" w:line="240" w:lineRule="auto"/>
            </w:pPr>
            <w:r/>
            <w:r>
              <w:rPr>
                <w:sz w:val="16"/>
              </w:rPr>
              <w:t>0 better, 1 worse</w:t>
            </w:r>
          </w:p>
        </w:tc>
      </w:tr>
      <w:tr>
        <w:tc>
          <w:tcPr>
            <w:tcW w:type="dxa" w:w="2301"/>
          </w:tcPr>
          <w:p>
            <w:pPr>
              <w:spacing w:after="20" w:before="20" w:line="240" w:lineRule="auto"/>
            </w:pPr>
            <w:r/>
            <w:r>
              <w:rPr>
                <w:sz w:val="16"/>
              </w:rPr>
              <w:t>Monotone boosting (same 8 inputs)</w:t>
            </w:r>
          </w:p>
        </w:tc>
        <w:tc>
          <w:tcPr>
            <w:tcW w:type="dxa" w:w="1753"/>
          </w:tcPr>
          <w:p>
            <w:pPr>
              <w:spacing w:after="20" w:before="20" w:line="240" w:lineRule="auto"/>
            </w:pPr>
            <w:r/>
            <w:r>
              <w:rPr>
                <w:sz w:val="16"/>
              </w:rPr>
              <w:t>5.71 / 4.75 / 4.13</w:t>
            </w:r>
          </w:p>
        </w:tc>
        <w:tc>
          <w:tcPr>
            <w:tcW w:type="dxa" w:w="1041"/>
          </w:tcPr>
          <w:p>
            <w:pPr>
              <w:spacing w:after="20" w:before="20" w:line="240" w:lineRule="auto"/>
            </w:pPr>
            <w:r/>
            <w:r>
              <w:rPr>
                <w:sz w:val="16"/>
              </w:rPr>
              <w:t>5,809</w:t>
            </w:r>
          </w:p>
        </w:tc>
        <w:tc>
          <w:tcPr>
            <w:tcW w:type="dxa" w:w="1041"/>
          </w:tcPr>
          <w:p>
            <w:pPr>
              <w:spacing w:after="20" w:before="20" w:line="240" w:lineRule="auto"/>
            </w:pPr>
            <w:r/>
            <w:r>
              <w:rPr>
                <w:sz w:val="16"/>
              </w:rPr>
              <w:t>43%</w:t>
            </w:r>
          </w:p>
        </w:tc>
        <w:tc>
          <w:tcPr>
            <w:tcW w:type="dxa" w:w="1096"/>
          </w:tcPr>
          <w:p>
            <w:pPr>
              <w:spacing w:after="20" w:before="20" w:line="240" w:lineRule="auto"/>
            </w:pPr>
            <w:r/>
            <w:r>
              <w:rPr>
                <w:sz w:val="16"/>
              </w:rPr>
              <w:t>1.16</w:t>
            </w:r>
          </w:p>
        </w:tc>
        <w:tc>
          <w:tcPr>
            <w:tcW w:type="dxa" w:w="1096"/>
          </w:tcPr>
          <w:p>
            <w:pPr>
              <w:spacing w:after="20" w:before="20" w:line="240" w:lineRule="auto"/>
            </w:pPr>
            <w:r/>
            <w:r>
              <w:rPr>
                <w:sz w:val="16"/>
              </w:rPr>
              <w:t>53%</w:t>
            </w:r>
          </w:p>
        </w:tc>
        <w:tc>
          <w:tcPr>
            <w:tcW w:type="dxa" w:w="1424"/>
          </w:tcPr>
          <w:p>
            <w:pPr>
              <w:spacing w:after="20" w:before="20" w:line="240" w:lineRule="auto"/>
            </w:pPr>
            <w:r/>
            <w:r>
              <w:rPr>
                <w:sz w:val="16"/>
              </w:rPr>
              <w:t>3 better, 1 worse</w:t>
            </w:r>
          </w:p>
        </w:tc>
      </w:tr>
      <w:tr>
        <w:tc>
          <w:tcPr>
            <w:tcW w:type="dxa" w:w="2301"/>
          </w:tcPr>
          <w:p>
            <w:pPr>
              <w:spacing w:after="20" w:before="20" w:line="240" w:lineRule="auto"/>
            </w:pPr>
            <w:r/>
            <w:r>
              <w:rPr>
                <w:sz w:val="16"/>
              </w:rPr>
              <w:t>Monotone boosting with size</w:t>
            </w:r>
          </w:p>
        </w:tc>
        <w:tc>
          <w:tcPr>
            <w:tcW w:type="dxa" w:w="1753"/>
          </w:tcPr>
          <w:p>
            <w:pPr>
              <w:spacing w:after="20" w:before="20" w:line="240" w:lineRule="auto"/>
            </w:pPr>
            <w:r/>
            <w:r>
              <w:rPr>
                <w:sz w:val="16"/>
              </w:rPr>
              <w:t>7.33 / 6.30 / 5.85</w:t>
            </w:r>
          </w:p>
        </w:tc>
        <w:tc>
          <w:tcPr>
            <w:tcW w:type="dxa" w:w="1041"/>
          </w:tcPr>
          <w:p>
            <w:pPr>
              <w:spacing w:after="20" w:before="20" w:line="240" w:lineRule="auto"/>
            </w:pPr>
            <w:r/>
            <w:r>
              <w:rPr>
                <w:sz w:val="16"/>
              </w:rPr>
              <w:t>3,508</w:t>
            </w:r>
          </w:p>
        </w:tc>
        <w:tc>
          <w:tcPr>
            <w:tcW w:type="dxa" w:w="1041"/>
          </w:tcPr>
          <w:p>
            <w:pPr>
              <w:spacing w:after="20" w:before="20" w:line="240" w:lineRule="auto"/>
            </w:pPr>
            <w:r/>
            <w:r>
              <w:rPr>
                <w:sz w:val="16"/>
              </w:rPr>
              <w:t>19%</w:t>
            </w:r>
          </w:p>
        </w:tc>
        <w:tc>
          <w:tcPr>
            <w:tcW w:type="dxa" w:w="1096"/>
          </w:tcPr>
          <w:p>
            <w:pPr>
              <w:spacing w:after="20" w:before="20" w:line="240" w:lineRule="auto"/>
            </w:pPr>
            <w:r/>
            <w:r>
              <w:rPr>
                <w:sz w:val="16"/>
              </w:rPr>
              <w:t>1.41</w:t>
            </w:r>
          </w:p>
        </w:tc>
        <w:tc>
          <w:tcPr>
            <w:tcW w:type="dxa" w:w="1096"/>
          </w:tcPr>
          <w:p>
            <w:pPr>
              <w:spacing w:after="20" w:before="20" w:line="240" w:lineRule="auto"/>
            </w:pPr>
            <w:r/>
            <w:r>
              <w:rPr>
                <w:sz w:val="16"/>
              </w:rPr>
              <w:t>83%</w:t>
            </w:r>
          </w:p>
        </w:tc>
        <w:tc>
          <w:tcPr>
            <w:tcW w:type="dxa" w:w="1424"/>
          </w:tcPr>
          <w:p>
            <w:pPr>
              <w:spacing w:after="20" w:before="20" w:line="240" w:lineRule="auto"/>
            </w:pPr>
            <w:r/>
            <w:r>
              <w:rPr>
                <w:sz w:val="16"/>
              </w:rPr>
              <w:t>4 better, 0 worse</w:t>
            </w:r>
          </w:p>
        </w:tc>
      </w:tr>
      <w:tr>
        <w:tc>
          <w:tcPr>
            <w:tcW w:type="dxa" w:w="2301"/>
          </w:tcPr>
          <w:p>
            <w:pPr>
              <w:spacing w:after="20" w:before="20" w:line="240" w:lineRule="auto"/>
            </w:pPr>
            <w:r/>
            <w:r>
              <w:rPr>
                <w:sz w:val="16"/>
              </w:rPr>
              <w:t>Peer percentile (one-sided)</w:t>
            </w:r>
          </w:p>
        </w:tc>
        <w:tc>
          <w:tcPr>
            <w:tcW w:type="dxa" w:w="1753"/>
          </w:tcPr>
          <w:p>
            <w:pPr>
              <w:spacing w:after="20" w:before="20" w:line="240" w:lineRule="auto"/>
            </w:pPr>
            <w:r/>
            <w:r>
              <w:rPr>
                <w:sz w:val="16"/>
              </w:rPr>
              <w:t>3.65 / 3.48 / 2.62</w:t>
            </w:r>
          </w:p>
        </w:tc>
        <w:tc>
          <w:tcPr>
            <w:tcW w:type="dxa" w:w="1041"/>
          </w:tcPr>
          <w:p>
            <w:pPr>
              <w:spacing w:after="20" w:before="20" w:line="240" w:lineRule="auto"/>
            </w:pPr>
            <w:r/>
            <w:r>
              <w:rPr>
                <w:sz w:val="16"/>
              </w:rPr>
              <w:t>4,228</w:t>
            </w:r>
          </w:p>
        </w:tc>
        <w:tc>
          <w:tcPr>
            <w:tcW w:type="dxa" w:w="1041"/>
          </w:tcPr>
          <w:p>
            <w:pPr>
              <w:spacing w:after="20" w:before="20" w:line="240" w:lineRule="auto"/>
            </w:pPr>
            <w:r/>
            <w:r>
              <w:rPr>
                <w:sz w:val="16"/>
              </w:rPr>
              <w:t>45%</w:t>
            </w:r>
          </w:p>
        </w:tc>
        <w:tc>
          <w:tcPr>
            <w:tcW w:type="dxa" w:w="1096"/>
          </w:tcPr>
          <w:p>
            <w:pPr>
              <w:spacing w:after="20" w:before="20" w:line="240" w:lineRule="auto"/>
            </w:pPr>
            <w:r/>
            <w:r>
              <w:rPr>
                <w:sz w:val="16"/>
              </w:rPr>
              <w:t>1.16</w:t>
            </w:r>
          </w:p>
        </w:tc>
        <w:tc>
          <w:tcPr>
            <w:tcW w:type="dxa" w:w="1096"/>
          </w:tcPr>
          <w:p>
            <w:pPr>
              <w:spacing w:after="20" w:before="20" w:line="240" w:lineRule="auto"/>
            </w:pPr>
            <w:r/>
            <w:r>
              <w:rPr>
                <w:sz w:val="16"/>
              </w:rPr>
              <w:t>53%</w:t>
            </w:r>
          </w:p>
        </w:tc>
        <w:tc>
          <w:tcPr>
            <w:tcW w:type="dxa" w:w="1424"/>
          </w:tcPr>
          <w:p>
            <w:pPr>
              <w:spacing w:after="20" w:before="20" w:line="240" w:lineRule="auto"/>
            </w:pPr>
            <w:r/>
            <w:r>
              <w:rPr>
                <w:sz w:val="16"/>
              </w:rPr>
              <w:t>0 better, 4 worse</w:t>
            </w:r>
          </w:p>
        </w:tc>
      </w:tr>
      <w:tr>
        <w:tc>
          <w:tcPr>
            <w:tcW w:type="dxa" w:w="2301"/>
          </w:tcPr>
          <w:p>
            <w:pPr>
              <w:spacing w:after="20" w:before="20" w:line="240" w:lineRule="auto"/>
            </w:pPr>
            <w:r/>
            <w:r>
              <w:rPr>
                <w:sz w:val="16"/>
              </w:rPr>
              <w:t>Ensemble: Isolation Forest + PCA</w:t>
            </w:r>
          </w:p>
        </w:tc>
        <w:tc>
          <w:tcPr>
            <w:tcW w:type="dxa" w:w="1753"/>
          </w:tcPr>
          <w:p>
            <w:pPr>
              <w:spacing w:after="20" w:before="20" w:line="240" w:lineRule="auto"/>
            </w:pPr>
            <w:r/>
            <w:r>
              <w:rPr>
                <w:sz w:val="16"/>
              </w:rPr>
              <w:t>3.49 / 2.13 / 1.26</w:t>
            </w:r>
          </w:p>
        </w:tc>
        <w:tc>
          <w:tcPr>
            <w:tcW w:type="dxa" w:w="1041"/>
          </w:tcPr>
          <w:p>
            <w:pPr>
              <w:spacing w:after="20" w:before="20" w:line="240" w:lineRule="auto"/>
            </w:pPr>
            <w:r/>
            <w:r>
              <w:rPr>
                <w:sz w:val="16"/>
              </w:rPr>
              <w:t>6,678</w:t>
            </w:r>
          </w:p>
        </w:tc>
        <w:tc>
          <w:tcPr>
            <w:tcW w:type="dxa" w:w="1041"/>
          </w:tcPr>
          <w:p>
            <w:pPr>
              <w:spacing w:after="20" w:before="20" w:line="240" w:lineRule="auto"/>
            </w:pPr>
            <w:r/>
            <w:r>
              <w:rPr>
                <w:sz w:val="16"/>
              </w:rPr>
              <w:t>50%</w:t>
            </w:r>
          </w:p>
        </w:tc>
        <w:tc>
          <w:tcPr>
            <w:tcW w:type="dxa" w:w="1096"/>
          </w:tcPr>
          <w:p>
            <w:pPr>
              <w:spacing w:after="20" w:before="20" w:line="240" w:lineRule="auto"/>
            </w:pPr>
            <w:r/>
            <w:r>
              <w:rPr>
                <w:sz w:val="16"/>
              </w:rPr>
              <w:t>0.51</w:t>
            </w:r>
          </w:p>
        </w:tc>
        <w:tc>
          <w:tcPr>
            <w:tcW w:type="dxa" w:w="1096"/>
          </w:tcPr>
          <w:p>
            <w:pPr>
              <w:spacing w:after="20" w:before="20" w:line="240" w:lineRule="auto"/>
            </w:pPr>
            <w:r/>
            <w:r>
              <w:rPr>
                <w:sz w:val="16"/>
              </w:rPr>
              <w:t>42%</w:t>
            </w:r>
          </w:p>
        </w:tc>
        <w:tc>
          <w:tcPr>
            <w:tcW w:type="dxa" w:w="1424"/>
          </w:tcPr>
          <w:p>
            <w:pPr>
              <w:spacing w:after="20" w:before="20" w:line="240" w:lineRule="auto"/>
            </w:pPr>
            <w:r/>
            <w:r>
              <w:rPr>
                <w:sz w:val="16"/>
              </w:rPr>
              <w:t>0 better, 4 worse</w:t>
            </w:r>
          </w:p>
        </w:tc>
      </w:tr>
      <w:tr>
        <w:tc>
          <w:tcPr>
            <w:tcW w:type="dxa" w:w="2301"/>
          </w:tcPr>
          <w:p>
            <w:pPr>
              <w:spacing w:after="20" w:before="20" w:line="240" w:lineRule="auto"/>
            </w:pPr>
            <w:r/>
            <w:r>
              <w:rPr>
                <w:sz w:val="16"/>
              </w:rPr>
              <w:t>K-Means distance</w:t>
            </w:r>
          </w:p>
        </w:tc>
        <w:tc>
          <w:tcPr>
            <w:tcW w:type="dxa" w:w="1753"/>
          </w:tcPr>
          <w:p>
            <w:pPr>
              <w:spacing w:after="20" w:before="20" w:line="240" w:lineRule="auto"/>
            </w:pPr>
            <w:r/>
            <w:r>
              <w:rPr>
                <w:sz w:val="16"/>
              </w:rPr>
              <w:t>3.41 / 2.49 / 1.46</w:t>
            </w:r>
          </w:p>
        </w:tc>
        <w:tc>
          <w:tcPr>
            <w:tcW w:type="dxa" w:w="1041"/>
          </w:tcPr>
          <w:p>
            <w:pPr>
              <w:spacing w:after="20" w:before="20" w:line="240" w:lineRule="auto"/>
            </w:pPr>
            <w:r/>
            <w:r>
              <w:rPr>
                <w:sz w:val="16"/>
              </w:rPr>
              <w:t>6,424</w:t>
            </w:r>
          </w:p>
        </w:tc>
        <w:tc>
          <w:tcPr>
            <w:tcW w:type="dxa" w:w="1041"/>
          </w:tcPr>
          <w:p>
            <w:pPr>
              <w:spacing w:after="20" w:before="20" w:line="240" w:lineRule="auto"/>
            </w:pPr>
            <w:r/>
            <w:r>
              <w:rPr>
                <w:sz w:val="16"/>
              </w:rPr>
              <w:t>45%</w:t>
            </w:r>
          </w:p>
        </w:tc>
        <w:tc>
          <w:tcPr>
            <w:tcW w:type="dxa" w:w="1096"/>
          </w:tcPr>
          <w:p>
            <w:pPr>
              <w:spacing w:after="20" w:before="20" w:line="240" w:lineRule="auto"/>
            </w:pPr>
            <w:r/>
            <w:r>
              <w:rPr>
                <w:sz w:val="16"/>
              </w:rPr>
              <w:t>0.59</w:t>
            </w:r>
          </w:p>
        </w:tc>
        <w:tc>
          <w:tcPr>
            <w:tcW w:type="dxa" w:w="1096"/>
          </w:tcPr>
          <w:p>
            <w:pPr>
              <w:spacing w:after="20" w:before="20" w:line="240" w:lineRule="auto"/>
            </w:pPr>
            <w:r/>
            <w:r>
              <w:rPr>
                <w:sz w:val="16"/>
              </w:rPr>
              <w:t>37%</w:t>
            </w:r>
          </w:p>
        </w:tc>
        <w:tc>
          <w:tcPr>
            <w:tcW w:type="dxa" w:w="1424"/>
          </w:tcPr>
          <w:p>
            <w:pPr>
              <w:spacing w:after="20" w:before="20" w:line="240" w:lineRule="auto"/>
            </w:pPr>
            <w:r/>
            <w:r>
              <w:rPr>
                <w:sz w:val="16"/>
              </w:rPr>
              <w:t>0 better, 4 worse</w:t>
            </w:r>
          </w:p>
        </w:tc>
      </w:tr>
      <w:tr>
        <w:tc>
          <w:tcPr>
            <w:tcW w:type="dxa" w:w="2301"/>
          </w:tcPr>
          <w:p>
            <w:pPr>
              <w:spacing w:after="20" w:before="20" w:line="240" w:lineRule="auto"/>
            </w:pPr>
            <w:r/>
            <w:r>
              <w:rPr>
                <w:sz w:val="16"/>
              </w:rPr>
              <w:t>Gaussian mixture</w:t>
            </w:r>
          </w:p>
        </w:tc>
        <w:tc>
          <w:tcPr>
            <w:tcW w:type="dxa" w:w="1753"/>
          </w:tcPr>
          <w:p>
            <w:pPr>
              <w:spacing w:after="20" w:before="20" w:line="240" w:lineRule="auto"/>
            </w:pPr>
            <w:r/>
            <w:r>
              <w:rPr>
                <w:sz w:val="16"/>
              </w:rPr>
              <w:t>3.38 / 1.20 / 1.15</w:t>
            </w:r>
          </w:p>
        </w:tc>
        <w:tc>
          <w:tcPr>
            <w:tcW w:type="dxa" w:w="1041"/>
          </w:tcPr>
          <w:p>
            <w:pPr>
              <w:spacing w:after="20" w:before="20" w:line="240" w:lineRule="auto"/>
            </w:pPr>
            <w:r/>
            <w:r>
              <w:rPr>
                <w:sz w:val="16"/>
              </w:rPr>
              <w:t>8,414</w:t>
            </w:r>
          </w:p>
        </w:tc>
        <w:tc>
          <w:tcPr>
            <w:tcW w:type="dxa" w:w="1041"/>
          </w:tcPr>
          <w:p>
            <w:pPr>
              <w:spacing w:after="20" w:before="20" w:line="240" w:lineRule="auto"/>
            </w:pPr>
            <w:r/>
            <w:r>
              <w:rPr>
                <w:sz w:val="16"/>
              </w:rPr>
              <w:t>57%</w:t>
            </w:r>
          </w:p>
        </w:tc>
        <w:tc>
          <w:tcPr>
            <w:tcW w:type="dxa" w:w="1096"/>
          </w:tcPr>
          <w:p>
            <w:pPr>
              <w:spacing w:after="20" w:before="20" w:line="240" w:lineRule="auto"/>
            </w:pPr>
            <w:r/>
            <w:r>
              <w:rPr>
                <w:sz w:val="16"/>
              </w:rPr>
              <w:t>0.25</w:t>
            </w:r>
          </w:p>
        </w:tc>
        <w:tc>
          <w:tcPr>
            <w:tcW w:type="dxa" w:w="1096"/>
          </w:tcPr>
          <w:p>
            <w:pPr>
              <w:spacing w:after="20" w:before="20" w:line="240" w:lineRule="auto"/>
            </w:pPr>
            <w:r/>
            <w:r>
              <w:rPr>
                <w:sz w:val="16"/>
              </w:rPr>
              <w:t>28%</w:t>
            </w:r>
          </w:p>
        </w:tc>
        <w:tc>
          <w:tcPr>
            <w:tcW w:type="dxa" w:w="1424"/>
          </w:tcPr>
          <w:p>
            <w:pPr>
              <w:spacing w:after="20" w:before="20" w:line="240" w:lineRule="auto"/>
            </w:pPr>
            <w:r/>
            <w:r>
              <w:rPr>
                <w:sz w:val="16"/>
              </w:rPr>
              <w:t>0 better, 4 worse</w:t>
            </w:r>
          </w:p>
        </w:tc>
      </w:tr>
    </w:tbl>
    <w:p>
      <w:pPr>
        <w:spacing w:after="40"/>
      </w:pPr>
    </w:p>
    <w:p>
      <w:pPr>
        <w:spacing w:after="120"/>
      </w:pPr>
      <w:r>
        <w:rPr>
          <w:b/>
        </w:rPr>
        <w:t>How to read the revenue columns.</w:t>
      </w:r>
      <w:r>
        <w:t xml:space="preserve"> "Revenue in top 5%" adds up the top-up money customs actually raised on the declarations of the taxpayers a model ranks in its top 5%, over the 6 months after the snapshot, as a share of all top-up money raised in that period. It is not money the model creates. Because top-up money grows with how much a taxpayer imports and how often they are checked, this share rises whenever a model puts big importers at the top. The reference row shows it: ranking on customs value alone, with no risk information, reaches 53% of top-up revenue with a lift of 0.52 (half the average hit rate). Revenue per check (top-up money divided by the checks it took) removes the size effect; on that measure the scorecard yields UGX 1.18 million per check, the Gaussian mixture UGX 0.25 million. Revenue per check on very few checks is noisy (the data-estimated shrinkage figure rests on about 7,600 checks), so it is read with hits caught.</w:t>
      </w:r>
    </w:p>
    <w:p>
      <w:pPr>
        <w:keepNext/>
        <w:jc w:val="center"/>
      </w:pPr>
      <w:r>
        <w:drawing>
          <wp:inline xmlns:a="http://schemas.openxmlformats.org/drawingml/2006/main" xmlns:pic="http://schemas.openxmlformats.org/drawingml/2006/picture">
            <wp:extent cx="5940000" cy="2412099"/>
            <wp:docPr id="12" name="Picture 12"/>
            <wp:cNvGraphicFramePr>
              <a:graphicFrameLocks noChangeAspect="1"/>
            </wp:cNvGraphicFramePr>
            <a:graphic>
              <a:graphicData uri="http://schemas.openxmlformats.org/drawingml/2006/picture">
                <pic:pic>
                  <pic:nvPicPr>
                    <pic:cNvPr id="0" name="chart_34.png"/>
                    <pic:cNvPicPr/>
                  </pic:nvPicPr>
                  <pic:blipFill>
                    <a:blip r:embed="rId37"/>
                    <a:stretch>
                      <a:fillRect/>
                    </a:stretch>
                  </pic:blipFill>
                  <pic:spPr>
                    <a:xfrm>
                      <a:off x="0" y="0"/>
                      <a:ext cx="5940000" cy="2412099"/>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11</w:t>
      </w:r>
      <w:r>
        <w:fldChar w:fldCharType="end"/>
      </w:r>
      <w:r>
        <w:t>: Challengers and blends against the scorecard: lift, hits and revenue in the top 5%</w:t>
      </w:r>
    </w:p>
    <w:p>
      <w:pPr>
        <w:pStyle w:val="Heading2"/>
      </w:pPr>
      <w:r>
        <w:t>6.3 Decisions from the Comparison</w:t>
      </w:r>
    </w:p>
    <w:p>
      <w:pPr>
        <w:pStyle w:val="Caption"/>
      </w:pPr>
      <w:r>
        <w:t xml:space="preserve">Table </w:t>
      </w:r>
      <w:r>
        <w:fldChar w:fldCharType="begin"/>
      </w:r>
      <w:r>
        <w:instrText xml:space="preserve"> SEQ Table \* ARABIC </w:instrText>
      </w:r>
      <w:r>
        <w:fldChar w:fldCharType="separate"/>
      </w:r>
      <w:r>
        <w:t>22</w:t>
      </w:r>
      <w:r>
        <w:fldChar w:fldCharType="end"/>
      </w:r>
      <w:r>
        <w:t>: Decisions from Challenger Round 1</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688"/>
            <w:shd w:val="clear" w:color="auto" w:fill="D9E2F3"/>
          </w:tcPr>
          <w:p>
            <w:pPr>
              <w:spacing w:after="20" w:before="20" w:line="240" w:lineRule="auto"/>
            </w:pPr>
            <w:r/>
            <w:r>
              <w:rPr>
                <w:b/>
                <w:sz w:val="17"/>
              </w:rPr>
              <w:t>#</w:t>
            </w:r>
          </w:p>
        </w:tc>
        <w:tc>
          <w:tcPr>
            <w:tcW w:type="dxa" w:w="4187"/>
            <w:shd w:val="clear" w:color="auto" w:fill="D9E2F3"/>
          </w:tcPr>
          <w:p>
            <w:pPr>
              <w:spacing w:after="20" w:before="20" w:line="240" w:lineRule="auto"/>
            </w:pPr>
            <w:r/>
            <w:r>
              <w:rPr>
                <w:b/>
                <w:sz w:val="17"/>
              </w:rPr>
              <w:t>Decision</w:t>
            </w:r>
          </w:p>
        </w:tc>
        <w:tc>
          <w:tcPr>
            <w:tcW w:type="dxa" w:w="4876"/>
            <w:shd w:val="clear" w:color="auto" w:fill="D9E2F3"/>
          </w:tcPr>
          <w:p>
            <w:pPr>
              <w:spacing w:after="20" w:before="20" w:line="240" w:lineRule="auto"/>
            </w:pPr>
            <w:r/>
            <w:r>
              <w:rPr>
                <w:b/>
                <w:sz w:val="17"/>
              </w:rPr>
              <w:t>Reason</w:t>
            </w:r>
          </w:p>
        </w:tc>
      </w:tr>
      <w:tr>
        <w:tc>
          <w:tcPr>
            <w:tcW w:type="dxa" w:w="688"/>
          </w:tcPr>
          <w:p>
            <w:pPr>
              <w:spacing w:after="20" w:before="20" w:line="240" w:lineRule="auto"/>
            </w:pPr>
            <w:r/>
            <w:r>
              <w:rPr>
                <w:sz w:val="17"/>
              </w:rPr>
              <w:t>47</w:t>
            </w:r>
          </w:p>
        </w:tc>
        <w:tc>
          <w:tcPr>
            <w:tcW w:type="dxa" w:w="4187"/>
          </w:tcPr>
          <w:p>
            <w:pPr>
              <w:spacing w:after="20" w:before="20" w:line="240" w:lineRule="auto"/>
            </w:pPr>
            <w:r/>
            <w:r>
              <w:rPr>
                <w:sz w:val="17"/>
              </w:rPr>
              <w:t>The scorecard stays the release 1 model. Monotone boosting on the same 8 inputs and the learned-weight logistic scorecard go forward to round 2</w:t>
            </w:r>
          </w:p>
        </w:tc>
        <w:tc>
          <w:tcPr>
            <w:tcW w:type="dxa" w:w="4876"/>
          </w:tcPr>
          <w:p>
            <w:pPr>
              <w:spacing w:after="20" w:before="20" w:line="240" w:lineRule="auto"/>
            </w:pPr>
            <w:r/>
            <w:r>
              <w:rPr>
                <w:sz w:val="17"/>
              </w:rPr>
              <w:t>Boosting gains about 0.4 lift and 5% more hits at the top 5% with the same revenue and trader mix, but is worse in 1 of 4 tests and learns from selectivity-driven outcomes; the scorecard is explainable in officers' own thresholds</w:t>
            </w:r>
          </w:p>
        </w:tc>
      </w:tr>
      <w:tr>
        <w:tc>
          <w:tcPr>
            <w:tcW w:type="dxa" w:w="688"/>
          </w:tcPr>
          <w:p>
            <w:pPr>
              <w:spacing w:after="20" w:before="20" w:line="240" w:lineRule="auto"/>
            </w:pPr>
            <w:r/>
            <w:r>
              <w:rPr>
                <w:sz w:val="17"/>
              </w:rPr>
              <w:t>48</w:t>
            </w:r>
          </w:p>
        </w:tc>
        <w:tc>
          <w:tcPr>
            <w:tcW w:type="dxa" w:w="4187"/>
          </w:tcPr>
          <w:p>
            <w:pPr>
              <w:spacing w:after="20" w:before="20" w:line="240" w:lineRule="auto"/>
            </w:pPr>
            <w:r/>
            <w:r>
              <w:rPr>
                <w:sz w:val="17"/>
              </w:rPr>
              <w:t>Lift is always reported with hits caught, revenue caught and the small-trader share</w:t>
            </w:r>
          </w:p>
        </w:tc>
        <w:tc>
          <w:tcPr>
            <w:tcW w:type="dxa" w:w="4876"/>
          </w:tcPr>
          <w:p>
            <w:pPr>
              <w:spacing w:after="20" w:before="20" w:line="240" w:lineRule="auto"/>
            </w:pPr>
            <w:r/>
            <w:r>
              <w:rPr>
                <w:sz w:val="17"/>
              </w:rPr>
              <w:t>Boosting with size reaches lift 6.3 by filling the top 5% with one-off importers, catching fewer hits and 19% of revenue</w:t>
            </w:r>
          </w:p>
        </w:tc>
      </w:tr>
      <w:tr>
        <w:tc>
          <w:tcPr>
            <w:tcW w:type="dxa" w:w="688"/>
          </w:tcPr>
          <w:p>
            <w:pPr>
              <w:spacing w:after="20" w:before="20" w:line="240" w:lineRule="auto"/>
            </w:pPr>
            <w:r/>
            <w:r>
              <w:rPr>
                <w:sz w:val="17"/>
              </w:rPr>
              <w:t>49</w:t>
            </w:r>
          </w:p>
        </w:tc>
        <w:tc>
          <w:tcPr>
            <w:tcW w:type="dxa" w:w="4187"/>
          </w:tcPr>
          <w:p>
            <w:pPr>
              <w:spacing w:after="20" w:before="20" w:line="240" w:lineRule="auto"/>
            </w:pPr>
            <w:r/>
            <w:r>
              <w:rPr>
                <w:sz w:val="17"/>
              </w:rPr>
              <w:t>One-way weighting at K = 10 stays</w:t>
            </w:r>
          </w:p>
        </w:tc>
        <w:tc>
          <w:tcPr>
            <w:tcW w:type="dxa" w:w="4876"/>
          </w:tcPr>
          <w:p>
            <w:pPr>
              <w:spacing w:after="20" w:before="20" w:line="240" w:lineRule="auto"/>
            </w:pPr>
            <w:r/>
            <w:r>
              <w:rPr>
                <w:sz w:val="17"/>
              </w:rPr>
              <w:t>The data-estimated K (about 3) with two-way shrinkage pushed small traders up and caught 60% fewer hits</w:t>
            </w:r>
          </w:p>
        </w:tc>
      </w:tr>
      <w:tr>
        <w:tc>
          <w:tcPr>
            <w:tcW w:type="dxa" w:w="688"/>
          </w:tcPr>
          <w:p>
            <w:pPr>
              <w:spacing w:after="20" w:before="20" w:line="240" w:lineRule="auto"/>
            </w:pPr>
            <w:r/>
            <w:r>
              <w:rPr>
                <w:sz w:val="17"/>
              </w:rPr>
              <w:t>50</w:t>
            </w:r>
          </w:p>
        </w:tc>
        <w:tc>
          <w:tcPr>
            <w:tcW w:type="dxa" w:w="4187"/>
          </w:tcPr>
          <w:p>
            <w:pPr>
              <w:spacing w:after="20" w:before="20" w:line="240" w:lineRule="auto"/>
            </w:pPr>
            <w:r/>
            <w:r>
              <w:rPr>
                <w:sz w:val="17"/>
              </w:rPr>
              <w:t>The four Scope and Design candidates are not pursued as scorers</w:t>
            </w:r>
          </w:p>
        </w:tc>
        <w:tc>
          <w:tcPr>
            <w:tcW w:type="dxa" w:w="4876"/>
          </w:tcPr>
          <w:p>
            <w:pPr>
              <w:spacing w:after="20" w:before="20" w:line="240" w:lineRule="auto"/>
            </w:pPr>
            <w:r/>
            <w:r>
              <w:rPr>
                <w:sz w:val="17"/>
              </w:rPr>
              <w:t>All lose on lift in 4 of 4 tests even with one-sided features. Their higher revenue share is a size effect: their top 5% needs 2.5 to 5.5 times the checks for UGX 0.25 to 0.59 million per check, against 1.18 million for the scorecard (decision 56)</w:t>
            </w:r>
          </w:p>
        </w:tc>
      </w:tr>
      <w:tr>
        <w:tc>
          <w:tcPr>
            <w:tcW w:type="dxa" w:w="688"/>
          </w:tcPr>
          <w:p>
            <w:pPr>
              <w:spacing w:after="20" w:before="20" w:line="240" w:lineRule="auto"/>
            </w:pPr>
            <w:r/>
            <w:r>
              <w:rPr>
                <w:sz w:val="17"/>
              </w:rPr>
              <w:t>56</w:t>
            </w:r>
          </w:p>
        </w:tc>
        <w:tc>
          <w:tcPr>
            <w:tcW w:type="dxa" w:w="4187"/>
          </w:tcPr>
          <w:p>
            <w:pPr>
              <w:spacing w:after="20" w:before="20" w:line="240" w:lineRule="auto"/>
            </w:pPr>
            <w:r/>
            <w:r>
              <w:rPr>
                <w:sz w:val="17"/>
              </w:rPr>
              <w:t>Revenue share is only read together with revenue per check</w:t>
            </w:r>
          </w:p>
        </w:tc>
        <w:tc>
          <w:tcPr>
            <w:tcW w:type="dxa" w:w="4876"/>
          </w:tcPr>
          <w:p>
            <w:pPr>
              <w:spacing w:after="20" w:before="20" w:line="240" w:lineRule="auto"/>
            </w:pPr>
            <w:r/>
            <w:r>
              <w:rPr>
                <w:sz w:val="17"/>
              </w:rPr>
              <w:t>Largest importers by value (no risk information): 53% of revenue, lift 0.52, UGX 0.17 million per check. A high revenue share on its own shows size, not targeting</w:t>
            </w:r>
          </w:p>
        </w:tc>
      </w:tr>
      <w:tr>
        <w:tc>
          <w:tcPr>
            <w:tcW w:type="dxa" w:w="688"/>
          </w:tcPr>
          <w:p>
            <w:pPr>
              <w:spacing w:after="20" w:before="20" w:line="240" w:lineRule="auto"/>
            </w:pPr>
            <w:r/>
            <w:r>
              <w:rPr>
                <w:sz w:val="17"/>
              </w:rPr>
              <w:t>51</w:t>
            </w:r>
          </w:p>
        </w:tc>
        <w:tc>
          <w:tcPr>
            <w:tcW w:type="dxa" w:w="4187"/>
          </w:tcPr>
          <w:p>
            <w:pPr>
              <w:spacing w:after="20" w:before="20" w:line="240" w:lineRule="auto"/>
            </w:pPr>
            <w:r/>
            <w:r>
              <w:rPr>
                <w:sz w:val="17"/>
              </w:rPr>
              <w:t>Learned weights are taken to the ratings session as evidence</w:t>
            </w:r>
          </w:p>
        </w:tc>
        <w:tc>
          <w:tcPr>
            <w:tcW w:type="dxa" w:w="4876"/>
          </w:tcPr>
          <w:p>
            <w:pPr>
              <w:spacing w:after="20" w:before="20" w:line="240" w:lineRule="auto"/>
            </w:pPr>
            <w:r/>
            <w:r>
              <w:rPr>
                <w:sz w:val="17"/>
              </w:rPr>
              <w:t>Outcomes put about 76% of the weight on PAR_045T, 14% on PAR_066, 6% on PAR_077 and none on amendments once top-ups are known</w:t>
            </w:r>
          </w:p>
        </w:tc>
      </w:tr>
    </w:tbl>
    <w:p>
      <w:pPr>
        <w:spacing w:after="40"/>
      </w:pPr>
    </w:p>
    <w:p>
      <w:pPr>
        <w:keepNext/>
        <w:jc w:val="center"/>
      </w:pPr>
      <w:r>
        <w:drawing>
          <wp:inline xmlns:a="http://schemas.openxmlformats.org/drawingml/2006/main" xmlns:pic="http://schemas.openxmlformats.org/drawingml/2006/picture">
            <wp:extent cx="5940000" cy="2372364"/>
            <wp:docPr id="13" name="Picture 13"/>
            <wp:cNvGraphicFramePr>
              <a:graphicFrameLocks noChangeAspect="1"/>
            </wp:cNvGraphicFramePr>
            <a:graphic>
              <a:graphicData uri="http://schemas.openxmlformats.org/drawingml/2006/picture">
                <pic:pic>
                  <pic:nvPicPr>
                    <pic:cNvPr id="0" name="chart_36.png"/>
                    <pic:cNvPicPr/>
                  </pic:nvPicPr>
                  <pic:blipFill>
                    <a:blip r:embed="rId38"/>
                    <a:stretch>
                      <a:fillRect/>
                    </a:stretch>
                  </pic:blipFill>
                  <pic:spPr>
                    <a:xfrm>
                      <a:off x="0" y="0"/>
                      <a:ext cx="5940000" cy="2372364"/>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12</w:t>
      </w:r>
      <w:r>
        <w:fldChar w:fldCharType="end"/>
      </w:r>
      <w:r>
        <w:t>: Parameter weights: expert ratings against weights learned from outcomes</w:t>
      </w:r>
    </w:p>
    <w:p>
      <w:pPr>
        <w:pStyle w:val="Heading2"/>
      </w:pPr>
      <w:r>
        <w:t>6.4 Ensembles</w:t>
      </w:r>
    </w:p>
    <w:p>
      <w:pPr>
        <w:spacing w:after="120"/>
      </w:pPr>
      <w:r>
        <w:t>A blend gives each taxpayer the average of their rank positions in its member models, so a taxpayer stays at the top only if several models agree. The stacked blend learns how much each member counts from earlier test snapshots (three tests only). The same protocol applies.</w:t>
      </w:r>
    </w:p>
    <w:p>
      <w:pPr>
        <w:pStyle w:val="Caption"/>
      </w:pPr>
      <w:r>
        <w:t xml:space="preserve">Table </w:t>
      </w:r>
      <w:r>
        <w:fldChar w:fldCharType="begin"/>
      </w:r>
      <w:r>
        <w:instrText xml:space="preserve"> SEQ Table \* ARABIC </w:instrText>
      </w:r>
      <w:r>
        <w:fldChar w:fldCharType="separate"/>
      </w:r>
      <w:r>
        <w:t>23</w:t>
      </w:r>
      <w:r>
        <w:fldChar w:fldCharType="end"/>
      </w:r>
      <w:r>
        <w:t>: Blends Against the Scorecard (average of 4 test snapshots)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393"/>
        <w:gridCol w:w="1393"/>
        <w:gridCol w:w="1393"/>
        <w:gridCol w:w="1393"/>
        <w:gridCol w:w="1393"/>
        <w:gridCol w:w="1393"/>
        <w:gridCol w:w="1393"/>
      </w:tblGrid>
      <w:tr>
        <w:trPr>
          <w:tblHeader w:val="true"/>
        </w:trPr>
        <w:tc>
          <w:tcPr>
            <w:tcW w:type="dxa" w:w="2301"/>
            <w:shd w:val="clear" w:color="auto" w:fill="D9E2F3"/>
          </w:tcPr>
          <w:p>
            <w:pPr>
              <w:spacing w:after="20" w:before="20" w:line="240" w:lineRule="auto"/>
            </w:pPr>
            <w:r/>
            <w:r>
              <w:rPr>
                <w:b/>
                <w:sz w:val="16"/>
              </w:rPr>
              <w:t>Model</w:t>
            </w:r>
          </w:p>
        </w:tc>
        <w:tc>
          <w:tcPr>
            <w:tcW w:type="dxa" w:w="1753"/>
            <w:shd w:val="clear" w:color="auto" w:fill="D9E2F3"/>
          </w:tcPr>
          <w:p>
            <w:pPr>
              <w:spacing w:after="20" w:before="20" w:line="240" w:lineRule="auto"/>
            </w:pPr>
            <w:r/>
            <w:r>
              <w:rPr>
                <w:b/>
                <w:sz w:val="16"/>
              </w:rPr>
              <w:t>Lift 1% / 5% / 10%</w:t>
            </w:r>
          </w:p>
        </w:tc>
        <w:tc>
          <w:tcPr>
            <w:tcW w:type="dxa" w:w="1041"/>
            <w:shd w:val="clear" w:color="auto" w:fill="D9E2F3"/>
          </w:tcPr>
          <w:p>
            <w:pPr>
              <w:spacing w:after="20" w:before="20" w:line="240" w:lineRule="auto"/>
            </w:pPr>
            <w:r/>
            <w:r>
              <w:rPr>
                <w:b/>
                <w:sz w:val="16"/>
              </w:rPr>
              <w:t>Hits in top 5%</w:t>
            </w:r>
          </w:p>
        </w:tc>
        <w:tc>
          <w:tcPr>
            <w:tcW w:type="dxa" w:w="1041"/>
            <w:shd w:val="clear" w:color="auto" w:fill="D9E2F3"/>
          </w:tcPr>
          <w:p>
            <w:pPr>
              <w:spacing w:after="20" w:before="20" w:line="240" w:lineRule="auto"/>
            </w:pPr>
            <w:r/>
            <w:r>
              <w:rPr>
                <w:b/>
                <w:sz w:val="16"/>
              </w:rPr>
              <w:t>Revenue in top 5%</w:t>
            </w:r>
          </w:p>
        </w:tc>
        <w:tc>
          <w:tcPr>
            <w:tcW w:type="dxa" w:w="1096"/>
            <w:shd w:val="clear" w:color="auto" w:fill="D9E2F3"/>
          </w:tcPr>
          <w:p>
            <w:pPr>
              <w:spacing w:after="20" w:before="20" w:line="240" w:lineRule="auto"/>
            </w:pPr>
            <w:r/>
            <w:r>
              <w:rPr>
                <w:b/>
                <w:sz w:val="16"/>
              </w:rPr>
              <w:t>Revenue per check (UGX M)</w:t>
            </w:r>
          </w:p>
        </w:tc>
        <w:tc>
          <w:tcPr>
            <w:tcW w:type="dxa" w:w="1096"/>
            <w:shd w:val="clear" w:color="auto" w:fill="D9E2F3"/>
          </w:tcPr>
          <w:p>
            <w:pPr>
              <w:spacing w:after="20" w:before="20" w:line="240" w:lineRule="auto"/>
            </w:pPr>
            <w:r/>
            <w:r>
              <w:rPr>
                <w:b/>
                <w:sz w:val="16"/>
              </w:rPr>
              <w:t>Small traders in top 5%</w:t>
            </w:r>
          </w:p>
        </w:tc>
        <w:tc>
          <w:tcPr>
            <w:tcW w:type="dxa" w:w="1424"/>
            <w:shd w:val="clear" w:color="auto" w:fill="D9E2F3"/>
          </w:tcPr>
          <w:p>
            <w:pPr>
              <w:spacing w:after="20" w:before="20" w:line="240" w:lineRule="auto"/>
            </w:pPr>
            <w:r/>
            <w:r>
              <w:rPr>
                <w:b/>
                <w:sz w:val="16"/>
              </w:rPr>
              <w:t>vs scorecard (top 5%)</w:t>
            </w:r>
          </w:p>
        </w:tc>
      </w:tr>
      <w:tr>
        <w:tc>
          <w:tcPr>
            <w:tcW w:type="dxa" w:w="2301"/>
          </w:tcPr>
          <w:p>
            <w:pPr>
              <w:spacing w:after="20" w:before="20" w:line="240" w:lineRule="auto"/>
            </w:pPr>
            <w:r/>
            <w:r>
              <w:rPr>
                <w:sz w:val="16"/>
              </w:rPr>
              <w:t>Scorecard (release 1)</w:t>
            </w:r>
          </w:p>
        </w:tc>
        <w:tc>
          <w:tcPr>
            <w:tcW w:type="dxa" w:w="1753"/>
          </w:tcPr>
          <w:p>
            <w:pPr>
              <w:spacing w:after="20" w:before="20" w:line="240" w:lineRule="auto"/>
            </w:pPr>
            <w:r/>
            <w:r>
              <w:rPr>
                <w:sz w:val="16"/>
              </w:rPr>
              <w:t>4.30 / 4.37 / 3.86</w:t>
            </w:r>
          </w:p>
        </w:tc>
        <w:tc>
          <w:tcPr>
            <w:tcW w:type="dxa" w:w="1041"/>
          </w:tcPr>
          <w:p>
            <w:pPr>
              <w:spacing w:after="20" w:before="20" w:line="240" w:lineRule="auto"/>
            </w:pPr>
            <w:r/>
            <w:r>
              <w:rPr>
                <w:sz w:val="16"/>
              </w:rPr>
              <w:t>5,522</w:t>
            </w:r>
          </w:p>
        </w:tc>
        <w:tc>
          <w:tcPr>
            <w:tcW w:type="dxa" w:w="1041"/>
          </w:tcPr>
          <w:p>
            <w:pPr>
              <w:spacing w:after="20" w:before="20" w:line="240" w:lineRule="auto"/>
            </w:pPr>
            <w:r/>
            <w:r>
              <w:rPr>
                <w:sz w:val="16"/>
              </w:rPr>
              <w:t>45%</w:t>
            </w:r>
          </w:p>
        </w:tc>
        <w:tc>
          <w:tcPr>
            <w:tcW w:type="dxa" w:w="1096"/>
          </w:tcPr>
          <w:p>
            <w:pPr>
              <w:spacing w:after="20" w:before="20" w:line="240" w:lineRule="auto"/>
            </w:pPr>
            <w:r/>
            <w:r>
              <w:rPr>
                <w:sz w:val="16"/>
              </w:rPr>
              <w:t>1.18</w:t>
            </w:r>
          </w:p>
        </w:tc>
        <w:tc>
          <w:tcPr>
            <w:tcW w:type="dxa" w:w="1096"/>
          </w:tcPr>
          <w:p>
            <w:pPr>
              <w:spacing w:after="20" w:before="20" w:line="240" w:lineRule="auto"/>
            </w:pPr>
            <w:r/>
            <w:r>
              <w:rPr>
                <w:sz w:val="16"/>
              </w:rPr>
              <w:t>53%</w:t>
            </w:r>
          </w:p>
        </w:tc>
        <w:tc>
          <w:tcPr>
            <w:tcW w:type="dxa" w:w="1424"/>
          </w:tcPr>
          <w:p>
            <w:pPr>
              <w:spacing w:after="20" w:before="20" w:line="240" w:lineRule="auto"/>
            </w:pPr>
            <w:r/>
          </w:p>
        </w:tc>
      </w:tr>
      <w:tr>
        <w:tc>
          <w:tcPr>
            <w:tcW w:type="dxa" w:w="2301"/>
          </w:tcPr>
          <w:p>
            <w:pPr>
              <w:spacing w:after="20" w:before="20" w:line="240" w:lineRule="auto"/>
            </w:pPr>
            <w:r/>
            <w:r>
              <w:rPr>
                <w:sz w:val="16"/>
              </w:rPr>
              <w:t>Blend: all models</w:t>
            </w:r>
          </w:p>
        </w:tc>
        <w:tc>
          <w:tcPr>
            <w:tcW w:type="dxa" w:w="1753"/>
          </w:tcPr>
          <w:p>
            <w:pPr>
              <w:spacing w:after="20" w:before="20" w:line="240" w:lineRule="auto"/>
            </w:pPr>
            <w:r/>
            <w:r>
              <w:rPr>
                <w:sz w:val="16"/>
              </w:rPr>
              <w:t>4.53 / 4.57 / 3.94</w:t>
            </w:r>
          </w:p>
        </w:tc>
        <w:tc>
          <w:tcPr>
            <w:tcW w:type="dxa" w:w="1041"/>
          </w:tcPr>
          <w:p>
            <w:pPr>
              <w:spacing w:after="20" w:before="20" w:line="240" w:lineRule="auto"/>
            </w:pPr>
            <w:r/>
            <w:r>
              <w:rPr>
                <w:sz w:val="16"/>
              </w:rPr>
              <w:t>6,119</w:t>
            </w:r>
          </w:p>
        </w:tc>
        <w:tc>
          <w:tcPr>
            <w:tcW w:type="dxa" w:w="1041"/>
          </w:tcPr>
          <w:p>
            <w:pPr>
              <w:spacing w:after="20" w:before="20" w:line="240" w:lineRule="auto"/>
            </w:pPr>
            <w:r/>
            <w:r>
              <w:rPr>
                <w:sz w:val="16"/>
              </w:rPr>
              <w:t>46%</w:t>
            </w:r>
          </w:p>
        </w:tc>
        <w:tc>
          <w:tcPr>
            <w:tcW w:type="dxa" w:w="1096"/>
          </w:tcPr>
          <w:p>
            <w:pPr>
              <w:spacing w:after="20" w:before="20" w:line="240" w:lineRule="auto"/>
            </w:pPr>
            <w:r/>
            <w:r>
              <w:rPr>
                <w:sz w:val="16"/>
              </w:rPr>
              <w:t>1.11</w:t>
            </w:r>
          </w:p>
        </w:tc>
        <w:tc>
          <w:tcPr>
            <w:tcW w:type="dxa" w:w="1096"/>
          </w:tcPr>
          <w:p>
            <w:pPr>
              <w:spacing w:after="20" w:before="20" w:line="240" w:lineRule="auto"/>
            </w:pPr>
            <w:r/>
            <w:r>
              <w:rPr>
                <w:sz w:val="16"/>
              </w:rPr>
              <w:t>52%</w:t>
            </w:r>
          </w:p>
        </w:tc>
        <w:tc>
          <w:tcPr>
            <w:tcW w:type="dxa" w:w="1424"/>
          </w:tcPr>
          <w:p>
            <w:pPr>
              <w:spacing w:after="20" w:before="20" w:line="240" w:lineRule="auto"/>
            </w:pPr>
            <w:r/>
            <w:r>
              <w:rPr>
                <w:sz w:val="16"/>
              </w:rPr>
              <w:t>2 better, 0 worse</w:t>
            </w:r>
          </w:p>
        </w:tc>
      </w:tr>
      <w:tr>
        <w:tc>
          <w:tcPr>
            <w:tcW w:type="dxa" w:w="2301"/>
          </w:tcPr>
          <w:p>
            <w:pPr>
              <w:spacing w:after="20" w:before="20" w:line="240" w:lineRule="auto"/>
            </w:pPr>
            <w:r/>
            <w:r>
              <w:rPr>
                <w:sz w:val="16"/>
              </w:rPr>
              <w:t>Blend: scorecard + boosting + learned weights</w:t>
            </w:r>
          </w:p>
        </w:tc>
        <w:tc>
          <w:tcPr>
            <w:tcW w:type="dxa" w:w="1753"/>
          </w:tcPr>
          <w:p>
            <w:pPr>
              <w:spacing w:after="20" w:before="20" w:line="240" w:lineRule="auto"/>
            </w:pPr>
            <w:r/>
            <w:r>
              <w:rPr>
                <w:sz w:val="16"/>
              </w:rPr>
              <w:t>5.24 / 4.80 / 4.32</w:t>
            </w:r>
          </w:p>
        </w:tc>
        <w:tc>
          <w:tcPr>
            <w:tcW w:type="dxa" w:w="1041"/>
          </w:tcPr>
          <w:p>
            <w:pPr>
              <w:spacing w:after="20" w:before="20" w:line="240" w:lineRule="auto"/>
            </w:pPr>
            <w:r/>
            <w:r>
              <w:rPr>
                <w:sz w:val="16"/>
              </w:rPr>
              <w:t>5,393</w:t>
            </w:r>
          </w:p>
        </w:tc>
        <w:tc>
          <w:tcPr>
            <w:tcW w:type="dxa" w:w="1041"/>
          </w:tcPr>
          <w:p>
            <w:pPr>
              <w:spacing w:after="20" w:before="20" w:line="240" w:lineRule="auto"/>
            </w:pPr>
            <w:r/>
            <w:r>
              <w:rPr>
                <w:sz w:val="16"/>
              </w:rPr>
              <w:t>42%</w:t>
            </w:r>
          </w:p>
        </w:tc>
        <w:tc>
          <w:tcPr>
            <w:tcW w:type="dxa" w:w="1096"/>
          </w:tcPr>
          <w:p>
            <w:pPr>
              <w:spacing w:after="20" w:before="20" w:line="240" w:lineRule="auto"/>
            </w:pPr>
            <w:r/>
            <w:r>
              <w:rPr>
                <w:sz w:val="16"/>
              </w:rPr>
              <w:t>1.25</w:t>
            </w:r>
          </w:p>
        </w:tc>
        <w:tc>
          <w:tcPr>
            <w:tcW w:type="dxa" w:w="1096"/>
          </w:tcPr>
          <w:p>
            <w:pPr>
              <w:spacing w:after="20" w:before="20" w:line="240" w:lineRule="auto"/>
            </w:pPr>
            <w:r/>
            <w:r>
              <w:rPr>
                <w:sz w:val="16"/>
              </w:rPr>
              <w:t>55%</w:t>
            </w:r>
          </w:p>
        </w:tc>
        <w:tc>
          <w:tcPr>
            <w:tcW w:type="dxa" w:w="1424"/>
          </w:tcPr>
          <w:p>
            <w:pPr>
              <w:spacing w:after="20" w:before="20" w:line="240" w:lineRule="auto"/>
            </w:pPr>
            <w:r/>
            <w:r>
              <w:rPr>
                <w:sz w:val="16"/>
              </w:rPr>
              <w:t>3 better, 0 worse</w:t>
            </w:r>
          </w:p>
        </w:tc>
      </w:tr>
      <w:tr>
        <w:tc>
          <w:tcPr>
            <w:tcW w:type="dxa" w:w="2301"/>
          </w:tcPr>
          <w:p>
            <w:pPr>
              <w:spacing w:after="20" w:before="20" w:line="240" w:lineRule="auto"/>
            </w:pPr>
            <w:r/>
            <w:r>
              <w:rPr>
                <w:sz w:val="16"/>
              </w:rPr>
              <w:t>Blend: scorecard + Scope and Design candidates</w:t>
            </w:r>
          </w:p>
        </w:tc>
        <w:tc>
          <w:tcPr>
            <w:tcW w:type="dxa" w:w="1753"/>
          </w:tcPr>
          <w:p>
            <w:pPr>
              <w:spacing w:after="20" w:before="20" w:line="240" w:lineRule="auto"/>
            </w:pPr>
            <w:r/>
            <w:r>
              <w:rPr>
                <w:sz w:val="16"/>
              </w:rPr>
              <w:t>4.83 / 3.90 / 2.40</w:t>
            </w:r>
          </w:p>
        </w:tc>
        <w:tc>
          <w:tcPr>
            <w:tcW w:type="dxa" w:w="1041"/>
          </w:tcPr>
          <w:p>
            <w:pPr>
              <w:spacing w:after="20" w:before="20" w:line="240" w:lineRule="auto"/>
            </w:pPr>
            <w:r/>
            <w:r>
              <w:rPr>
                <w:sz w:val="16"/>
              </w:rPr>
              <w:t>6,680</w:t>
            </w:r>
          </w:p>
        </w:tc>
        <w:tc>
          <w:tcPr>
            <w:tcW w:type="dxa" w:w="1041"/>
          </w:tcPr>
          <w:p>
            <w:pPr>
              <w:spacing w:after="20" w:before="20" w:line="240" w:lineRule="auto"/>
            </w:pPr>
            <w:r/>
            <w:r>
              <w:rPr>
                <w:sz w:val="16"/>
              </w:rPr>
              <w:t>49%</w:t>
            </w:r>
          </w:p>
        </w:tc>
        <w:tc>
          <w:tcPr>
            <w:tcW w:type="dxa" w:w="1096"/>
          </w:tcPr>
          <w:p>
            <w:pPr>
              <w:spacing w:after="20" w:before="20" w:line="240" w:lineRule="auto"/>
            </w:pPr>
            <w:r/>
            <w:r>
              <w:rPr>
                <w:sz w:val="16"/>
              </w:rPr>
              <w:t>0.93</w:t>
            </w:r>
          </w:p>
        </w:tc>
        <w:tc>
          <w:tcPr>
            <w:tcW w:type="dxa" w:w="1096"/>
          </w:tcPr>
          <w:p>
            <w:pPr>
              <w:spacing w:after="20" w:before="20" w:line="240" w:lineRule="auto"/>
            </w:pPr>
            <w:r/>
            <w:r>
              <w:rPr>
                <w:sz w:val="16"/>
              </w:rPr>
              <w:t>43%</w:t>
            </w:r>
          </w:p>
        </w:tc>
        <w:tc>
          <w:tcPr>
            <w:tcW w:type="dxa" w:w="1424"/>
          </w:tcPr>
          <w:p>
            <w:pPr>
              <w:spacing w:after="20" w:before="20" w:line="240" w:lineRule="auto"/>
            </w:pPr>
            <w:r/>
            <w:r>
              <w:rPr>
                <w:sz w:val="16"/>
              </w:rPr>
              <w:t>0 better, 2 worse</w:t>
            </w:r>
          </w:p>
        </w:tc>
      </w:tr>
      <w:tr>
        <w:tc>
          <w:tcPr>
            <w:tcW w:type="dxa" w:w="2301"/>
          </w:tcPr>
          <w:p>
            <w:pPr>
              <w:spacing w:after="20" w:before="20" w:line="240" w:lineRule="auto"/>
            </w:pPr>
            <w:r/>
            <w:r>
              <w:rPr>
                <w:sz w:val="16"/>
              </w:rPr>
              <w:t>Blend: scorecard + Gaussian mixture</w:t>
            </w:r>
          </w:p>
        </w:tc>
        <w:tc>
          <w:tcPr>
            <w:tcW w:type="dxa" w:w="1753"/>
          </w:tcPr>
          <w:p>
            <w:pPr>
              <w:spacing w:after="20" w:before="20" w:line="240" w:lineRule="auto"/>
            </w:pPr>
            <w:r/>
            <w:r>
              <w:rPr>
                <w:sz w:val="16"/>
              </w:rPr>
              <w:t>5.30 / 3.92 / 3.14</w:t>
            </w:r>
          </w:p>
        </w:tc>
        <w:tc>
          <w:tcPr>
            <w:tcW w:type="dxa" w:w="1041"/>
          </w:tcPr>
          <w:p>
            <w:pPr>
              <w:spacing w:after="20" w:before="20" w:line="240" w:lineRule="auto"/>
            </w:pPr>
            <w:r/>
            <w:r>
              <w:rPr>
                <w:sz w:val="16"/>
              </w:rPr>
              <w:t>6,673</w:t>
            </w:r>
          </w:p>
        </w:tc>
        <w:tc>
          <w:tcPr>
            <w:tcW w:type="dxa" w:w="1041"/>
          </w:tcPr>
          <w:p>
            <w:pPr>
              <w:spacing w:after="20" w:before="20" w:line="240" w:lineRule="auto"/>
            </w:pPr>
            <w:r/>
            <w:r>
              <w:rPr>
                <w:sz w:val="16"/>
              </w:rPr>
              <w:t>49%</w:t>
            </w:r>
          </w:p>
        </w:tc>
        <w:tc>
          <w:tcPr>
            <w:tcW w:type="dxa" w:w="1096"/>
          </w:tcPr>
          <w:p>
            <w:pPr>
              <w:spacing w:after="20" w:before="20" w:line="240" w:lineRule="auto"/>
            </w:pPr>
            <w:r/>
            <w:r>
              <w:rPr>
                <w:sz w:val="16"/>
              </w:rPr>
              <w:t>0.95</w:t>
            </w:r>
          </w:p>
        </w:tc>
        <w:tc>
          <w:tcPr>
            <w:tcW w:type="dxa" w:w="1096"/>
          </w:tcPr>
          <w:p>
            <w:pPr>
              <w:spacing w:after="20" w:before="20" w:line="240" w:lineRule="auto"/>
            </w:pPr>
            <w:r/>
            <w:r>
              <w:rPr>
                <w:sz w:val="16"/>
              </w:rPr>
              <w:t>44%</w:t>
            </w:r>
          </w:p>
        </w:tc>
        <w:tc>
          <w:tcPr>
            <w:tcW w:type="dxa" w:w="1424"/>
          </w:tcPr>
          <w:p>
            <w:pPr>
              <w:spacing w:after="20" w:before="20" w:line="240" w:lineRule="auto"/>
            </w:pPr>
            <w:r/>
            <w:r>
              <w:rPr>
                <w:sz w:val="16"/>
              </w:rPr>
              <w:t>0 better, 2 worse</w:t>
            </w:r>
          </w:p>
        </w:tc>
      </w:tr>
      <w:tr>
        <w:tc>
          <w:tcPr>
            <w:tcW w:type="dxa" w:w="2301"/>
          </w:tcPr>
          <w:p>
            <w:pPr>
              <w:spacing w:after="20" w:before="20" w:line="240" w:lineRule="auto"/>
            </w:pPr>
            <w:r/>
            <w:r>
              <w:rPr>
                <w:sz w:val="16"/>
              </w:rPr>
              <w:t>Stacked blend (3 tests)</w:t>
            </w:r>
          </w:p>
        </w:tc>
        <w:tc>
          <w:tcPr>
            <w:tcW w:type="dxa" w:w="1753"/>
          </w:tcPr>
          <w:p>
            <w:pPr>
              <w:spacing w:after="20" w:before="20" w:line="240" w:lineRule="auto"/>
            </w:pPr>
            <w:r/>
            <w:r>
              <w:rPr>
                <w:sz w:val="16"/>
              </w:rPr>
              <w:t>2.17 / 3.95 / 3.92</w:t>
            </w:r>
          </w:p>
        </w:tc>
        <w:tc>
          <w:tcPr>
            <w:tcW w:type="dxa" w:w="1041"/>
          </w:tcPr>
          <w:p>
            <w:pPr>
              <w:spacing w:after="20" w:before="20" w:line="240" w:lineRule="auto"/>
            </w:pPr>
            <w:r/>
            <w:r>
              <w:rPr>
                <w:sz w:val="16"/>
              </w:rPr>
              <w:t>2,919</w:t>
            </w:r>
          </w:p>
        </w:tc>
        <w:tc>
          <w:tcPr>
            <w:tcW w:type="dxa" w:w="1041"/>
          </w:tcPr>
          <w:p>
            <w:pPr>
              <w:spacing w:after="20" w:before="20" w:line="240" w:lineRule="auto"/>
            </w:pPr>
            <w:r/>
            <w:r>
              <w:rPr>
                <w:sz w:val="16"/>
              </w:rPr>
              <w:t>21%</w:t>
            </w:r>
          </w:p>
        </w:tc>
        <w:tc>
          <w:tcPr>
            <w:tcW w:type="dxa" w:w="1096"/>
          </w:tcPr>
          <w:p>
            <w:pPr>
              <w:spacing w:after="20" w:before="20" w:line="240" w:lineRule="auto"/>
            </w:pPr>
            <w:r/>
            <w:r>
              <w:rPr>
                <w:sz w:val="16"/>
              </w:rPr>
              <w:t>1.05</w:t>
            </w:r>
          </w:p>
        </w:tc>
        <w:tc>
          <w:tcPr>
            <w:tcW w:type="dxa" w:w="1096"/>
          </w:tcPr>
          <w:p>
            <w:pPr>
              <w:spacing w:after="20" w:before="20" w:line="240" w:lineRule="auto"/>
            </w:pPr>
            <w:r/>
            <w:r>
              <w:rPr>
                <w:sz w:val="16"/>
              </w:rPr>
              <w:t>72%</w:t>
            </w:r>
          </w:p>
        </w:tc>
        <w:tc>
          <w:tcPr>
            <w:tcW w:type="dxa" w:w="1424"/>
          </w:tcPr>
          <w:p>
            <w:pPr>
              <w:spacing w:after="20" w:before="20" w:line="240" w:lineRule="auto"/>
            </w:pPr>
            <w:r/>
            <w:r>
              <w:rPr>
                <w:sz w:val="16"/>
              </w:rPr>
              <w:t>1 better, 1 worse</w:t>
            </w:r>
          </w:p>
        </w:tc>
      </w:tr>
    </w:tbl>
    <w:p>
      <w:pPr>
        <w:spacing w:after="40"/>
      </w:pPr>
    </w:p>
    <w:p>
      <w:pPr>
        <w:pStyle w:val="Caption"/>
      </w:pPr>
      <w:r>
        <w:t xml:space="preserve">Table </w:t>
      </w:r>
      <w:r>
        <w:fldChar w:fldCharType="begin"/>
      </w:r>
      <w:r>
        <w:instrText xml:space="preserve"> SEQ Table \* ARABIC </w:instrText>
      </w:r>
      <w:r>
        <w:fldChar w:fldCharType="separate"/>
      </w:r>
      <w:r>
        <w:t>24</w:t>
      </w:r>
      <w:r>
        <w:fldChar w:fldCharType="end"/>
      </w:r>
      <w:r>
        <w:t>: Decisions on Ensembles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688"/>
            <w:shd w:val="clear" w:color="auto" w:fill="D9E2F3"/>
          </w:tcPr>
          <w:p>
            <w:pPr>
              <w:spacing w:after="20" w:before="20" w:line="240" w:lineRule="auto"/>
            </w:pPr>
            <w:r/>
            <w:r>
              <w:rPr>
                <w:b/>
                <w:sz w:val="17"/>
              </w:rPr>
              <w:t>#</w:t>
            </w:r>
          </w:p>
        </w:tc>
        <w:tc>
          <w:tcPr>
            <w:tcW w:type="dxa" w:w="3900"/>
            <w:shd w:val="clear" w:color="auto" w:fill="D9E2F3"/>
          </w:tcPr>
          <w:p>
            <w:pPr>
              <w:spacing w:after="20" w:before="20" w:line="240" w:lineRule="auto"/>
            </w:pPr>
            <w:r/>
            <w:r>
              <w:rPr>
                <w:b/>
                <w:sz w:val="17"/>
              </w:rPr>
              <w:t>Decision</w:t>
            </w:r>
          </w:p>
        </w:tc>
        <w:tc>
          <w:tcPr>
            <w:tcW w:type="dxa" w:w="5162"/>
            <w:shd w:val="clear" w:color="auto" w:fill="D9E2F3"/>
          </w:tcPr>
          <w:p>
            <w:pPr>
              <w:spacing w:after="20" w:before="20" w:line="240" w:lineRule="auto"/>
            </w:pPr>
            <w:r/>
            <w:r>
              <w:rPr>
                <w:b/>
                <w:sz w:val="17"/>
              </w:rPr>
              <w:t>Reason</w:t>
            </w:r>
          </w:p>
        </w:tc>
      </w:tr>
      <w:tr>
        <w:tc>
          <w:tcPr>
            <w:tcW w:type="dxa" w:w="688"/>
          </w:tcPr>
          <w:p>
            <w:pPr>
              <w:spacing w:after="20" w:before="20" w:line="240" w:lineRule="auto"/>
            </w:pPr>
            <w:r/>
            <w:r>
              <w:rPr>
                <w:sz w:val="17"/>
              </w:rPr>
              <w:t>52</w:t>
            </w:r>
          </w:p>
        </w:tc>
        <w:tc>
          <w:tcPr>
            <w:tcW w:type="dxa" w:w="3900"/>
          </w:tcPr>
          <w:p>
            <w:pPr>
              <w:spacing w:after="20" w:before="20" w:line="240" w:lineRule="auto"/>
            </w:pPr>
            <w:r/>
            <w:r>
              <w:rPr>
                <w:sz w:val="17"/>
              </w:rPr>
              <w:t>The blend of all models is the leading round 2 challenger; not adopted for release 1</w:t>
            </w:r>
          </w:p>
        </w:tc>
        <w:tc>
          <w:tcPr>
            <w:tcW w:type="dxa" w:w="5162"/>
          </w:tcPr>
          <w:p>
            <w:pPr>
              <w:spacing w:after="20" w:before="20" w:line="240" w:lineRule="auto"/>
            </w:pPr>
            <w:r/>
            <w:r>
              <w:rPr>
                <w:sz w:val="17"/>
              </w:rPr>
              <w:t>It improves lift, hits and revenue share together (better in 2 of 4 tests, worse in none), with revenue per check about the same (UGX 1.11 against 1.18 million). Everyone in its top 5% has 15+ scorecard points (median 57) and 85% overlap the scorecard's top 5%, so the reasons still apply. Not adopted yet: significant in only half the tests, the rank would no longer follow the points officers see, and eight models would run in production. Next: shadow run and blind officer review</w:t>
            </w:r>
          </w:p>
        </w:tc>
      </w:tr>
      <w:tr>
        <w:tc>
          <w:tcPr>
            <w:tcW w:type="dxa" w:w="688"/>
          </w:tcPr>
          <w:p>
            <w:pPr>
              <w:spacing w:after="20" w:before="20" w:line="240" w:lineRule="auto"/>
            </w:pPr>
            <w:r/>
            <w:r>
              <w:rPr>
                <w:sz w:val="17"/>
              </w:rPr>
              <w:t>53</w:t>
            </w:r>
          </w:p>
        </w:tc>
        <w:tc>
          <w:tcPr>
            <w:tcW w:type="dxa" w:w="3900"/>
          </w:tcPr>
          <w:p>
            <w:pPr>
              <w:spacing w:after="20" w:before="20" w:line="240" w:lineRule="auto"/>
            </w:pPr>
            <w:r/>
            <w:r>
              <w:rPr>
                <w:sz w:val="17"/>
              </w:rPr>
              <w:t>Stacked blend rejected for now</w:t>
            </w:r>
          </w:p>
        </w:tc>
        <w:tc>
          <w:tcPr>
            <w:tcW w:type="dxa" w:w="5162"/>
          </w:tcPr>
          <w:p>
            <w:pPr>
              <w:spacing w:after="20" w:before="20" w:line="240" w:lineRule="auto"/>
            </w:pPr>
            <w:r/>
            <w:r>
              <w:rPr>
                <w:sz w:val="17"/>
              </w:rPr>
              <w:t>With three earlier windows to learn from, member weights swing between snapshots and lift at the top 1% falls to 2.2</w:t>
            </w:r>
          </w:p>
        </w:tc>
      </w:tr>
      <w:tr>
        <w:tc>
          <w:tcPr>
            <w:tcW w:type="dxa" w:w="688"/>
          </w:tcPr>
          <w:p>
            <w:pPr>
              <w:spacing w:after="20" w:before="20" w:line="240" w:lineRule="auto"/>
            </w:pPr>
            <w:r/>
            <w:r>
              <w:rPr>
                <w:sz w:val="17"/>
              </w:rPr>
              <w:t>54</w:t>
            </w:r>
          </w:p>
        </w:tc>
        <w:tc>
          <w:tcPr>
            <w:tcW w:type="dxa" w:w="3900"/>
          </w:tcPr>
          <w:p>
            <w:pPr>
              <w:spacing w:after="20" w:before="20" w:line="240" w:lineRule="auto"/>
            </w:pPr>
            <w:r/>
            <w:r>
              <w:rPr>
                <w:sz w:val="17"/>
              </w:rPr>
              <w:t>Blends with the Scope and Design candidates are not pursued</w:t>
            </w:r>
          </w:p>
        </w:tc>
        <w:tc>
          <w:tcPr>
            <w:tcW w:type="dxa" w:w="5162"/>
          </w:tcPr>
          <w:p>
            <w:pPr>
              <w:spacing w:after="20" w:before="20" w:line="240" w:lineRule="auto"/>
            </w:pPr>
            <w:r/>
            <w:r>
              <w:rPr>
                <w:sz w:val="17"/>
              </w:rPr>
              <w:t>More hits and revenue share come from more checks on bigger traders: lift falls at 5% and 10% and revenue per check falls to about UGX 0.94 million (decision 56)</w:t>
            </w:r>
          </w:p>
        </w:tc>
      </w:tr>
    </w:tbl>
    <w:p>
      <w:pPr>
        <w:spacing w:after="40"/>
      </w:pPr>
    </w:p>
    <w:p>
      <w:r>
        <w:br w:type="page"/>
      </w:r>
    </w:p>
    <w:p/>
    <w:p/>
    <w:p/>
    <w:p/>
    <w:p/>
    <w:p/>
    <w:p>
      <w:pPr>
        <w:pStyle w:val="Heading1"/>
      </w:pPr>
      <w:r>
        <w:t>PART 7: ROUND 2: TWO TRACKS, NINE YEARS OF EVIDENCE AND HOW PERFORMANCE IS MEASURED</w:t>
      </w:r>
    </w:p>
    <w:p>
      <w:pPr>
        <w:spacing w:after="120"/>
      </w:pPr>
      <w:r>
        <w:t>The decisions taken after release 1: a second view of risk for taxpayers with no record, the way the history since 2014 was obtained and checked, the measure performance is judged by, the evidence over nine years, the weighting of recent years, and how Track B is being proven.</w:t>
      </w:r>
    </w:p>
    <w:p>
      <w:r>
        <w:br w:type="page"/>
      </w:r>
    </w:p>
    <w:p>
      <w:pPr>
        <w:pStyle w:val="Heading2"/>
      </w:pPr>
      <w:r>
        <w:t>7.1 Two Tracks (decisions 69, 70, 74 to 81)</w:t>
      </w:r>
    </w:p>
    <w:p>
      <w:pPr>
        <w:spacing w:after="120"/>
      </w:pPr>
      <w:r>
        <w:t>The scope widened from identifying low-risk taxpayers to profiling every IM4 and IM7 taxpayer. Track A, the scorecard, scores the compliance record and cannot see risk that has not yet been found: 69% of taxpayers have no top-up history. Track B scores trading behaviour against similar importers, using nothing customs did to the taxpayer, for regular and small traders separately. The Overall Risk Band is the higher of the two tracks; a Risky Behaviour Flag raises a taxpayer to HIGH at most until the flags are proven. Flagged taxpayers carry entry-level evidence (entries priced below peers for the same line and origin), with fuel excluded and very low prices marked for a unit check.</w:t>
      </w:r>
    </w:p>
    <w:p>
      <w:pPr>
        <w:pStyle w:val="Heading2"/>
      </w:pPr>
      <w:r>
        <w:t>7.2 Data Since 2014: the Long Run (decisions 85, 87, 90, 91)</w:t>
      </w:r>
    </w:p>
    <w:p>
      <w:pPr>
        <w:spacing w:after="120"/>
      </w:pPr>
      <w:r>
        <w:t>Hue stops a query after about 30 minutes and a download at 100,000 rows. A one-pass query giving each taxpayer's additive counts per half-year was run as 12 one-year pieces (29,897 to 48,605 rows each). Checked against the six dates also pulled in full: the same taxpayers, and 99.5% to 100% of taxpayers matching on every measure, the small differences coming from top-ups recorded after the earlier pull. It cannot give the price benchmark or station spread, so it scores on six parameters (92% of the weight); on the six full dates this keeps 95% to 97% of the same top 5% and per-check AUC within 0.003.</w:t>
      </w:r>
    </w:p>
    <w:p>
      <w:pPr>
        <w:pStyle w:val="Heading2"/>
      </w:pPr>
      <w:r>
        <w:t>7.3 How Performance is Measured (decisions 83, 84, 88)</w:t>
      </w:r>
    </w:p>
    <w:p>
      <w:pPr>
        <w:pStyle w:val="Caption"/>
      </w:pPr>
      <w:r>
        <w:t xml:space="preserve">Table </w:t>
      </w:r>
      <w:r>
        <w:fldChar w:fldCharType="begin"/>
      </w:r>
      <w:r>
        <w:instrText xml:space="preserve"> SEQ Table \* ARABIC </w:instrText>
      </w:r>
      <w:r>
        <w:fldChar w:fldCharType="separate"/>
      </w:r>
      <w:r>
        <w:t>25</w:t>
      </w:r>
      <w:r>
        <w:fldChar w:fldCharType="end"/>
      </w:r>
      <w:r>
        <w:t>: Measures Adopted</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868"/>
            <w:shd w:val="clear" w:color="auto" w:fill="D9E2F3"/>
          </w:tcPr>
          <w:p>
            <w:pPr>
              <w:spacing w:after="20" w:before="20" w:line="240" w:lineRule="auto"/>
            </w:pPr>
            <w:r/>
            <w:r>
              <w:rPr>
                <w:b/>
                <w:sz w:val="18"/>
              </w:rPr>
              <w:t>Measure</w:t>
            </w:r>
          </w:p>
        </w:tc>
        <w:tc>
          <w:tcPr>
            <w:tcW w:type="dxa" w:w="2008"/>
            <w:shd w:val="clear" w:color="auto" w:fill="D9E2F3"/>
          </w:tcPr>
          <w:p>
            <w:pPr>
              <w:spacing w:after="20" w:before="20" w:line="240" w:lineRule="auto"/>
            </w:pPr>
            <w:r/>
            <w:r>
              <w:rPr>
                <w:b/>
                <w:sz w:val="18"/>
              </w:rPr>
              <w:t>Role</w:t>
            </w:r>
          </w:p>
        </w:tc>
        <w:tc>
          <w:tcPr>
            <w:tcW w:type="dxa" w:w="4876"/>
            <w:shd w:val="clear" w:color="auto" w:fill="D9E2F3"/>
          </w:tcPr>
          <w:p>
            <w:pPr>
              <w:spacing w:after="20" w:before="20" w:line="240" w:lineRule="auto"/>
            </w:pPr>
            <w:r/>
            <w:r>
              <w:rPr>
                <w:b/>
                <w:sz w:val="18"/>
              </w:rPr>
              <w:t>Reason</w:t>
            </w:r>
          </w:p>
        </w:tc>
      </w:tr>
      <w:tr>
        <w:tc>
          <w:tcPr>
            <w:tcW w:type="dxa" w:w="2868"/>
          </w:tcPr>
          <w:p>
            <w:pPr>
              <w:spacing w:after="20" w:before="20" w:line="240" w:lineRule="auto"/>
            </w:pPr>
            <w:r/>
            <w:r>
              <w:rPr>
                <w:sz w:val="18"/>
              </w:rPr>
              <w:t>AUC per check</w:t>
            </w:r>
          </w:p>
        </w:tc>
        <w:tc>
          <w:tcPr>
            <w:tcW w:type="dxa" w:w="2008"/>
          </w:tcPr>
          <w:p>
            <w:pPr>
              <w:spacing w:after="20" w:before="20" w:line="240" w:lineRule="auto"/>
            </w:pPr>
            <w:r/>
            <w:r>
              <w:rPr>
                <w:sz w:val="18"/>
              </w:rPr>
              <w:t>Main measure</w:t>
            </w:r>
          </w:p>
        </w:tc>
        <w:tc>
          <w:tcPr>
            <w:tcW w:type="dxa" w:w="4876"/>
          </w:tcPr>
          <w:p>
            <w:pPr>
              <w:spacing w:after="20" w:before="20" w:line="240" w:lineRule="auto"/>
            </w:pPr>
            <w:r/>
            <w:r>
              <w:rPr>
                <w:sz w:val="18"/>
              </w:rPr>
              <w:t>Each red or yellow check is one case; fair to big and small traders; matches how officers judge checks</w:t>
            </w:r>
          </w:p>
        </w:tc>
      </w:tr>
      <w:tr>
        <w:tc>
          <w:tcPr>
            <w:tcW w:type="dxa" w:w="2868"/>
          </w:tcPr>
          <w:p>
            <w:pPr>
              <w:spacing w:after="20" w:before="20" w:line="240" w:lineRule="auto"/>
            </w:pPr>
            <w:r/>
            <w:r>
              <w:rPr>
                <w:sz w:val="18"/>
              </w:rPr>
              <w:t>Share of top-up money above the line</w:t>
            </w:r>
          </w:p>
        </w:tc>
        <w:tc>
          <w:tcPr>
            <w:tcW w:type="dxa" w:w="2008"/>
          </w:tcPr>
          <w:p>
            <w:pPr>
              <w:spacing w:after="20" w:before="20" w:line="240" w:lineRule="auto"/>
            </w:pPr>
            <w:r/>
            <w:r>
              <w:rPr>
                <w:sz w:val="18"/>
              </w:rPr>
              <w:t>Beside it</w:t>
            </w:r>
          </w:p>
        </w:tc>
        <w:tc>
          <w:tcPr>
            <w:tcW w:type="dxa" w:w="4876"/>
          </w:tcPr>
          <w:p>
            <w:pPr>
              <w:spacing w:after="20" w:before="20" w:line="240" w:lineRule="auto"/>
            </w:pPr>
            <w:r/>
            <w:r>
              <w:rPr>
                <w:sz w:val="18"/>
              </w:rPr>
              <w:t>Matches "additional revenue" in the officers' own measures</w:t>
            </w:r>
          </w:p>
        </w:tc>
      </w:tr>
      <w:tr>
        <w:tc>
          <w:tcPr>
            <w:tcW w:type="dxa" w:w="2868"/>
          </w:tcPr>
          <w:p>
            <w:pPr>
              <w:spacing w:after="20" w:before="20" w:line="240" w:lineRule="auto"/>
            </w:pPr>
            <w:r/>
            <w:r>
              <w:rPr>
                <w:sz w:val="18"/>
              </w:rPr>
              <w:t>Precision and recall at HIGH and above (and other lines)</w:t>
            </w:r>
          </w:p>
        </w:tc>
        <w:tc>
          <w:tcPr>
            <w:tcW w:type="dxa" w:w="2008"/>
          </w:tcPr>
          <w:p>
            <w:pPr>
              <w:spacing w:after="20" w:before="20" w:line="240" w:lineRule="auto"/>
            </w:pPr>
            <w:r/>
            <w:r>
              <w:rPr>
                <w:sz w:val="18"/>
              </w:rPr>
              <w:t>Read at the line officers use</w:t>
            </w:r>
          </w:p>
        </w:tc>
        <w:tc>
          <w:tcPr>
            <w:tcW w:type="dxa" w:w="4876"/>
          </w:tcPr>
          <w:p>
            <w:pPr>
              <w:spacing w:after="20" w:before="20" w:line="240" w:lineRule="auto"/>
            </w:pPr>
            <w:r/>
            <w:r>
              <w:rPr>
                <w:sz w:val="18"/>
              </w:rPr>
              <w:t>Only meaningful once a line is drawn</w:t>
            </w:r>
          </w:p>
        </w:tc>
      </w:tr>
      <w:tr>
        <w:tc>
          <w:tcPr>
            <w:tcW w:type="dxa" w:w="2868"/>
          </w:tcPr>
          <w:p>
            <w:pPr>
              <w:spacing w:after="20" w:before="20" w:line="240" w:lineRule="auto"/>
            </w:pPr>
            <w:r/>
            <w:r>
              <w:rPr>
                <w:sz w:val="18"/>
              </w:rPr>
              <w:t>Per taxpayer, at least one top-up</w:t>
            </w:r>
          </w:p>
        </w:tc>
        <w:tc>
          <w:tcPr>
            <w:tcW w:type="dxa" w:w="2008"/>
          </w:tcPr>
          <w:p>
            <w:pPr>
              <w:spacing w:after="20" w:before="20" w:line="240" w:lineRule="auto"/>
            </w:pPr>
            <w:r/>
            <w:r>
              <w:rPr>
                <w:sz w:val="18"/>
              </w:rPr>
              <w:t>Dropped</w:t>
            </w:r>
          </w:p>
        </w:tc>
        <w:tc>
          <w:tcPr>
            <w:tcW w:type="dxa" w:w="4876"/>
          </w:tcPr>
          <w:p>
            <w:pPr>
              <w:spacing w:after="20" w:before="20" w:line="240" w:lineRule="auto"/>
            </w:pPr>
            <w:r/>
            <w:r>
              <w:rPr>
                <w:sz w:val="18"/>
              </w:rPr>
              <w:t>Rewards being checked often</w:t>
            </w:r>
          </w:p>
        </w:tc>
      </w:tr>
      <w:tr>
        <w:tc>
          <w:tcPr>
            <w:tcW w:type="dxa" w:w="2868"/>
          </w:tcPr>
          <w:p>
            <w:pPr>
              <w:spacing w:after="20" w:before="20" w:line="240" w:lineRule="auto"/>
            </w:pPr>
            <w:r/>
            <w:r>
              <w:rPr>
                <w:sz w:val="18"/>
              </w:rPr>
              <w:t>Accuracy</w:t>
            </w:r>
          </w:p>
        </w:tc>
        <w:tc>
          <w:tcPr>
            <w:tcW w:type="dxa" w:w="2008"/>
          </w:tcPr>
          <w:p>
            <w:pPr>
              <w:spacing w:after="20" w:before="20" w:line="240" w:lineRule="auto"/>
            </w:pPr>
            <w:r/>
            <w:r>
              <w:rPr>
                <w:sz w:val="18"/>
              </w:rPr>
              <w:t>Not used</w:t>
            </w:r>
          </w:p>
        </w:tc>
        <w:tc>
          <w:tcPr>
            <w:tcW w:type="dxa" w:w="4876"/>
          </w:tcPr>
          <w:p>
            <w:pPr>
              <w:spacing w:after="20" w:before="20" w:line="240" w:lineRule="auto"/>
            </w:pPr>
            <w:r/>
            <w:r>
              <w:rPr>
                <w:sz w:val="18"/>
              </w:rPr>
              <w:t>A model that says "nothing found" for everything is about 93% accurate</w:t>
            </w:r>
          </w:p>
        </w:tc>
      </w:tr>
    </w:tbl>
    <w:p>
      <w:pPr>
        <w:spacing w:after="40"/>
      </w:pPr>
    </w:p>
    <w:p>
      <w:pPr>
        <w:pStyle w:val="Heading2"/>
      </w:pPr>
      <w:r>
        <w:t>7.4 Nine Years of Validation (decision 91)</w:t>
      </w:r>
    </w:p>
    <w:p>
      <w:pPr>
        <w:spacing w:after="120"/>
      </w:pPr>
      <w:r>
        <w:t>Track A scored at 18 dates, September 2017 to March 2026, each judged on the six months after it. AUC per check ranged from 0.74 to 0.86 with the adopted settings, at or above 0.80 on most dates. The one clear dip (September 2024 to September 2025, low point 0.74) coincides with the hit rate of all checks falling from 11-13% to 7% after March 2024, and is recovering (0.80 in March 2026).</w:t>
      </w:r>
    </w:p>
    <w:p>
      <w:pPr>
        <w:keepNext/>
        <w:jc w:val="center"/>
      </w:pPr>
      <w:r>
        <w:drawing>
          <wp:inline xmlns:a="http://schemas.openxmlformats.org/drawingml/2006/main" xmlns:pic="http://schemas.openxmlformats.org/drawingml/2006/picture">
            <wp:extent cx="5940000" cy="4092000"/>
            <wp:docPr id="14" name="Picture 14"/>
            <wp:cNvGraphicFramePr>
              <a:graphicFrameLocks noChangeAspect="1"/>
            </wp:cNvGraphicFramePr>
            <a:graphic>
              <a:graphicData uri="http://schemas.openxmlformats.org/drawingml/2006/picture">
                <pic:pic>
                  <pic:nvPicPr>
                    <pic:cNvPr id="0" name="nine_years.png"/>
                    <pic:cNvPicPr/>
                  </pic:nvPicPr>
                  <pic:blipFill>
                    <a:blip r:embed="rId39"/>
                    <a:stretch>
                      <a:fillRect/>
                    </a:stretch>
                  </pic:blipFill>
                  <pic:spPr>
                    <a:xfrm>
                      <a:off x="0" y="0"/>
                      <a:ext cx="5940000" cy="409200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13</w:t>
      </w:r>
      <w:r>
        <w:fldChar w:fldCharType="end"/>
      </w:r>
      <w:r>
        <w:t>: AUC per check and the hit rate of all checks, Sep 2017 to Mar 2026</w:t>
      </w:r>
    </w:p>
    <w:p>
      <w:pPr>
        <w:pStyle w:val="Heading2"/>
      </w:pPr>
      <w:r>
        <w:t>7.5 Three Years of History, Recent Years Counting More (decisions 92 to 94)</w:t>
      </w:r>
    </w:p>
    <w:p>
      <w:pPr>
        <w:pStyle w:val="Caption"/>
      </w:pPr>
      <w:r>
        <w:t xml:space="preserve">Table </w:t>
      </w:r>
      <w:r>
        <w:fldChar w:fldCharType="begin"/>
      </w:r>
      <w:r>
        <w:instrText xml:space="preserve"> SEQ Table \* ARABIC </w:instrText>
      </w:r>
      <w:r>
        <w:fldChar w:fldCharType="separate"/>
      </w:r>
      <w:r>
        <w:t>26</w:t>
      </w:r>
      <w:r>
        <w:fldChar w:fldCharType="end"/>
      </w:r>
      <w:r>
        <w:t>: Weightings Tested</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3442"/>
            <w:shd w:val="clear" w:color="auto" w:fill="D9E2F3"/>
          </w:tcPr>
          <w:p>
            <w:pPr>
              <w:spacing w:after="20" w:before="20" w:line="240" w:lineRule="auto"/>
            </w:pPr>
            <w:r/>
            <w:r>
              <w:rPr>
                <w:b/>
                <w:sz w:val="18"/>
              </w:rPr>
              <w:t>Option</w:t>
            </w:r>
          </w:p>
        </w:tc>
        <w:tc>
          <w:tcPr>
            <w:tcW w:type="dxa" w:w="3442"/>
            <w:shd w:val="clear" w:color="auto" w:fill="D9E2F3"/>
          </w:tcPr>
          <w:p>
            <w:pPr>
              <w:spacing w:after="20" w:before="20" w:line="240" w:lineRule="auto"/>
            </w:pPr>
            <w:r/>
            <w:r>
              <w:rPr>
                <w:b/>
                <w:sz w:val="18"/>
              </w:rPr>
              <w:t>AUC per check</w:t>
            </w:r>
          </w:p>
        </w:tc>
        <w:tc>
          <w:tcPr>
            <w:tcW w:type="dxa" w:w="2868"/>
            <w:shd w:val="clear" w:color="auto" w:fill="D9E2F3"/>
          </w:tcPr>
          <w:p>
            <w:pPr>
              <w:spacing w:after="20" w:before="20" w:line="240" w:lineRule="auto"/>
            </w:pPr>
            <w:r/>
            <w:r>
              <w:rPr>
                <w:b/>
                <w:sz w:val="18"/>
              </w:rPr>
              <w:t>Better than the old rule on</w:t>
            </w:r>
          </w:p>
        </w:tc>
      </w:tr>
      <w:tr>
        <w:tc>
          <w:tcPr>
            <w:tcW w:type="dxa" w:w="3442"/>
          </w:tcPr>
          <w:p>
            <w:pPr>
              <w:spacing w:after="20" w:before="20" w:line="240" w:lineRule="auto"/>
            </w:pPr>
            <w:r/>
            <w:r>
              <w:rPr>
                <w:sz w:val="18"/>
              </w:rPr>
              <w:t>Old rule: last 2 years, equal</w:t>
            </w:r>
          </w:p>
        </w:tc>
        <w:tc>
          <w:tcPr>
            <w:tcW w:type="dxa" w:w="3442"/>
          </w:tcPr>
          <w:p>
            <w:pPr>
              <w:spacing w:after="20" w:before="20" w:line="240" w:lineRule="auto"/>
            </w:pPr>
            <w:r/>
            <w:r>
              <w:rPr>
                <w:sz w:val="18"/>
              </w:rPr>
              <w:t>0.813</w:t>
            </w:r>
          </w:p>
        </w:tc>
        <w:tc>
          <w:tcPr>
            <w:tcW w:type="dxa" w:w="2868"/>
          </w:tcPr>
          <w:p>
            <w:pPr>
              <w:spacing w:after="20" w:before="20" w:line="240" w:lineRule="auto"/>
            </w:pPr>
            <w:r/>
            <w:r>
              <w:rPr>
                <w:sz w:val="18"/>
              </w:rPr>
              <w:t>reference (18 dates)</w:t>
            </w:r>
          </w:p>
        </w:tc>
      </w:tr>
      <w:tr>
        <w:tc>
          <w:tcPr>
            <w:tcW w:type="dxa" w:w="3442"/>
          </w:tcPr>
          <w:p>
            <w:pPr>
              <w:spacing w:after="20" w:before="20" w:line="240" w:lineRule="auto"/>
            </w:pPr>
            <w:r/>
            <w:r>
              <w:rPr>
                <w:sz w:val="18"/>
              </w:rPr>
              <w:t>Last year only</w:t>
            </w:r>
          </w:p>
        </w:tc>
        <w:tc>
          <w:tcPr>
            <w:tcW w:type="dxa" w:w="3442"/>
          </w:tcPr>
          <w:p>
            <w:pPr>
              <w:spacing w:after="20" w:before="20" w:line="240" w:lineRule="auto"/>
            </w:pPr>
            <w:r/>
            <w:r>
              <w:rPr>
                <w:sz w:val="18"/>
              </w:rPr>
              <w:t>0.804</w:t>
            </w:r>
          </w:p>
        </w:tc>
        <w:tc>
          <w:tcPr>
            <w:tcW w:type="dxa" w:w="2868"/>
          </w:tcPr>
          <w:p>
            <w:pPr>
              <w:spacing w:after="20" w:before="20" w:line="240" w:lineRule="auto"/>
            </w:pPr>
            <w:r/>
            <w:r>
              <w:rPr>
                <w:sz w:val="18"/>
              </w:rPr>
              <w:t>worse on 16 of 18</w:t>
            </w:r>
          </w:p>
        </w:tc>
      </w:tr>
      <w:tr>
        <w:tc>
          <w:tcPr>
            <w:tcW w:type="dxa" w:w="3442"/>
          </w:tcPr>
          <w:p>
            <w:pPr>
              <w:spacing w:after="20" w:before="20" w:line="240" w:lineRule="auto"/>
            </w:pPr>
            <w:r/>
            <w:r>
              <w:rPr>
                <w:sz w:val="18"/>
              </w:rPr>
              <w:t>3 years: equal / gentle / halving / steep</w:t>
            </w:r>
          </w:p>
        </w:tc>
        <w:tc>
          <w:tcPr>
            <w:tcW w:type="dxa" w:w="3442"/>
          </w:tcPr>
          <w:p>
            <w:pPr>
              <w:spacing w:after="20" w:before="20" w:line="240" w:lineRule="auto"/>
            </w:pPr>
            <w:r/>
            <w:r>
              <w:rPr>
                <w:sz w:val="18"/>
              </w:rPr>
              <w:t>0.816 / 0.817 / 0.817 / 0.816</w:t>
            </w:r>
          </w:p>
        </w:tc>
        <w:tc>
          <w:tcPr>
            <w:tcW w:type="dxa" w:w="2868"/>
          </w:tcPr>
          <w:p>
            <w:pPr>
              <w:spacing w:after="20" w:before="20" w:line="240" w:lineRule="auto"/>
            </w:pPr>
            <w:r/>
            <w:r>
              <w:rPr>
                <w:sz w:val="18"/>
              </w:rPr>
              <w:t>14 / 16 / 18 / 14 of 18</w:t>
            </w:r>
          </w:p>
        </w:tc>
      </w:tr>
      <w:tr>
        <w:tc>
          <w:tcPr>
            <w:tcW w:type="dxa" w:w="3442"/>
          </w:tcPr>
          <w:p>
            <w:pPr>
              <w:spacing w:after="20" w:before="20" w:line="240" w:lineRule="auto"/>
            </w:pPr>
            <w:r/>
            <w:r>
              <w:rPr>
                <w:sz w:val="18"/>
              </w:rPr>
              <w:t>5 years: equal / halving / gentle (14 dates)</w:t>
            </w:r>
          </w:p>
        </w:tc>
        <w:tc>
          <w:tcPr>
            <w:tcW w:type="dxa" w:w="3442"/>
          </w:tcPr>
          <w:p>
            <w:pPr>
              <w:spacing w:after="20" w:before="20" w:line="240" w:lineRule="auto"/>
            </w:pPr>
            <w:r/>
            <w:r>
              <w:rPr>
                <w:sz w:val="18"/>
              </w:rPr>
              <w:t>0.821 / 0.821 / 0.822 (3 years halving: 0.820)</w:t>
            </w:r>
          </w:p>
        </w:tc>
        <w:tc>
          <w:tcPr>
            <w:tcW w:type="dxa" w:w="2868"/>
          </w:tcPr>
          <w:p>
            <w:pPr>
              <w:spacing w:after="20" w:before="20" w:line="240" w:lineRule="auto"/>
            </w:pPr>
            <w:r/>
            <w:r>
              <w:rPr>
                <w:sz w:val="18"/>
              </w:rPr>
              <w:t>13 / 14 / 14 of 14</w:t>
            </w:r>
          </w:p>
        </w:tc>
      </w:tr>
    </w:tbl>
    <w:p>
      <w:pPr>
        <w:spacing w:after="40"/>
      </w:pPr>
    </w:p>
    <w:p>
      <w:pPr>
        <w:spacing w:after="120"/>
      </w:pPr>
      <w:r>
        <w:t>Adopted: three years weighted 1, 0.5 and 0.25, the only option better on every date. Five years adds nothing measurable and needs heavier queries; equal or gentle weights let old top-ups count too much. Model version 1.0.0-dev5.</w:t>
      </w:r>
    </w:p>
    <w:p>
      <w:pPr>
        <w:pStyle w:val="Heading2"/>
      </w:pPr>
      <w:r>
        <w:t>7.6 Track B Evidence and the Blind Review (decisions 86, 89, 95)</w:t>
      </w:r>
    </w:p>
    <w:p>
      <w:pPr>
        <w:spacing w:after="120"/>
      </w:pPr>
      <w:r>
        <w:t>Against top-ups, within the taxpayers it is for, Track B ranks checks better than chance and better than Track A on every test date: AUC per check 0.62 for regular traders and 0.57 for small traders, against 0.55 and 0.52 for Track A. Top-ups cannot show undervaluation that was never found, so the decisive test is a blind review: 25 flagged and 25 comparison taxpayers, mixed under codes, judged by officers without knowing which is which.</w:t>
      </w:r>
    </w:p>
    <w:p>
      <w:r>
        <w:br w:type="page"/>
      </w:r>
    </w:p>
    <w:p/>
    <w:p/>
    <w:p/>
    <w:p/>
    <w:p/>
    <w:p/>
    <w:p>
      <w:pPr>
        <w:pStyle w:val="Heading1"/>
      </w:pPr>
      <w:r>
        <w:t>PART 8: OPEN QUESTIONS AND NEXT STEPS</w:t>
      </w:r>
    </w:p>
    <w:p>
      <w:pPr>
        <w:spacing w:after="120"/>
      </w:pPr>
      <w:r>
        <w:t>This part lists what remains to be decided, who must decide it, and the work planned for the next round.</w:t>
      </w:r>
    </w:p>
    <w:p>
      <w:r>
        <w:br w:type="page"/>
      </w:r>
    </w:p>
    <w:p>
      <w:pPr>
        <w:pStyle w:val="Heading2"/>
      </w:pPr>
      <w:r>
        <w:t>8.1 Open Questions</w:t>
      </w:r>
    </w:p>
    <w:p>
      <w:pPr>
        <w:pStyle w:val="Caption"/>
      </w:pPr>
      <w:r>
        <w:t xml:space="preserve">Table </w:t>
      </w:r>
      <w:r>
        <w:fldChar w:fldCharType="begin"/>
      </w:r>
      <w:r>
        <w:instrText xml:space="preserve"> SEQ Table \* ARABIC </w:instrText>
      </w:r>
      <w:r>
        <w:fldChar w:fldCharType="separate"/>
      </w:r>
      <w:r>
        <w:t>27</w:t>
      </w:r>
      <w:r>
        <w:fldChar w:fldCharType="end"/>
      </w:r>
      <w:r>
        <w:t>: Open Questions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860"/>
            <w:shd w:val="clear" w:color="auto" w:fill="D9E2F3"/>
          </w:tcPr>
          <w:p>
            <w:pPr>
              <w:spacing w:after="20" w:before="20" w:line="240" w:lineRule="auto"/>
            </w:pPr>
            <w:r/>
            <w:r>
              <w:rPr>
                <w:b/>
                <w:sz w:val="18"/>
              </w:rPr>
              <w:t>Ref</w:t>
            </w:r>
          </w:p>
        </w:tc>
        <w:tc>
          <w:tcPr>
            <w:tcW w:type="dxa" w:w="5736"/>
            <w:shd w:val="clear" w:color="auto" w:fill="D9E2F3"/>
          </w:tcPr>
          <w:p>
            <w:pPr>
              <w:spacing w:after="20" w:before="20" w:line="240" w:lineRule="auto"/>
            </w:pPr>
            <w:r/>
            <w:r>
              <w:rPr>
                <w:b/>
                <w:sz w:val="18"/>
              </w:rPr>
              <w:t>Question</w:t>
            </w:r>
          </w:p>
        </w:tc>
        <w:tc>
          <w:tcPr>
            <w:tcW w:type="dxa" w:w="3155"/>
            <w:shd w:val="clear" w:color="auto" w:fill="D9E2F3"/>
          </w:tcPr>
          <w:p>
            <w:pPr>
              <w:spacing w:after="20" w:before="20" w:line="240" w:lineRule="auto"/>
            </w:pPr>
            <w:r/>
            <w:r>
              <w:rPr>
                <w:b/>
                <w:sz w:val="18"/>
              </w:rPr>
              <w:t>Who decides</w:t>
            </w:r>
          </w:p>
        </w:tc>
      </w:tr>
      <w:tr>
        <w:tc>
          <w:tcPr>
            <w:tcW w:type="dxa" w:w="860"/>
          </w:tcPr>
          <w:p>
            <w:pPr>
              <w:spacing w:after="20" w:before="20" w:line="240" w:lineRule="auto"/>
            </w:pPr>
            <w:r/>
            <w:r>
              <w:rPr>
                <w:sz w:val="18"/>
              </w:rPr>
              <w:t>OQ-1</w:t>
            </w:r>
          </w:p>
        </w:tc>
        <w:tc>
          <w:tcPr>
            <w:tcW w:type="dxa" w:w="5736"/>
          </w:tcPr>
          <w:p>
            <w:pPr>
              <w:spacing w:after="20" w:before="20" w:line="240" w:lineRule="auto"/>
            </w:pPr>
            <w:r/>
            <w:r>
              <w:rPr>
                <w:sz w:val="18"/>
              </w:rPr>
              <w:t>Confirm that the list should maximise what each check finds (hit rate and revenue per check). Ranking big traders first reaches more total revenue only by spending many more checks, each finding less</w:t>
            </w:r>
          </w:p>
        </w:tc>
        <w:tc>
          <w:tcPr>
            <w:tcW w:type="dxa" w:w="3155"/>
          </w:tcPr>
          <w:p>
            <w:pPr>
              <w:spacing w:after="20" w:before="20" w:line="240" w:lineRule="auto"/>
            </w:pPr>
            <w:r/>
            <w:r>
              <w:rPr>
                <w:sz w:val="18"/>
              </w:rPr>
              <w:t>Customs Risk Management with Data Science</w:t>
            </w:r>
          </w:p>
        </w:tc>
      </w:tr>
      <w:tr>
        <w:tc>
          <w:tcPr>
            <w:tcW w:type="dxa" w:w="860"/>
          </w:tcPr>
          <w:p>
            <w:pPr>
              <w:spacing w:after="20" w:before="20" w:line="240" w:lineRule="auto"/>
            </w:pPr>
            <w:r/>
            <w:r>
              <w:rPr>
                <w:sz w:val="18"/>
              </w:rPr>
              <w:t>OQ-2</w:t>
            </w:r>
          </w:p>
        </w:tc>
        <w:tc>
          <w:tcPr>
            <w:tcW w:type="dxa" w:w="5736"/>
          </w:tcPr>
          <w:p>
            <w:pPr>
              <w:spacing w:after="20" w:before="20" w:line="240" w:lineRule="auto"/>
            </w:pPr>
            <w:r/>
            <w:r>
              <w:rPr>
                <w:sz w:val="18"/>
              </w:rPr>
              <w:t>Confirm the likelihood and impact ratings, using the learned weights (decision 51) as evidence</w:t>
            </w:r>
          </w:p>
        </w:tc>
        <w:tc>
          <w:tcPr>
            <w:tcW w:type="dxa" w:w="3155"/>
          </w:tcPr>
          <w:p>
            <w:pPr>
              <w:spacing w:after="20" w:before="20" w:line="240" w:lineRule="auto"/>
            </w:pPr>
            <w:r/>
            <w:r>
              <w:rPr>
                <w:sz w:val="18"/>
              </w:rPr>
              <w:t>Risk Officers (ratings session)</w:t>
            </w:r>
          </w:p>
        </w:tc>
      </w:tr>
      <w:tr>
        <w:tc>
          <w:tcPr>
            <w:tcW w:type="dxa" w:w="860"/>
          </w:tcPr>
          <w:p>
            <w:pPr>
              <w:spacing w:after="20" w:before="20" w:line="240" w:lineRule="auto"/>
            </w:pPr>
            <w:r/>
            <w:r>
              <w:rPr>
                <w:sz w:val="18"/>
              </w:rPr>
              <w:t>OQ-3</w:t>
            </w:r>
          </w:p>
        </w:tc>
        <w:tc>
          <w:tcPr>
            <w:tcW w:type="dxa" w:w="5736"/>
          </w:tcPr>
          <w:p>
            <w:pPr>
              <w:spacing w:after="20" w:before="20" w:line="240" w:lineRule="auto"/>
            </w:pPr>
            <w:r/>
            <w:r>
              <w:rPr>
                <w:sz w:val="18"/>
              </w:rPr>
              <w:t>PAR_045T maximum at 40% instead of 10%</w:t>
            </w:r>
          </w:p>
        </w:tc>
        <w:tc>
          <w:tcPr>
            <w:tcW w:type="dxa" w:w="3155"/>
          </w:tcPr>
          <w:p>
            <w:pPr>
              <w:spacing w:after="20" w:before="20" w:line="240" w:lineRule="auto"/>
            </w:pPr>
            <w:r/>
            <w:r>
              <w:rPr>
                <w:sz w:val="18"/>
              </w:rPr>
              <w:t>Risk Officers</w:t>
            </w:r>
          </w:p>
        </w:tc>
      </w:tr>
      <w:tr>
        <w:tc>
          <w:tcPr>
            <w:tcW w:type="dxa" w:w="860"/>
          </w:tcPr>
          <w:p>
            <w:pPr>
              <w:spacing w:after="20" w:before="20" w:line="240" w:lineRule="auto"/>
            </w:pPr>
            <w:r/>
            <w:r>
              <w:rPr>
                <w:sz w:val="18"/>
              </w:rPr>
              <w:t>OQ-4</w:t>
            </w:r>
          </w:p>
        </w:tc>
        <w:tc>
          <w:tcPr>
            <w:tcW w:type="dxa" w:w="5736"/>
          </w:tcPr>
          <w:p>
            <w:pPr>
              <w:spacing w:after="20" w:before="20" w:line="240" w:lineRule="auto"/>
            </w:pPr>
            <w:r/>
            <w:r>
              <w:rPr>
                <w:sz w:val="18"/>
              </w:rPr>
              <w:t>APC 483 exclusion</w:t>
            </w:r>
          </w:p>
        </w:tc>
        <w:tc>
          <w:tcPr>
            <w:tcW w:type="dxa" w:w="3155"/>
          </w:tcPr>
          <w:p>
            <w:pPr>
              <w:spacing w:after="20" w:before="20" w:line="240" w:lineRule="auto"/>
            </w:pPr>
            <w:r/>
            <w:r>
              <w:rPr>
                <w:sz w:val="18"/>
              </w:rPr>
              <w:t>Risk Officers</w:t>
            </w:r>
          </w:p>
        </w:tc>
      </w:tr>
      <w:tr>
        <w:tc>
          <w:tcPr>
            <w:tcW w:type="dxa" w:w="860"/>
          </w:tcPr>
          <w:p>
            <w:pPr>
              <w:spacing w:after="20" w:before="20" w:line="240" w:lineRule="auto"/>
            </w:pPr>
            <w:r/>
            <w:r>
              <w:rPr>
                <w:sz w:val="18"/>
              </w:rPr>
              <w:t>OQ-5</w:t>
            </w:r>
          </w:p>
        </w:tc>
        <w:tc>
          <w:tcPr>
            <w:tcW w:type="dxa" w:w="5736"/>
          </w:tcPr>
          <w:p>
            <w:pPr>
              <w:spacing w:after="20" w:before="20" w:line="240" w:lineRule="auto"/>
            </w:pPr>
            <w:r/>
            <w:r>
              <w:rPr>
                <w:sz w:val="18"/>
              </w:rPr>
              <w:t>What changed around March 2024: the hit rate of all checks fell from 11-13% to 7% and has stayed there (Part 7.4)</w:t>
            </w:r>
          </w:p>
        </w:tc>
        <w:tc>
          <w:tcPr>
            <w:tcW w:type="dxa" w:w="3155"/>
          </w:tcPr>
          <w:p>
            <w:pPr>
              <w:spacing w:after="20" w:before="20" w:line="240" w:lineRule="auto"/>
            </w:pPr>
            <w:r/>
            <w:r>
              <w:rPr>
                <w:sz w:val="18"/>
              </w:rPr>
              <w:t>Risk Officers</w:t>
            </w:r>
          </w:p>
        </w:tc>
      </w:tr>
      <w:tr>
        <w:tc>
          <w:tcPr>
            <w:tcW w:type="dxa" w:w="860"/>
          </w:tcPr>
          <w:p>
            <w:pPr>
              <w:spacing w:after="20" w:before="20" w:line="240" w:lineRule="auto"/>
            </w:pPr>
            <w:r/>
            <w:r>
              <w:rPr>
                <w:sz w:val="18"/>
              </w:rPr>
              <w:t>OQ-6</w:t>
            </w:r>
          </w:p>
        </w:tc>
        <w:tc>
          <w:tcPr>
            <w:tcW w:type="dxa" w:w="5736"/>
          </w:tcPr>
          <w:p>
            <w:pPr>
              <w:spacing w:after="20" w:before="20" w:line="240" w:lineRule="auto"/>
            </w:pPr>
            <w:r/>
            <w:r>
              <w:rPr>
                <w:sz w:val="18"/>
              </w:rPr>
              <w:t>Band cut-offs, including the VERY HIGH dip, against inspection capacity (Stage 7)</w:t>
            </w:r>
          </w:p>
        </w:tc>
        <w:tc>
          <w:tcPr>
            <w:tcW w:type="dxa" w:w="3155"/>
          </w:tcPr>
          <w:p>
            <w:pPr>
              <w:spacing w:after="20" w:before="20" w:line="240" w:lineRule="auto"/>
            </w:pPr>
            <w:r/>
            <w:r>
              <w:rPr>
                <w:sz w:val="18"/>
              </w:rPr>
              <w:t>Data Science with NTC</w:t>
            </w:r>
          </w:p>
        </w:tc>
      </w:tr>
      <w:tr>
        <w:tc>
          <w:tcPr>
            <w:tcW w:type="dxa" w:w="860"/>
          </w:tcPr>
          <w:p>
            <w:pPr>
              <w:spacing w:after="20" w:before="20" w:line="240" w:lineRule="auto"/>
            </w:pPr>
            <w:r/>
            <w:r>
              <w:rPr>
                <w:sz w:val="18"/>
              </w:rPr>
              <w:t>OQ-7</w:t>
            </w:r>
          </w:p>
        </w:tc>
        <w:tc>
          <w:tcPr>
            <w:tcW w:type="dxa" w:w="5736"/>
          </w:tcPr>
          <w:p>
            <w:pPr>
              <w:spacing w:after="20" w:before="20" w:line="240" w:lineRule="auto"/>
            </w:pPr>
            <w:r/>
            <w:r>
              <w:rPr>
                <w:sz w:val="18"/>
              </w:rPr>
              <w:t>Does the selectivity system keep a random inspection share, and are post-clearance audit results available? Either would give an unbiased test set</w:t>
            </w:r>
          </w:p>
        </w:tc>
        <w:tc>
          <w:tcPr>
            <w:tcW w:type="dxa" w:w="3155"/>
          </w:tcPr>
          <w:p>
            <w:pPr>
              <w:spacing w:after="20" w:before="20" w:line="240" w:lineRule="auto"/>
            </w:pPr>
            <w:r/>
            <w:r>
              <w:rPr>
                <w:sz w:val="18"/>
              </w:rPr>
              <w:t>Customs Risk Management</w:t>
            </w:r>
          </w:p>
        </w:tc>
      </w:tr>
      <w:tr>
        <w:tc>
          <w:tcPr>
            <w:tcW w:type="dxa" w:w="860"/>
          </w:tcPr>
          <w:p>
            <w:pPr>
              <w:spacing w:after="20" w:before="20" w:line="240" w:lineRule="auto"/>
            </w:pPr>
            <w:r/>
            <w:r>
              <w:rPr>
                <w:sz w:val="18"/>
              </w:rPr>
              <w:t>OQ-8</w:t>
            </w:r>
          </w:p>
        </w:tc>
        <w:tc>
          <w:tcPr>
            <w:tcW w:type="dxa" w:w="5736"/>
          </w:tcPr>
          <w:p>
            <w:pPr>
              <w:spacing w:after="20" w:before="20" w:line="240" w:lineRule="auto"/>
            </w:pPr>
            <w:r/>
            <w:r>
              <w:rPr>
                <w:sz w:val="18"/>
              </w:rPr>
              <w:t>Inspection capacity: how many taxpayers can officers act on from each list (sets the line for the bands and the Risky Behaviour Flag)</w:t>
            </w:r>
          </w:p>
        </w:tc>
        <w:tc>
          <w:tcPr>
            <w:tcW w:type="dxa" w:w="3155"/>
          </w:tcPr>
          <w:p>
            <w:pPr>
              <w:spacing w:after="20" w:before="20" w:line="240" w:lineRule="auto"/>
            </w:pPr>
            <w:r/>
            <w:r>
              <w:rPr>
                <w:sz w:val="18"/>
              </w:rPr>
              <w:t>Risk Officers</w:t>
            </w:r>
          </w:p>
        </w:tc>
      </w:tr>
      <w:tr>
        <w:tc>
          <w:tcPr>
            <w:tcW w:type="dxa" w:w="860"/>
          </w:tcPr>
          <w:p>
            <w:pPr>
              <w:spacing w:after="20" w:before="20" w:line="240" w:lineRule="auto"/>
            </w:pPr>
            <w:r/>
            <w:r>
              <w:rPr>
                <w:sz w:val="18"/>
              </w:rPr>
              <w:t>OQ-9</w:t>
            </w:r>
          </w:p>
        </w:tc>
        <w:tc>
          <w:tcPr>
            <w:tcW w:type="dxa" w:w="5736"/>
          </w:tcPr>
          <w:p>
            <w:pPr>
              <w:spacing w:after="20" w:before="20" w:line="240" w:lineRule="auto"/>
            </w:pPr>
            <w:r/>
            <w:r>
              <w:rPr>
                <w:sz w:val="18"/>
              </w:rPr>
              <w:t>Blind review verdicts on the 50 coded taxpayers (proves or disproves Track B)</w:t>
            </w:r>
          </w:p>
        </w:tc>
        <w:tc>
          <w:tcPr>
            <w:tcW w:type="dxa" w:w="3155"/>
          </w:tcPr>
          <w:p>
            <w:pPr>
              <w:spacing w:after="20" w:before="20" w:line="240" w:lineRule="auto"/>
            </w:pPr>
            <w:r/>
            <w:r>
              <w:rPr>
                <w:sz w:val="18"/>
              </w:rPr>
              <w:t>Risk Officers</w:t>
            </w:r>
          </w:p>
        </w:tc>
      </w:tr>
      <w:tr>
        <w:tc>
          <w:tcPr>
            <w:tcW w:type="dxa" w:w="860"/>
          </w:tcPr>
          <w:p>
            <w:pPr>
              <w:spacing w:after="20" w:before="20" w:line="240" w:lineRule="auto"/>
            </w:pPr>
            <w:r/>
            <w:r>
              <w:rPr>
                <w:sz w:val="18"/>
              </w:rPr>
              <w:t>OQ-10</w:t>
            </w:r>
          </w:p>
        </w:tc>
        <w:tc>
          <w:tcPr>
            <w:tcW w:type="dxa" w:w="5736"/>
          </w:tcPr>
          <w:p>
            <w:pPr>
              <w:spacing w:after="20" w:before="20" w:line="240" w:lineRule="auto"/>
            </w:pPr>
            <w:r/>
            <w:r>
              <w:rPr>
                <w:sz w:val="18"/>
              </w:rPr>
              <w:t>What the S-series entry numbers are (the same goods often appear on an S- and a C-series entry)</w:t>
            </w:r>
          </w:p>
        </w:tc>
        <w:tc>
          <w:tcPr>
            <w:tcW w:type="dxa" w:w="3155"/>
          </w:tcPr>
          <w:p>
            <w:pPr>
              <w:spacing w:after="20" w:before="20" w:line="240" w:lineRule="auto"/>
            </w:pPr>
            <w:r/>
            <w:r>
              <w:rPr>
                <w:sz w:val="18"/>
              </w:rPr>
              <w:t>Data Engineering or Risk Officers</w:t>
            </w:r>
          </w:p>
        </w:tc>
      </w:tr>
    </w:tbl>
    <w:p>
      <w:pPr>
        <w:spacing w:after="40"/>
      </w:pPr>
    </w:p>
    <w:p>
      <w:pPr>
        <w:pStyle w:val="Heading2"/>
      </w:pPr>
      <w:r>
        <w:t>8.2 Next Steps</w:t>
      </w:r>
    </w:p>
    <w:p>
      <w:pPr>
        <w:pStyle w:val="ListParagraph"/>
        <w:numPr>
          <w:ilvl w:val="0"/>
          <w:numId w:val="906"/>
        </w:numPr>
        <w:spacing w:after="60"/>
      </w:pPr>
      <w:r>
        <w:t>Score the blind review verdicts and decide whether Track B goes live as a list for officers.</w:t>
      </w:r>
    </w:p>
    <w:p>
      <w:pPr>
        <w:pStyle w:val="ListParagraph"/>
        <w:numPr>
          <w:ilvl w:val="0"/>
          <w:numId w:val="906"/>
        </w:numPr>
        <w:spacing w:after="60"/>
      </w:pPr>
      <w:r>
        <w:t>Pull full extracts for older dates (September 2019 to September 2022) to test Track B over more years.</w:t>
      </w:r>
    </w:p>
    <w:p>
      <w:pPr>
        <w:pStyle w:val="ListParagraph"/>
        <w:numPr>
          <w:ilvl w:val="0"/>
          <w:numId w:val="906"/>
        </w:numPr>
        <w:spacing w:after="60"/>
      </w:pPr>
      <w:r>
        <w:t>Re-run the seven extracts with the version 2 query and score PAR_067 and PAR_053 once tested (Stage 4 method).</w:t>
      </w:r>
    </w:p>
    <w:p>
      <w:pPr>
        <w:pStyle w:val="ListParagraph"/>
        <w:numPr>
          <w:ilvl w:val="0"/>
          <w:numId w:val="906"/>
        </w:numPr>
        <w:spacing w:after="60"/>
      </w:pPr>
      <w:r>
        <w:t>Stage 7: set band cut-offs against the score distribution, the VERY HIGH dip and capacity.</w:t>
      </w:r>
    </w:p>
    <w:p>
      <w:pPr>
        <w:pStyle w:val="ListParagraph"/>
        <w:numPr>
          <w:ilvl w:val="0"/>
          <w:numId w:val="906"/>
        </w:numPr>
        <w:spacing w:after="60"/>
      </w:pPr>
      <w:r>
        <w:t>Challenger round 2: a shadow run of the all-models blend; monotone boosting and the learned-weight scorecard with an expert-anchored variant; an expected-revenue model; network features once agent TINs are available. Officers review the top taxpayers of each list without knowing which model produced them.</w:t>
      </w:r>
    </w:p>
    <w:p>
      <w:pPr>
        <w:pStyle w:val="ListParagraph"/>
        <w:numPr>
          <w:ilvl w:val="0"/>
          <w:numId w:val="906"/>
        </w:numPr>
        <w:spacing w:after="60"/>
      </w:pPr>
      <w:r>
        <w:t>Stage 8: review the top 50 taxpayers with the Risk Officers.</w:t>
      </w:r>
    </w:p>
    <w:p>
      <w:r>
        <w:br w:type="page"/>
      </w:r>
    </w:p>
    <w:p>
      <w:pPr>
        <w:pStyle w:val="Heading1"/>
      </w:pPr>
      <w:r>
        <w:t>Annex A: Decision Register</w:t>
      </w:r>
    </w:p>
    <w:p>
      <w:pPr>
        <w:spacing w:after="120"/>
      </w:pPr>
      <w:r>
        <w:t>Every numbered decision in the decision log, with its evidence, as recorded at the time.</w:t>
      </w:r>
    </w:p>
    <w:p>
      <w:pPr>
        <w:pStyle w:val="Caption"/>
      </w:pPr>
      <w:r>
        <w:t xml:space="preserve">Table </w:t>
      </w:r>
      <w:r>
        <w:fldChar w:fldCharType="begin"/>
      </w:r>
      <w:r>
        <w:instrText xml:space="preserve"> SEQ Table \* ARABIC </w:instrText>
      </w:r>
      <w:r>
        <w:fldChar w:fldCharType="separate"/>
      </w:r>
      <w:r>
        <w:t>28</w:t>
      </w:r>
      <w:r>
        <w:fldChar w:fldCharType="end"/>
      </w:r>
      <w:r>
        <w:t>: Decision Register</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574"/>
            <w:shd w:val="clear" w:color="auto" w:fill="D9E2F3"/>
          </w:tcPr>
          <w:p>
            <w:pPr>
              <w:spacing w:after="20" w:before="20" w:line="240" w:lineRule="auto"/>
            </w:pPr>
            <w:r/>
            <w:r>
              <w:rPr>
                <w:b/>
                <w:sz w:val="16"/>
              </w:rPr>
              <w:t>#</w:t>
            </w:r>
          </w:p>
        </w:tc>
        <w:tc>
          <w:tcPr>
            <w:tcW w:type="dxa" w:w="4302"/>
            <w:shd w:val="clear" w:color="auto" w:fill="D9E2F3"/>
          </w:tcPr>
          <w:p>
            <w:pPr>
              <w:spacing w:after="20" w:before="20" w:line="240" w:lineRule="auto"/>
            </w:pPr>
            <w:r/>
            <w:r>
              <w:rPr>
                <w:b/>
                <w:sz w:val="16"/>
              </w:rPr>
              <w:t>Decision</w:t>
            </w:r>
          </w:p>
        </w:tc>
        <w:tc>
          <w:tcPr>
            <w:tcW w:type="dxa" w:w="4876"/>
            <w:shd w:val="clear" w:color="auto" w:fill="D9E2F3"/>
          </w:tcPr>
          <w:p>
            <w:pPr>
              <w:spacing w:after="20" w:before="20" w:line="240" w:lineRule="auto"/>
            </w:pPr>
            <w:r/>
            <w:r>
              <w:rPr>
                <w:b/>
                <w:sz w:val="16"/>
              </w:rPr>
              <w:t>Evidence</w:t>
            </w:r>
          </w:p>
        </w:tc>
      </w:tr>
      <w:tr>
        <w:tc>
          <w:tcPr>
            <w:tcW w:type="dxa" w:w="574"/>
          </w:tcPr>
          <w:p>
            <w:pPr>
              <w:spacing w:after="20" w:before="20" w:line="240" w:lineRule="auto"/>
            </w:pPr>
            <w:r/>
            <w:r>
              <w:rPr>
                <w:sz w:val="16"/>
              </w:rPr>
              <w:t>1</w:t>
            </w:r>
          </w:p>
        </w:tc>
        <w:tc>
          <w:tcPr>
            <w:tcW w:type="dxa" w:w="4302"/>
          </w:tcPr>
          <w:p>
            <w:pPr>
              <w:spacing w:after="20" w:before="20" w:line="240" w:lineRule="auto"/>
            </w:pPr>
            <w:r/>
            <w:r>
              <w:rPr>
                <w:sz w:val="16"/>
              </w:rPr>
              <w:t>Score regimes IM4 and IM7 only</w:t>
            </w:r>
          </w:p>
        </w:tc>
        <w:tc>
          <w:tcPr>
            <w:tcW w:type="dxa" w:w="4876"/>
          </w:tcPr>
          <w:p>
            <w:pPr>
              <w:spacing w:after="20" w:before="20" w:line="240" w:lineRule="auto"/>
            </w:pPr>
            <w:r/>
            <w:r>
              <w:rPr>
                <w:sz w:val="16"/>
              </w:rPr>
              <w:t>D2: transit and export regimes carry guarantee or suspended amounts, not duty paid</w:t>
            </w:r>
          </w:p>
        </w:tc>
      </w:tr>
      <w:tr>
        <w:tc>
          <w:tcPr>
            <w:tcW w:type="dxa" w:w="574"/>
          </w:tcPr>
          <w:p>
            <w:pPr>
              <w:spacing w:after="20" w:before="20" w:line="240" w:lineRule="auto"/>
            </w:pPr>
            <w:r/>
            <w:r>
              <w:rPr>
                <w:sz w:val="16"/>
              </w:rPr>
              <w:t>2</w:t>
            </w:r>
          </w:p>
        </w:tc>
        <w:tc>
          <w:tcPr>
            <w:tcW w:type="dxa" w:w="4302"/>
          </w:tcPr>
          <w:p>
            <w:pPr>
              <w:spacing w:after="20" w:before="20" w:line="240" w:lineRule="auto"/>
            </w:pPr>
            <w:r/>
            <w:r>
              <w:rPr>
                <w:sz w:val="16"/>
              </w:rPr>
              <w:t>Valid 10-digit TIN only</w:t>
            </w:r>
          </w:p>
        </w:tc>
        <w:tc>
          <w:tcPr>
            <w:tcW w:type="dxa" w:w="4876"/>
          </w:tcPr>
          <w:p>
            <w:pPr>
              <w:spacing w:after="20" w:before="20" w:line="240" w:lineRule="auto"/>
            </w:pPr>
            <w:r/>
            <w:r>
              <w:rPr>
                <w:sz w:val="16"/>
              </w:rPr>
              <w:t>C2: all valid TINs are 10 digits; one 3-character TIN on 373 declarations</w:t>
            </w:r>
          </w:p>
        </w:tc>
      </w:tr>
      <w:tr>
        <w:tc>
          <w:tcPr>
            <w:tcW w:type="dxa" w:w="574"/>
          </w:tcPr>
          <w:p>
            <w:pPr>
              <w:spacing w:after="20" w:before="20" w:line="240" w:lineRule="auto"/>
            </w:pPr>
            <w:r/>
            <w:r>
              <w:rPr>
                <w:sz w:val="16"/>
              </w:rPr>
              <w:t>3</w:t>
            </w:r>
          </w:p>
        </w:tc>
        <w:tc>
          <w:tcPr>
            <w:tcW w:type="dxa" w:w="4302"/>
          </w:tcPr>
          <w:p>
            <w:pPr>
              <w:spacing w:after="20" w:before="20" w:line="240" w:lineRule="auto"/>
            </w:pPr>
            <w:r/>
            <w:r>
              <w:rPr>
                <w:sz w:val="16"/>
              </w:rPr>
              <w:t>The missing-TIN gap does not affect the scored population</w:t>
            </w:r>
          </w:p>
        </w:tc>
        <w:tc>
          <w:tcPr>
            <w:tcW w:type="dxa" w:w="4876"/>
          </w:tcPr>
          <w:p>
            <w:pPr>
              <w:spacing w:after="20" w:before="20" w:line="240" w:lineRule="auto"/>
            </w:pPr>
            <w:r/>
            <w:r>
              <w:rPr>
                <w:sz w:val="16"/>
              </w:rPr>
              <w:t>H3: IM4 and IM7 have no declarations without a TIN; the 480,000 are in IM8, PB4, PP4, SE1</w:t>
            </w:r>
          </w:p>
        </w:tc>
      </w:tr>
      <w:tr>
        <w:tc>
          <w:tcPr>
            <w:tcW w:type="dxa" w:w="574"/>
          </w:tcPr>
          <w:p>
            <w:pPr>
              <w:spacing w:after="20" w:before="20" w:line="240" w:lineRule="auto"/>
            </w:pPr>
            <w:r/>
            <w:r>
              <w:rPr>
                <w:sz w:val="16"/>
              </w:rPr>
              <w:t>4</w:t>
            </w:r>
          </w:p>
        </w:tc>
        <w:tc>
          <w:tcPr>
            <w:tcW w:type="dxa" w:w="4302"/>
          </w:tcPr>
          <w:p>
            <w:pPr>
              <w:spacing w:after="20" w:before="20" w:line="240" w:lineRule="auto"/>
            </w:pPr>
            <w:r/>
            <w:r>
              <w:rPr>
                <w:sz w:val="16"/>
              </w:rPr>
              <w:t>Exclude cancelled declarations</w:t>
            </w:r>
          </w:p>
        </w:tc>
        <w:tc>
          <w:tcPr>
            <w:tcW w:type="dxa" w:w="4876"/>
          </w:tcPr>
          <w:p>
            <w:pPr>
              <w:spacing w:after="20" w:before="20" w:line="240" w:lineRule="auto"/>
            </w:pPr>
            <w:r/>
            <w:r>
              <w:rPr>
                <w:sz w:val="16"/>
              </w:rPr>
              <w:t>D1: 14,065 cancelled</w:t>
            </w:r>
          </w:p>
        </w:tc>
      </w:tr>
      <w:tr>
        <w:tc>
          <w:tcPr>
            <w:tcW w:type="dxa" w:w="574"/>
          </w:tcPr>
          <w:p>
            <w:pPr>
              <w:spacing w:after="20" w:before="20" w:line="240" w:lineRule="auto"/>
            </w:pPr>
            <w:r/>
            <w:r>
              <w:rPr>
                <w:sz w:val="16"/>
              </w:rPr>
              <w:t>5</w:t>
            </w:r>
          </w:p>
        </w:tc>
        <w:tc>
          <w:tcPr>
            <w:tcW w:type="dxa" w:w="4302"/>
          </w:tcPr>
          <w:p>
            <w:pPr>
              <w:spacing w:after="20" w:before="20" w:line="240" w:lineRule="auto"/>
            </w:pPr>
            <w:r/>
            <w:r>
              <w:rPr>
                <w:sz w:val="16"/>
              </w:rPr>
              <w:t>Keep one row per item</w:t>
            </w:r>
          </w:p>
        </w:tc>
        <w:tc>
          <w:tcPr>
            <w:tcW w:type="dxa" w:w="4876"/>
          </w:tcPr>
          <w:p>
            <w:pPr>
              <w:spacing w:after="20" w:before="20" w:line="240" w:lineRule="auto"/>
            </w:pPr>
            <w:r/>
            <w:r>
              <w:rPr>
                <w:sz w:val="16"/>
              </w:rPr>
              <w:t>B1, H1: 14,219 items repeated up to 522 times, copies identical</w:t>
            </w:r>
          </w:p>
        </w:tc>
      </w:tr>
      <w:tr>
        <w:tc>
          <w:tcPr>
            <w:tcW w:type="dxa" w:w="574"/>
          </w:tcPr>
          <w:p>
            <w:pPr>
              <w:spacing w:after="20" w:before="20" w:line="240" w:lineRule="auto"/>
            </w:pPr>
            <w:r/>
            <w:r>
              <w:rPr>
                <w:sz w:val="16"/>
              </w:rPr>
              <w:t>6</w:t>
            </w:r>
          </w:p>
        </w:tc>
        <w:tc>
          <w:tcPr>
            <w:tcW w:type="dxa" w:w="4302"/>
          </w:tcPr>
          <w:p>
            <w:pPr>
              <w:spacing w:after="20" w:before="20" w:line="240" w:lineRule="auto"/>
            </w:pPr>
            <w:r/>
            <w:r>
              <w:rPr>
                <w:sz w:val="16"/>
              </w:rPr>
              <w:t>Tax amounts once per declaration</w:t>
            </w:r>
          </w:p>
        </w:tc>
        <w:tc>
          <w:tcPr>
            <w:tcW w:type="dxa" w:w="4876"/>
          </w:tcPr>
          <w:p>
            <w:pPr>
              <w:spacing w:after="20" w:before="20" w:line="240" w:lineRule="auto"/>
            </w:pPr>
            <w:r/>
            <w:r>
              <w:rPr>
                <w:sz w:val="16"/>
              </w:rPr>
              <w:t>B2: identical on every item of a declaration</w:t>
            </w:r>
          </w:p>
        </w:tc>
      </w:tr>
      <w:tr>
        <w:tc>
          <w:tcPr>
            <w:tcW w:type="dxa" w:w="574"/>
          </w:tcPr>
          <w:p>
            <w:pPr>
              <w:spacing w:after="20" w:before="20" w:line="240" w:lineRule="auto"/>
            </w:pPr>
            <w:r/>
            <w:r>
              <w:rPr>
                <w:sz w:val="16"/>
              </w:rPr>
              <w:t>7</w:t>
            </w:r>
          </w:p>
        </w:tc>
        <w:tc>
          <w:tcPr>
            <w:tcW w:type="dxa" w:w="4302"/>
          </w:tcPr>
          <w:p>
            <w:pPr>
              <w:spacing w:after="20" w:before="20" w:line="240" w:lineRule="auto"/>
            </w:pPr>
            <w:r/>
            <w:r>
              <w:rPr>
                <w:sz w:val="16"/>
              </w:rPr>
              <w:t>Top-up = flag Y and final &gt; original; amount = final minus original</w:t>
            </w:r>
          </w:p>
        </w:tc>
        <w:tc>
          <w:tcPr>
            <w:tcW w:type="dxa" w:w="4876"/>
          </w:tcPr>
          <w:p>
            <w:pPr>
              <w:spacing w:after="20" w:before="20" w:line="240" w:lineRule="auto"/>
            </w:pPr>
            <w:r/>
            <w:r>
              <w:rPr>
                <w:sz w:val="16"/>
              </w:rPr>
              <w:t>H2: top_up_amt equals the final tax on 99.5% of unflagged declarations</w:t>
            </w:r>
          </w:p>
        </w:tc>
      </w:tr>
      <w:tr>
        <w:tc>
          <w:tcPr>
            <w:tcW w:type="dxa" w:w="574"/>
          </w:tcPr>
          <w:p>
            <w:pPr>
              <w:spacing w:after="20" w:before="20" w:line="240" w:lineRule="auto"/>
            </w:pPr>
            <w:r/>
            <w:r>
              <w:rPr>
                <w:sz w:val="16"/>
              </w:rPr>
              <w:t>8</w:t>
            </w:r>
          </w:p>
        </w:tc>
        <w:tc>
          <w:tcPr>
            <w:tcW w:type="dxa" w:w="4302"/>
          </w:tcPr>
          <w:p>
            <w:pPr>
              <w:spacing w:after="20" w:before="20" w:line="240" w:lineRule="auto"/>
            </w:pPr>
            <w:r/>
            <w:r>
              <w:rPr>
                <w:sz w:val="16"/>
              </w:rPr>
              <w:t>Negative top-up = final below original</w:t>
            </w:r>
          </w:p>
        </w:tc>
        <w:tc>
          <w:tcPr>
            <w:tcW w:type="dxa" w:w="4876"/>
          </w:tcPr>
          <w:p>
            <w:pPr>
              <w:spacing w:after="20" w:before="20" w:line="240" w:lineRule="auto"/>
            </w:pPr>
            <w:r/>
            <w:r>
              <w:rPr>
                <w:sz w:val="16"/>
              </w:rPr>
              <w:t>H2</w:t>
            </w:r>
          </w:p>
        </w:tc>
      </w:tr>
      <w:tr>
        <w:tc>
          <w:tcPr>
            <w:tcW w:type="dxa" w:w="574"/>
          </w:tcPr>
          <w:p>
            <w:pPr>
              <w:spacing w:after="20" w:before="20" w:line="240" w:lineRule="auto"/>
            </w:pPr>
            <w:r/>
            <w:r>
              <w:rPr>
                <w:sz w:val="16"/>
              </w:rPr>
              <w:t>9</w:t>
            </w:r>
          </w:p>
        </w:tc>
        <w:tc>
          <w:tcPr>
            <w:tcW w:type="dxa" w:w="4302"/>
          </w:tcPr>
          <w:p>
            <w:pPr>
              <w:spacing w:after="20" w:before="20" w:line="240" w:lineRule="auto"/>
            </w:pPr>
            <w:r/>
            <w:r>
              <w:rPr>
                <w:sz w:val="16"/>
              </w:rPr>
              <w:t>Blank original tax treated as unchanged (filled with final)</w:t>
            </w:r>
          </w:p>
        </w:tc>
        <w:tc>
          <w:tcPr>
            <w:tcW w:type="dxa" w:w="4876"/>
          </w:tcPr>
          <w:p>
            <w:pPr>
              <w:spacing w:after="20" w:before="20" w:line="240" w:lineRule="auto"/>
            </w:pPr>
            <w:r/>
            <w:r>
              <w:rPr>
                <w:sz w:val="16"/>
              </w:rPr>
              <w:t>H2: blank on about 37% of unflagged declarations; an inference, not stated in the data</w:t>
            </w:r>
          </w:p>
        </w:tc>
      </w:tr>
      <w:tr>
        <w:tc>
          <w:tcPr>
            <w:tcW w:type="dxa" w:w="574"/>
          </w:tcPr>
          <w:p>
            <w:pPr>
              <w:spacing w:after="20" w:before="20" w:line="240" w:lineRule="auto"/>
            </w:pPr>
            <w:r/>
            <w:r>
              <w:rPr>
                <w:sz w:val="16"/>
              </w:rPr>
              <w:t>10</w:t>
            </w:r>
          </w:p>
        </w:tc>
        <w:tc>
          <w:tcPr>
            <w:tcW w:type="dxa" w:w="4302"/>
          </w:tcPr>
          <w:p>
            <w:pPr>
              <w:spacing w:after="20" w:before="20" w:line="240" w:lineRule="auto"/>
            </w:pPr>
            <w:r/>
            <w:r>
              <w:rPr>
                <w:sz w:val="16"/>
              </w:rPr>
              <w:t>Back-test snapshots Sep 2023 to Mar 2026; live Sep 2026</w:t>
            </w:r>
          </w:p>
        </w:tc>
        <w:tc>
          <w:tcPr>
            <w:tcW w:type="dxa" w:w="4876"/>
          </w:tcPr>
          <w:p>
            <w:pPr>
              <w:spacing w:after="20" w:before="20" w:line="240" w:lineRule="auto"/>
            </w:pPr>
            <w:r/>
            <w:r>
              <w:rPr>
                <w:sz w:val="16"/>
              </w:rPr>
              <w:t>A2: every month complete to Sep 2026; Oct 2026 partial</w:t>
            </w:r>
          </w:p>
        </w:tc>
      </w:tr>
      <w:tr>
        <w:tc>
          <w:tcPr>
            <w:tcW w:type="dxa" w:w="574"/>
          </w:tcPr>
          <w:p>
            <w:pPr>
              <w:spacing w:after="20" w:before="20" w:line="240" w:lineRule="auto"/>
            </w:pPr>
            <w:r/>
            <w:r>
              <w:rPr>
                <w:sz w:val="16"/>
              </w:rPr>
              <w:t>11</w:t>
            </w:r>
          </w:p>
        </w:tc>
        <w:tc>
          <w:tcPr>
            <w:tcW w:type="dxa" w:w="4302"/>
          </w:tcPr>
          <w:p>
            <w:pPr>
              <w:spacing w:after="20" w:before="20" w:line="240" w:lineRule="auto"/>
            </w:pPr>
            <w:r/>
            <w:r>
              <w:rPr>
                <w:sz w:val="16"/>
              </w:rPr>
              <w:t>Lane flags tested with = 1</w:t>
            </w:r>
          </w:p>
        </w:tc>
        <w:tc>
          <w:tcPr>
            <w:tcW w:type="dxa" w:w="4876"/>
          </w:tcPr>
          <w:p>
            <w:pPr>
              <w:spacing w:after="20" w:before="20" w:line="240" w:lineRule="auto"/>
            </w:pPr>
            <w:r/>
            <w:r>
              <w:rPr>
                <w:sz w:val="16"/>
              </w:rPr>
              <w:t>E1: coded 1 or blank; one declaration can carry several lanes</w:t>
            </w:r>
          </w:p>
        </w:tc>
      </w:tr>
      <w:tr>
        <w:tc>
          <w:tcPr>
            <w:tcW w:type="dxa" w:w="574"/>
          </w:tcPr>
          <w:p>
            <w:pPr>
              <w:spacing w:after="20" w:before="20" w:line="240" w:lineRule="auto"/>
            </w:pPr>
            <w:r/>
            <w:r>
              <w:rPr>
                <w:sz w:val="16"/>
              </w:rPr>
              <w:t>12</w:t>
            </w:r>
          </w:p>
        </w:tc>
        <w:tc>
          <w:tcPr>
            <w:tcW w:type="dxa" w:w="4302"/>
          </w:tcPr>
          <w:p>
            <w:pPr>
              <w:spacing w:after="20" w:before="20" w:line="240" w:lineRule="auto"/>
            </w:pPr>
            <w:r/>
            <w:r>
              <w:rPr>
                <w:sz w:val="16"/>
              </w:rPr>
              <w:t>Taxpayer names not used</w:t>
            </w:r>
          </w:p>
        </w:tc>
        <w:tc>
          <w:tcPr>
            <w:tcW w:type="dxa" w:w="4876"/>
          </w:tcPr>
          <w:p>
            <w:pPr>
              <w:spacing w:after="20" w:before="20" w:line="240" w:lineRule="auto"/>
            </w:pPr>
            <w:r/>
            <w:r>
              <w:rPr>
                <w:sz w:val="16"/>
              </w:rPr>
              <w:t>C3, I1: addresses mixed in, typos, one name is a backtick</w:t>
            </w:r>
          </w:p>
        </w:tc>
      </w:tr>
      <w:tr>
        <w:tc>
          <w:tcPr>
            <w:tcW w:type="dxa" w:w="574"/>
          </w:tcPr>
          <w:p>
            <w:pPr>
              <w:spacing w:after="20" w:before="20" w:line="240" w:lineRule="auto"/>
            </w:pPr>
            <w:r/>
            <w:r>
              <w:rPr>
                <w:sz w:val="16"/>
              </w:rPr>
              <w:t>13</w:t>
            </w:r>
          </w:p>
        </w:tc>
        <w:tc>
          <w:tcPr>
            <w:tcW w:type="dxa" w:w="4302"/>
          </w:tcPr>
          <w:p>
            <w:pPr>
              <w:spacing w:after="20" w:before="20" w:line="240" w:lineRule="auto"/>
            </w:pPr>
            <w:r/>
            <w:r>
              <w:rPr>
                <w:sz w:val="16"/>
              </w:rPr>
              <w:t>Preferential flag read as Y/N; the inf column dropped</w:t>
            </w:r>
          </w:p>
        </w:tc>
        <w:tc>
          <w:tcPr>
            <w:tcW w:type="dxa" w:w="4876"/>
          </w:tcPr>
          <w:p>
            <w:pPr>
              <w:spacing w:after="20" w:before="20" w:line="240" w:lineRule="auto"/>
            </w:pPr>
            <w:r/>
            <w:r>
              <w:rPr>
                <w:sz w:val="16"/>
              </w:rPr>
              <w:t>E2: flag is Y or N (4% Y); inf is always blank</w:t>
            </w:r>
          </w:p>
        </w:tc>
      </w:tr>
      <w:tr>
        <w:tc>
          <w:tcPr>
            <w:tcW w:type="dxa" w:w="574"/>
          </w:tcPr>
          <w:p>
            <w:pPr>
              <w:spacing w:after="20" w:before="20" w:line="240" w:lineRule="auto"/>
            </w:pPr>
            <w:r/>
            <w:r>
              <w:rPr>
                <w:sz w:val="16"/>
              </w:rPr>
              <w:t>14</w:t>
            </w:r>
          </w:p>
        </w:tc>
        <w:tc>
          <w:tcPr>
            <w:tcW w:type="dxa" w:w="4302"/>
          </w:tcPr>
          <w:p>
            <w:pPr>
              <w:spacing w:after="20" w:before="20" w:line="240" w:lineRule="auto"/>
            </w:pPr>
            <w:r/>
            <w:r>
              <w:rPr>
                <w:sz w:val="16"/>
              </w:rPr>
              <w:t>No currency conversion needed</w:t>
            </w:r>
          </w:p>
        </w:tc>
        <w:tc>
          <w:tcPr>
            <w:tcW w:type="dxa" w:w="4876"/>
          </w:tcPr>
          <w:p>
            <w:pPr>
              <w:spacing w:after="20" w:before="20" w:line="240" w:lineRule="auto"/>
            </w:pPr>
            <w:r/>
            <w:r>
              <w:rPr>
                <w:sz w:val="16"/>
              </w:rPr>
              <w:t>F2: customs_value equals CIF in UGX for every currency</w:t>
            </w:r>
          </w:p>
        </w:tc>
      </w:tr>
      <w:tr>
        <w:tc>
          <w:tcPr>
            <w:tcW w:type="dxa" w:w="574"/>
          </w:tcPr>
          <w:p>
            <w:pPr>
              <w:spacing w:after="20" w:before="20" w:line="240" w:lineRule="auto"/>
            </w:pPr>
            <w:r/>
            <w:r>
              <w:rPr>
                <w:sz w:val="16"/>
              </w:rPr>
              <w:t>15</w:t>
            </w:r>
          </w:p>
        </w:tc>
        <w:tc>
          <w:tcPr>
            <w:tcW w:type="dxa" w:w="4302"/>
          </w:tcPr>
          <w:p>
            <w:pPr>
              <w:spacing w:after="20" w:before="20" w:line="240" w:lineRule="auto"/>
            </w:pPr>
            <w:r/>
            <w:r>
              <w:rPr>
                <w:sz w:val="16"/>
              </w:rPr>
              <w:t>Fields complete enough to use as they are</w:t>
            </w:r>
          </w:p>
        </w:tc>
        <w:tc>
          <w:tcPr>
            <w:tcW w:type="dxa" w:w="4876"/>
          </w:tcPr>
          <w:p>
            <w:pPr>
              <w:spacing w:after="20" w:before="20" w:line="240" w:lineRule="auto"/>
            </w:pPr>
            <w:r/>
            <w:r>
              <w:rPr>
                <w:sz w:val="16"/>
              </w:rPr>
              <w:t>F1: value, HS, origin and station never missing; weight and supplementary quantity missing on 0.01%</w:t>
            </w:r>
          </w:p>
        </w:tc>
      </w:tr>
      <w:tr>
        <w:tc>
          <w:tcPr>
            <w:tcW w:type="dxa" w:w="574"/>
          </w:tcPr>
          <w:p>
            <w:pPr>
              <w:spacing w:after="20" w:before="20" w:line="240" w:lineRule="auto"/>
            </w:pPr>
            <w:r/>
            <w:r>
              <w:rPr>
                <w:sz w:val="16"/>
              </w:rPr>
              <w:t>16</w:t>
            </w:r>
          </w:p>
        </w:tc>
        <w:tc>
          <w:tcPr>
            <w:tcW w:type="dxa" w:w="4302"/>
          </w:tcPr>
          <w:p>
            <w:pPr>
              <w:spacing w:after="20" w:before="20" w:line="240" w:lineRule="auto"/>
            </w:pPr>
            <w:r/>
            <w:r>
              <w:rPr>
                <w:sz w:val="16"/>
              </w:rPr>
              <w:t>Price outliers judged within each HS code, not across all goods: below 1% of the HS median = entry error, kept out of PAR_076</w:t>
            </w:r>
          </w:p>
        </w:tc>
        <w:tc>
          <w:tcPr>
            <w:tcW w:type="dxa" w:w="4876"/>
          </w:tcPr>
          <w:p>
            <w:pPr>
              <w:spacing w:after="20" w:before="20" w:line="240" w:lineRule="auto"/>
            </w:pPr>
            <w:r/>
            <w:r>
              <w:rPr>
                <w:sz w:val="16"/>
              </w:rPr>
              <w:t>F3: UGX per kg runs from 69 to 17 million across all goods, mostly because commodities differ; a single cut would remove cheap bulk goods wrongly</w:t>
            </w:r>
          </w:p>
        </w:tc>
      </w:tr>
      <w:tr>
        <w:tc>
          <w:tcPr>
            <w:tcW w:type="dxa" w:w="574"/>
          </w:tcPr>
          <w:p>
            <w:pPr>
              <w:spacing w:after="20" w:before="20" w:line="240" w:lineRule="auto"/>
            </w:pPr>
            <w:r/>
            <w:r>
              <w:rPr>
                <w:sz w:val="16"/>
              </w:rPr>
              <w:t>17</w:t>
            </w:r>
          </w:p>
        </w:tc>
        <w:tc>
          <w:tcPr>
            <w:tcW w:type="dxa" w:w="4302"/>
          </w:tcPr>
          <w:p>
            <w:pPr>
              <w:spacing w:after="20" w:before="20" w:line="240" w:lineRule="auto"/>
            </w:pPr>
            <w:r/>
            <w:r>
              <w:rPr>
                <w:sz w:val="16"/>
              </w:rPr>
              <w:t>top_up_amt confirmed as the final tax, not rounding</w:t>
            </w:r>
          </w:p>
        </w:tc>
        <w:tc>
          <w:tcPr>
            <w:tcW w:type="dxa" w:w="4876"/>
          </w:tcPr>
          <w:p>
            <w:pPr>
              <w:spacing w:after="20" w:before="20" w:line="240" w:lineRule="auto"/>
            </w:pPr>
            <w:r/>
            <w:r>
              <w:rPr>
                <w:sz w:val="16"/>
              </w:rPr>
              <w:t>H2: on unflagged, unamended declarations it equals the final tax 99.8% of the time, median UGX 11.7 million; G1's top-up columns are therefore not used</w:t>
            </w:r>
          </w:p>
        </w:tc>
      </w:tr>
      <w:tr>
        <w:tc>
          <w:tcPr>
            <w:tcW w:type="dxa" w:w="574"/>
          </w:tcPr>
          <w:p>
            <w:pPr>
              <w:spacing w:after="20" w:before="20" w:line="240" w:lineRule="auto"/>
            </w:pPr>
            <w:r/>
            <w:r>
              <w:rPr>
                <w:sz w:val="16"/>
              </w:rPr>
              <w:t>18</w:t>
            </w:r>
          </w:p>
        </w:tc>
        <w:tc>
          <w:tcPr>
            <w:tcW w:type="dxa" w:w="4302"/>
          </w:tcPr>
          <w:p>
            <w:pPr>
              <w:spacing w:after="20" w:before="20" w:line="240" w:lineRule="auto"/>
            </w:pPr>
            <w:r/>
            <w:r>
              <w:rPr>
                <w:sz w:val="16"/>
              </w:rPr>
              <w:t>Amended declarations whose tax rose without the top-up flag (about 3,000) are not counted as top-ups</w:t>
            </w:r>
          </w:p>
        </w:tc>
        <w:tc>
          <w:tcPr>
            <w:tcW w:type="dxa" w:w="4876"/>
          </w:tcPr>
          <w:p>
            <w:pPr>
              <w:spacing w:after="20" w:before="20" w:line="240" w:lineRule="auto"/>
            </w:pPr>
            <w:r/>
            <w:r>
              <w:rPr>
                <w:sz w:val="16"/>
              </w:rPr>
              <w:t>H2: the flag is customs' own marking; to be tested as an alternative in stage 3</w:t>
            </w:r>
          </w:p>
        </w:tc>
      </w:tr>
      <w:tr>
        <w:tc>
          <w:tcPr>
            <w:tcW w:type="dxa" w:w="574"/>
          </w:tcPr>
          <w:p>
            <w:pPr>
              <w:spacing w:after="20" w:before="20" w:line="240" w:lineRule="auto"/>
            </w:pPr>
            <w:r/>
            <w:r>
              <w:rPr>
                <w:sz w:val="16"/>
              </w:rPr>
              <w:t>19</w:t>
            </w:r>
          </w:p>
        </w:tc>
        <w:tc>
          <w:tcPr>
            <w:tcW w:type="dxa" w:w="4302"/>
          </w:tcPr>
          <w:p>
            <w:pPr>
              <w:spacing w:after="20" w:before="20" w:line="240" w:lineRule="auto"/>
            </w:pPr>
            <w:r/>
            <w:r>
              <w:rPr>
                <w:sz w:val="16"/>
              </w:rPr>
              <w:t>Six back-test extracts accepted: one row per TIN, valid TINs, rates in range, hits never above checks</w:t>
            </w:r>
          </w:p>
        </w:tc>
        <w:tc>
          <w:tcPr>
            <w:tcW w:type="dxa" w:w="4876"/>
          </w:tcPr>
          <w:p>
            <w:pPr>
              <w:spacing w:after="20" w:before="20" w:line="240" w:lineRule="auto"/>
            </w:pPr>
            <w:r/>
            <w:r>
              <w:rPr>
                <w:sz w:val="16"/>
              </w:rPr>
              <w:t>check_extract.py: all tests PASS except the top-up ratio (below)</w:t>
            </w:r>
          </w:p>
        </w:tc>
      </w:tr>
      <w:tr>
        <w:tc>
          <w:tcPr>
            <w:tcW w:type="dxa" w:w="574"/>
          </w:tcPr>
          <w:p>
            <w:pPr>
              <w:spacing w:after="20" w:before="20" w:line="240" w:lineRule="auto"/>
            </w:pPr>
            <w:r/>
            <w:r>
              <w:rPr>
                <w:sz w:val="16"/>
              </w:rPr>
              <w:t>20</w:t>
            </w:r>
          </w:p>
        </w:tc>
        <w:tc>
          <w:tcPr>
            <w:tcW w:type="dxa" w:w="4302"/>
          </w:tcPr>
          <w:p>
            <w:pPr>
              <w:spacing w:after="20" w:before="20" w:line="240" w:lineRule="auto"/>
            </w:pPr>
            <w:r/>
            <w:r>
              <w:rPr>
                <w:sz w:val="16"/>
              </w:rPr>
              <w:t>Population grows steadily: 49,699 to 58,161 taxpayers, 968,000 to 1.2 million declarations per 24-month window</w:t>
            </w:r>
          </w:p>
        </w:tc>
        <w:tc>
          <w:tcPr>
            <w:tcW w:type="dxa" w:w="4876"/>
          </w:tcPr>
          <w:p>
            <w:pPr>
              <w:spacing w:after="20" w:before="20" w:line="240" w:lineRule="auto"/>
            </w:pPr>
            <w:r/>
            <w:r>
              <w:rPr>
                <w:sz w:val="16"/>
              </w:rPr>
              <w:t>check_extract.py summary</w:t>
            </w:r>
          </w:p>
        </w:tc>
      </w:tr>
      <w:tr>
        <w:tc>
          <w:tcPr>
            <w:tcW w:type="dxa" w:w="574"/>
          </w:tcPr>
          <w:p>
            <w:pPr>
              <w:spacing w:after="20" w:before="20" w:line="240" w:lineRule="auto"/>
            </w:pPr>
            <w:r/>
            <w:r>
              <w:rPr>
                <w:sz w:val="16"/>
              </w:rPr>
              <w:t>21</w:t>
            </w:r>
          </w:p>
        </w:tc>
        <w:tc>
          <w:tcPr>
            <w:tcW w:type="dxa" w:w="4302"/>
          </w:tcPr>
          <w:p>
            <w:pPr>
              <w:spacing w:after="20" w:before="20" w:line="240" w:lineRule="auto"/>
            </w:pPr>
            <w:r/>
            <w:r>
              <w:rPr>
                <w:sz w:val="16"/>
              </w:rPr>
              <w:t>The top-up share and the hit rate fall over time, with a step down after March 2024: hit rate 12.8% and 11.4% in the first two outcome windows, then 7.0% to 7.5% in the last four</w:t>
            </w:r>
          </w:p>
        </w:tc>
        <w:tc>
          <w:tcPr>
            <w:tcW w:type="dxa" w:w="4876"/>
          </w:tcPr>
          <w:p>
            <w:pPr>
              <w:spacing w:after="20" w:before="20" w:line="240" w:lineRule="auto"/>
            </w:pPr>
            <w:r/>
            <w:r>
              <w:rPr>
                <w:sz w:val="16"/>
              </w:rPr>
              <w:t>check_extract.py; to be raised with the Risk team (what changed around October 2024?)</w:t>
            </w:r>
          </w:p>
        </w:tc>
      </w:tr>
      <w:tr>
        <w:tc>
          <w:tcPr>
            <w:tcW w:type="dxa" w:w="574"/>
          </w:tcPr>
          <w:p>
            <w:pPr>
              <w:spacing w:after="20" w:before="20" w:line="240" w:lineRule="auto"/>
            </w:pPr>
            <w:r/>
            <w:r>
              <w:rPr>
                <w:sz w:val="16"/>
              </w:rPr>
              <w:t>22</w:t>
            </w:r>
          </w:p>
        </w:tc>
        <w:tc>
          <w:tcPr>
            <w:tcW w:type="dxa" w:w="4302"/>
          </w:tcPr>
          <w:p>
            <w:pPr>
              <w:spacing w:after="20" w:before="20" w:line="240" w:lineRule="auto"/>
            </w:pPr>
            <w:r/>
            <w:r>
              <w:rPr>
                <w:sz w:val="16"/>
              </w:rPr>
              <w:t>Lift is measured against each snapshot's own hit rate, not a fixed one, so the fall in base rate does not distort the comparison</w:t>
            </w:r>
          </w:p>
        </w:tc>
        <w:tc>
          <w:tcPr>
            <w:tcW w:type="dxa" w:w="4876"/>
          </w:tcPr>
          <w:p>
            <w:pPr>
              <w:spacing w:after="20" w:before="20" w:line="240" w:lineRule="auto"/>
            </w:pPr>
            <w:r/>
            <w:r>
              <w:rPr>
                <w:sz w:val="16"/>
              </w:rPr>
              <w:t>follows from 21; score_v2.py already does this</w:t>
            </w:r>
          </w:p>
        </w:tc>
      </w:tr>
      <w:tr>
        <w:tc>
          <w:tcPr>
            <w:tcW w:type="dxa" w:w="574"/>
          </w:tcPr>
          <w:p>
            <w:pPr>
              <w:spacing w:after="20" w:before="20" w:line="240" w:lineRule="auto"/>
            </w:pPr>
            <w:r/>
            <w:r>
              <w:rPr>
                <w:sz w:val="16"/>
              </w:rPr>
              <w:t>23</w:t>
            </w:r>
          </w:p>
        </w:tc>
        <w:tc>
          <w:tcPr>
            <w:tcW w:type="dxa" w:w="4302"/>
          </w:tcPr>
          <w:p>
            <w:pPr>
              <w:spacing w:after="20" w:before="20" w:line="240" w:lineRule="auto"/>
            </w:pPr>
            <w:r/>
            <w:r>
              <w:rPr>
                <w:sz w:val="16"/>
              </w:rPr>
              <w:t>86% to 87% of IM4 and IM7 taxpayers have fewer than 10 declarations</w:t>
            </w:r>
          </w:p>
        </w:tc>
        <w:tc>
          <w:tcPr>
            <w:tcW w:type="dxa" w:w="4876"/>
          </w:tcPr>
          <w:p>
            <w:pPr>
              <w:spacing w:after="20" w:before="20" w:line="240" w:lineRule="auto"/>
            </w:pPr>
            <w:r/>
            <w:r>
              <w:rPr>
                <w:sz w:val="16"/>
              </w:rPr>
              <w:t>carried to stage 3</w:t>
            </w:r>
          </w:p>
        </w:tc>
      </w:tr>
      <w:tr>
        <w:tc>
          <w:tcPr>
            <w:tcW w:type="dxa" w:w="574"/>
          </w:tcPr>
          <w:p>
            <w:pPr>
              <w:spacing w:after="20" w:before="20" w:line="240" w:lineRule="auto"/>
            </w:pPr>
            <w:r/>
            <w:r>
              <w:rPr>
                <w:sz w:val="16"/>
              </w:rPr>
              <w:t>24</w:t>
            </w:r>
          </w:p>
        </w:tc>
        <w:tc>
          <w:tcPr>
            <w:tcW w:type="dxa" w:w="4302"/>
          </w:tcPr>
          <w:p>
            <w:pPr>
              <w:spacing w:after="20" w:before="20" w:line="240" w:lineRule="auto"/>
            </w:pPr>
            <w:r/>
            <w:r>
              <w:rPr>
                <w:sz w:val="16"/>
              </w:rPr>
              <w:t>Extreme top-up ratios are real, not errors: they come from a tiny original tax (UGX 29 behind the 4,399) on taxpayers with 1 to 3 declarations</w:t>
            </w:r>
          </w:p>
        </w:tc>
        <w:tc>
          <w:tcPr>
            <w:tcW w:type="dxa" w:w="4876"/>
          </w:tcPr>
          <w:p>
            <w:pPr>
              <w:spacing w:after="20" w:before="20" w:line="240" w:lineRule="auto"/>
            </w:pPr>
            <w:r/>
            <w:r>
              <w:rPr>
                <w:sz w:val="16"/>
              </w:rPr>
              <w:t>look_top_up_ratio.py: 2,318 taxpayers above 1, 117 above 10 (Mar 2026); one regular importer (171 declarations) mostly zero-rated</w:t>
            </w:r>
          </w:p>
        </w:tc>
      </w:tr>
      <w:tr>
        <w:tc>
          <w:tcPr>
            <w:tcW w:type="dxa" w:w="574"/>
          </w:tcPr>
          <w:p>
            <w:pPr>
              <w:spacing w:after="20" w:before="20" w:line="240" w:lineRule="auto"/>
            </w:pPr>
            <w:r/>
            <w:r>
              <w:rPr>
                <w:sz w:val="16"/>
              </w:rPr>
              <w:t>25</w:t>
            </w:r>
          </w:p>
        </w:tc>
        <w:tc>
          <w:tcPr>
            <w:tcW w:type="dxa" w:w="4302"/>
          </w:tcPr>
          <w:p>
            <w:pPr>
              <w:spacing w:after="20" w:before="20" w:line="240" w:lineRule="auto"/>
            </w:pPr>
            <w:r/>
            <w:r>
              <w:rPr>
                <w:sz w:val="16"/>
              </w:rPr>
              <w:t>Live extract accepted: 57,501 taxpayers, 1.29 million declarations, 5.4% topped up, no outcome window</w:t>
            </w:r>
          </w:p>
        </w:tc>
        <w:tc>
          <w:tcPr>
            <w:tcW w:type="dxa" w:w="4876"/>
          </w:tcPr>
          <w:p>
            <w:pPr>
              <w:spacing w:after="20" w:before="20" w:line="240" w:lineRule="auto"/>
            </w:pPr>
            <w:r/>
            <w:r>
              <w:rPr>
                <w:sz w:val="16"/>
              </w:rPr>
              <w:t>check_extract.py</w:t>
            </w:r>
          </w:p>
        </w:tc>
      </w:tr>
      <w:tr>
        <w:tc>
          <w:tcPr>
            <w:tcW w:type="dxa" w:w="574"/>
          </w:tcPr>
          <w:p>
            <w:pPr>
              <w:spacing w:after="20" w:before="20" w:line="240" w:lineRule="auto"/>
            </w:pPr>
            <w:r/>
            <w:r>
              <w:rPr>
                <w:sz w:val="16"/>
              </w:rPr>
              <w:t>26</w:t>
            </w:r>
          </w:p>
        </w:tc>
        <w:tc>
          <w:tcPr>
            <w:tcW w:type="dxa" w:w="4302"/>
          </w:tcPr>
          <w:p>
            <w:pPr>
              <w:spacing w:after="20" w:before="20" w:line="240" w:lineRule="auto"/>
            </w:pPr>
            <w:r/>
            <w:r>
              <w:rPr>
                <w:sz w:val="16"/>
              </w:rPr>
              <w:t>One model file (ctrp_model.py) used by the notebook, the command line and production</w:t>
            </w:r>
          </w:p>
        </w:tc>
        <w:tc>
          <w:tcPr>
            <w:tcW w:type="dxa" w:w="4876"/>
          </w:tcPr>
          <w:p>
            <w:pPr>
              <w:spacing w:after="20" w:before="20" w:line="240" w:lineRule="auto"/>
            </w:pPr>
            <w:r/>
            <w:r>
              <w:rPr>
                <w:sz w:val="16"/>
              </w:rPr>
              <w:t>The same input always gives the same scores, whichever way it is run</w:t>
            </w:r>
          </w:p>
        </w:tc>
      </w:tr>
      <w:tr>
        <w:tc>
          <w:tcPr>
            <w:tcW w:type="dxa" w:w="574"/>
          </w:tcPr>
          <w:p>
            <w:pPr>
              <w:spacing w:after="20" w:before="20" w:line="240" w:lineRule="auto"/>
            </w:pPr>
            <w:r/>
            <w:r>
              <w:rPr>
                <w:sz w:val="16"/>
              </w:rPr>
              <w:t>27</w:t>
            </w:r>
          </w:p>
        </w:tc>
        <w:tc>
          <w:tcPr>
            <w:tcW w:type="dxa" w:w="4302"/>
          </w:tcPr>
          <w:p>
            <w:pPr>
              <w:spacing w:after="20" w:before="20" w:line="240" w:lineRule="auto"/>
            </w:pPr>
            <w:r/>
            <w:r>
              <w:rPr>
                <w:sz w:val="16"/>
              </w:rPr>
              <w:t>Officers' output is an Excel workbook with fixed sheets: Read me, Scores, Reasons, Parameter values, Band summary, Reason codes, Run info</w:t>
            </w:r>
          </w:p>
        </w:tc>
        <w:tc>
          <w:tcPr>
            <w:tcW w:type="dxa" w:w="4876"/>
          </w:tcPr>
          <w:p>
            <w:pPr>
              <w:spacing w:after="20" w:before="20" w:line="240" w:lineRule="auto"/>
            </w:pPr>
            <w:r/>
            <w:r>
              <w:rPr>
                <w:sz w:val="16"/>
              </w:rPr>
              <w:t>Officers learn it once; any two runs can be compared</w:t>
            </w:r>
          </w:p>
        </w:tc>
      </w:tr>
      <w:tr>
        <w:tc>
          <w:tcPr>
            <w:tcW w:type="dxa" w:w="574"/>
          </w:tcPr>
          <w:p>
            <w:pPr>
              <w:spacing w:after="20" w:before="20" w:line="240" w:lineRule="auto"/>
            </w:pPr>
            <w:r/>
            <w:r>
              <w:rPr>
                <w:sz w:val="16"/>
              </w:rPr>
              <w:t>28</w:t>
            </w:r>
          </w:p>
        </w:tc>
        <w:tc>
          <w:tcPr>
            <w:tcW w:type="dxa" w:w="4302"/>
          </w:tcPr>
          <w:p>
            <w:pPr>
              <w:spacing w:after="20" w:before="20" w:line="240" w:lineRule="auto"/>
            </w:pPr>
            <w:r/>
            <w:r>
              <w:rPr>
                <w:sz w:val="16"/>
              </w:rPr>
              <w:t>Every reason comes from a fixed sentence per code, ordered by points then code; notes (LIM, NPE, LAG, MIS) carry no points</w:t>
            </w:r>
          </w:p>
        </w:tc>
        <w:tc>
          <w:tcPr>
            <w:tcW w:type="dxa" w:w="4876"/>
          </w:tcPr>
          <w:p>
            <w:pPr>
              <w:spacing w:after="20" w:before="20" w:line="240" w:lineRule="auto"/>
            </w:pPr>
            <w:r/>
            <w:r>
              <w:rPr>
                <w:sz w:val="16"/>
              </w:rPr>
              <w:t>Two taxpayers with the same facts get the same words</w:t>
            </w:r>
          </w:p>
        </w:tc>
      </w:tr>
      <w:tr>
        <w:tc>
          <w:tcPr>
            <w:tcW w:type="dxa" w:w="574"/>
          </w:tcPr>
          <w:p>
            <w:pPr>
              <w:spacing w:after="20" w:before="20" w:line="240" w:lineRule="auto"/>
            </w:pPr>
            <w:r/>
            <w:r>
              <w:rPr>
                <w:sz w:val="16"/>
              </w:rPr>
              <w:t>29</w:t>
            </w:r>
          </w:p>
        </w:tc>
        <w:tc>
          <w:tcPr>
            <w:tcW w:type="dxa" w:w="4302"/>
          </w:tcPr>
          <w:p>
            <w:pPr>
              <w:spacing w:after="20" w:before="20" w:line="240" w:lineRule="auto"/>
            </w:pPr>
            <w:r/>
            <w:r>
              <w:rPr>
                <w:sz w:val="16"/>
              </w:rPr>
              <w:t>Each output carries the model version and a fingerprint of all settings</w:t>
            </w:r>
          </w:p>
        </w:tc>
        <w:tc>
          <w:tcPr>
            <w:tcW w:type="dxa" w:w="4876"/>
          </w:tcPr>
          <w:p>
            <w:pPr>
              <w:spacing w:after="20" w:before="20" w:line="240" w:lineRule="auto"/>
            </w:pPr>
            <w:r/>
            <w:r>
              <w:rPr>
                <w:sz w:val="16"/>
              </w:rPr>
              <w:t>Any score can be traced to the settings that produced it</w:t>
            </w:r>
          </w:p>
        </w:tc>
      </w:tr>
      <w:tr>
        <w:tc>
          <w:tcPr>
            <w:tcW w:type="dxa" w:w="574"/>
          </w:tcPr>
          <w:p>
            <w:pPr>
              <w:spacing w:after="20" w:before="20" w:line="240" w:lineRule="auto"/>
            </w:pPr>
            <w:r/>
            <w:r>
              <w:rPr>
                <w:sz w:val="16"/>
              </w:rPr>
              <w:t>30</w:t>
            </w:r>
          </w:p>
        </w:tc>
        <w:tc>
          <w:tcPr>
            <w:tcW w:type="dxa" w:w="4302"/>
          </w:tcPr>
          <w:p>
            <w:pPr>
              <w:spacing w:after="20" w:before="20" w:line="240" w:lineRule="auto"/>
            </w:pPr>
            <w:r/>
            <w:r>
              <w:rPr>
                <w:sz w:val="16"/>
              </w:rPr>
              <w:t>Consignee features dropped</w:t>
            </w:r>
          </w:p>
        </w:tc>
        <w:tc>
          <w:tcPr>
            <w:tcW w:type="dxa" w:w="4876"/>
          </w:tcPr>
          <w:p>
            <w:pPr>
              <w:spacing w:after="20" w:before="20" w:line="240" w:lineRule="auto"/>
            </w:pPr>
            <w:r/>
            <w:r>
              <w:rPr>
                <w:sz w:val="16"/>
              </w:rPr>
              <w:t>In IM4 and IM7 the consignee is always the taxpayer: no variation</w:t>
            </w:r>
          </w:p>
        </w:tc>
      </w:tr>
      <w:tr>
        <w:tc>
          <w:tcPr>
            <w:tcW w:type="dxa" w:w="574"/>
          </w:tcPr>
          <w:p>
            <w:pPr>
              <w:spacing w:after="20" w:before="20" w:line="240" w:lineRule="auto"/>
            </w:pPr>
            <w:r/>
            <w:r>
              <w:rPr>
                <w:sz w:val="16"/>
              </w:rPr>
              <w:t>31</w:t>
            </w:r>
          </w:p>
        </w:tc>
        <w:tc>
          <w:tcPr>
            <w:tcW w:type="dxa" w:w="4302"/>
          </w:tcPr>
          <w:p>
            <w:pPr>
              <w:spacing w:after="20" w:before="20" w:line="240" w:lineRule="auto"/>
            </w:pPr>
            <w:r/>
            <w:r>
              <w:rPr>
                <w:sz w:val="16"/>
              </w:rPr>
              <w:t>Credibility weighting at 10: each parameter = n/(n+10) x own value + 10/(n+10) x population average, n = declarations (items for PAR_076). Everyone is still scored</w:t>
            </w:r>
          </w:p>
        </w:tc>
        <w:tc>
          <w:tcPr>
            <w:tcW w:type="dxa" w:w="4876"/>
          </w:tcPr>
          <w:p>
            <w:pPr>
              <w:spacing w:after="20" w:before="20" w:line="240" w:lineRule="auto"/>
            </w:pPr>
            <w:r/>
            <w:r>
              <w:rPr>
                <w:sz w:val="16"/>
              </w:rPr>
              <w:t>Small-history taxpayers in HIGH or VERY HIGH fall from 5,151 to 2,314 (Mar 2026) with the same top-1% lift (4.1). Agreed with Data Science; 10 to be re-checked once thresholds are set</w:t>
            </w:r>
          </w:p>
        </w:tc>
      </w:tr>
      <w:tr>
        <w:tc>
          <w:tcPr>
            <w:tcW w:type="dxa" w:w="574"/>
          </w:tcPr>
          <w:p>
            <w:pPr>
              <w:spacing w:after="20" w:before="20" w:line="240" w:lineRule="auto"/>
            </w:pPr>
            <w:r/>
            <w:r>
              <w:rPr>
                <w:sz w:val="16"/>
              </w:rPr>
              <w:t>32</w:t>
            </w:r>
          </w:p>
        </w:tc>
        <w:tc>
          <w:tcPr>
            <w:tcW w:type="dxa" w:w="4302"/>
          </w:tcPr>
          <w:p>
            <w:pPr>
              <w:spacing w:after="20" w:before="20" w:line="240" w:lineRule="auto"/>
            </w:pPr>
            <w:r/>
            <w:r>
              <w:rPr>
                <w:sz w:val="16"/>
              </w:rPr>
              <w:t>PAR_048 measured as top-ups over FINAL tax; officers' 6% and 33% become 5.7% and 24.8%</w:t>
            </w:r>
          </w:p>
        </w:tc>
        <w:tc>
          <w:tcPr>
            <w:tcW w:type="dxa" w:w="4876"/>
          </w:tcPr>
          <w:p>
            <w:pPr>
              <w:spacing w:after="20" w:before="20" w:line="240" w:lineRule="auto"/>
            </w:pPr>
            <w:r/>
            <w:r>
              <w:rPr>
                <w:sz w:val="16"/>
              </w:rPr>
              <w:t>Over original tax a declared tax of UGX 29 gave 4,399; a few outliers should not set the scale for everyone. Agreed with Data Science</w:t>
            </w:r>
          </w:p>
        </w:tc>
      </w:tr>
      <w:tr>
        <w:tc>
          <w:tcPr>
            <w:tcW w:type="dxa" w:w="574"/>
          </w:tcPr>
          <w:p>
            <w:pPr>
              <w:spacing w:after="20" w:before="20" w:line="240" w:lineRule="auto"/>
            </w:pPr>
            <w:r/>
            <w:r>
              <w:rPr>
                <w:sz w:val="16"/>
              </w:rPr>
              <w:t>33</w:t>
            </w:r>
          </w:p>
        </w:tc>
        <w:tc>
          <w:tcPr>
            <w:tcW w:type="dxa" w:w="4302"/>
          </w:tcPr>
          <w:p>
            <w:pPr>
              <w:spacing w:after="20" w:before="20" w:line="240" w:lineRule="auto"/>
            </w:pPr>
            <w:r/>
            <w:r>
              <w:rPr>
                <w:sz w:val="16"/>
              </w:rPr>
              <w:t>PAR_077 / PAR_048 overlap: score one, show the other as information with no points; which one is decided by back-test</w:t>
            </w:r>
          </w:p>
        </w:tc>
        <w:tc>
          <w:tcPr>
            <w:tcW w:type="dxa" w:w="4876"/>
          </w:tcPr>
          <w:p>
            <w:pPr>
              <w:spacing w:after="20" w:before="20" w:line="240" w:lineRule="auto"/>
            </w:pPr>
            <w:r/>
            <w:r>
              <w:rPr>
                <w:sz w:val="16"/>
              </w:rPr>
              <w:t>Correlation 0.76. Agreed with Data Science</w:t>
            </w:r>
          </w:p>
        </w:tc>
      </w:tr>
      <w:tr>
        <w:tc>
          <w:tcPr>
            <w:tcW w:type="dxa" w:w="574"/>
          </w:tcPr>
          <w:p>
            <w:pPr>
              <w:spacing w:after="20" w:before="20" w:line="240" w:lineRule="auto"/>
            </w:pPr>
            <w:r/>
            <w:r>
              <w:rPr>
                <w:sz w:val="16"/>
              </w:rPr>
              <w:t>34</w:t>
            </w:r>
          </w:p>
        </w:tc>
        <w:tc>
          <w:tcPr>
            <w:tcW w:type="dxa" w:w="4302"/>
          </w:tcPr>
          <w:p>
            <w:pPr>
              <w:spacing w:after="20" w:before="20" w:line="240" w:lineRule="auto"/>
            </w:pPr>
            <w:r/>
            <w:r>
              <w:rPr>
                <w:sz w:val="16"/>
              </w:rPr>
              <w:t>Thresholds: test the officers' thresholds against the provisional ones, and keep testing until settled</w:t>
            </w:r>
          </w:p>
        </w:tc>
        <w:tc>
          <w:tcPr>
            <w:tcW w:type="dxa" w:w="4876"/>
          </w:tcPr>
          <w:p>
            <w:pPr>
              <w:spacing w:after="20" w:before="20" w:line="240" w:lineRule="auto"/>
            </w:pPr>
            <w:r/>
            <w:r>
              <w:rPr>
                <w:sz w:val="16"/>
              </w:rPr>
              <w:t>Agreed with Data Science. Officers' workbook received: profiles two officer profiles built into ctrp_model.py</w:t>
            </w:r>
          </w:p>
        </w:tc>
      </w:tr>
      <w:tr>
        <w:tc>
          <w:tcPr>
            <w:tcW w:type="dxa" w:w="574"/>
          </w:tcPr>
          <w:p>
            <w:pPr>
              <w:spacing w:after="20" w:before="20" w:line="240" w:lineRule="auto"/>
            </w:pPr>
            <w:r/>
            <w:r>
              <w:rPr>
                <w:sz w:val="16"/>
              </w:rPr>
              <w:t>35</w:t>
            </w:r>
          </w:p>
        </w:tc>
        <w:tc>
          <w:tcPr>
            <w:tcW w:type="dxa" w:w="4302"/>
          </w:tcPr>
          <w:p>
            <w:pPr>
              <w:spacing w:after="20" w:before="20" w:line="240" w:lineRule="auto"/>
            </w:pPr>
            <w:r/>
            <w:r>
              <w:rPr>
                <w:sz w:val="16"/>
              </w:rPr>
              <w:t>Weighting can only lower a value, never raise it</w:t>
            </w:r>
          </w:p>
        </w:tc>
        <w:tc>
          <w:tcPr>
            <w:tcW w:type="dxa" w:w="4876"/>
          </w:tcPr>
          <w:p>
            <w:pPr>
              <w:spacing w:after="20" w:before="20" w:line="240" w:lineRule="auto"/>
            </w:pPr>
            <w:r/>
            <w:r>
              <w:rPr>
                <w:sz w:val="16"/>
              </w:rPr>
              <w:t>Two-way weighting gave clean small traders points for the population's behaviour; one-way spares them without inventing risk</w:t>
            </w:r>
          </w:p>
        </w:tc>
      </w:tr>
      <w:tr>
        <w:tc>
          <w:tcPr>
            <w:tcW w:type="dxa" w:w="574"/>
          </w:tcPr>
          <w:p>
            <w:pPr>
              <w:spacing w:after="20" w:before="20" w:line="240" w:lineRule="auto"/>
            </w:pPr>
            <w:r/>
            <w:r>
              <w:rPr>
                <w:sz w:val="16"/>
              </w:rPr>
              <w:t>36</w:t>
            </w:r>
          </w:p>
        </w:tc>
        <w:tc>
          <w:tcPr>
            <w:tcW w:type="dxa" w:w="4302"/>
          </w:tcPr>
          <w:p>
            <w:pPr>
              <w:spacing w:after="20" w:before="20" w:line="240" w:lineRule="auto"/>
            </w:pPr>
            <w:r/>
            <w:r>
              <w:rPr>
                <w:sz w:val="16"/>
              </w:rPr>
              <w:t>Feature query version 2: price against own history, duty rate against HS peers, same-day splitting, new traders, per-origin price benchmark, price deviation (Feature Document 3.1, 3.4, 3.5)</w:t>
            </w:r>
          </w:p>
        </w:tc>
        <w:tc>
          <w:tcPr>
            <w:tcW w:type="dxa" w:w="4876"/>
          </w:tcPr>
          <w:p>
            <w:pPr>
              <w:spacing w:after="20" w:before="20" w:line="240" w:lineRule="auto"/>
            </w:pPr>
            <w:r/>
            <w:r>
              <w:rPr>
                <w:sz w:val="16"/>
              </w:rPr>
              <w:t>Agreed with Data Science (items 1 to 7). Needs all seven extracts re-run</w:t>
            </w:r>
          </w:p>
        </w:tc>
      </w:tr>
      <w:tr>
        <w:tc>
          <w:tcPr>
            <w:tcW w:type="dxa" w:w="574"/>
          </w:tcPr>
          <w:p>
            <w:pPr>
              <w:spacing w:after="20" w:before="20" w:line="240" w:lineRule="auto"/>
            </w:pPr>
            <w:r/>
            <w:r>
              <w:rPr>
                <w:sz w:val="16"/>
              </w:rPr>
              <w:t>37</w:t>
            </w:r>
          </w:p>
        </w:tc>
        <w:tc>
          <w:tcPr>
            <w:tcW w:type="dxa" w:w="4302"/>
          </w:tcPr>
          <w:p>
            <w:pPr>
              <w:spacing w:after="20" w:before="20" w:line="240" w:lineRule="auto"/>
            </w:pPr>
            <w:r/>
            <w:r>
              <w:rPr>
                <w:sz w:val="16"/>
              </w:rPr>
              <w:t>PAR_045 stays as amendments</w:t>
            </w:r>
          </w:p>
        </w:tc>
        <w:tc>
          <w:tcPr>
            <w:tcW w:type="dxa" w:w="4876"/>
          </w:tcPr>
          <w:p>
            <w:pPr>
              <w:spacing w:after="20" w:before="20" w:line="240" w:lineRule="auto"/>
            </w:pPr>
            <w:r/>
            <w:r>
              <w:rPr>
                <w:sz w:val="16"/>
              </w:rPr>
              <w:t>Data Science's decision</w:t>
            </w:r>
          </w:p>
        </w:tc>
      </w:tr>
      <w:tr>
        <w:tc>
          <w:tcPr>
            <w:tcW w:type="dxa" w:w="574"/>
          </w:tcPr>
          <w:p>
            <w:pPr>
              <w:spacing w:after="20" w:before="20" w:line="240" w:lineRule="auto"/>
            </w:pPr>
            <w:r/>
            <w:r>
              <w:rPr>
                <w:sz w:val="16"/>
              </w:rPr>
              <w:t>38</w:t>
            </w:r>
          </w:p>
        </w:tc>
        <w:tc>
          <w:tcPr>
            <w:tcW w:type="dxa" w:w="4302"/>
          </w:tcPr>
          <w:p>
            <w:pPr>
              <w:spacing w:after="20" w:before="20" w:line="240" w:lineRule="auto"/>
            </w:pPr>
            <w:r/>
            <w:r>
              <w:rPr>
                <w:sz w:val="16"/>
              </w:rPr>
              <w:t>Splitting protected for bulk goods: HS chapters 25 and 27 and fuel EPCs 4080/7180 excluded; every other HS code measured against how often all importers repeat it on the same day (excess over the norm)</w:t>
            </w:r>
          </w:p>
        </w:tc>
        <w:tc>
          <w:tcPr>
            <w:tcW w:type="dxa" w:w="4876"/>
          </w:tcPr>
          <w:p>
            <w:pPr>
              <w:spacing w:after="20" w:before="20" w:line="240" w:lineRule="auto"/>
            </w:pPr>
            <w:r/>
            <w:r>
              <w:rPr>
                <w:sz w:val="16"/>
              </w:rPr>
              <w:t>Data Science: construction and fuel legitimately arrive as many same-day declarations</w:t>
            </w:r>
          </w:p>
        </w:tc>
      </w:tr>
      <w:tr>
        <w:tc>
          <w:tcPr>
            <w:tcW w:type="dxa" w:w="574"/>
          </w:tcPr>
          <w:p>
            <w:pPr>
              <w:spacing w:after="20" w:before="20" w:line="240" w:lineRule="auto"/>
            </w:pPr>
            <w:r/>
            <w:r>
              <w:rPr>
                <w:sz w:val="16"/>
              </w:rPr>
              <w:t>39</w:t>
            </w:r>
          </w:p>
        </w:tc>
        <w:tc>
          <w:tcPr>
            <w:tcW w:type="dxa" w:w="4302"/>
          </w:tcPr>
          <w:p>
            <w:pPr>
              <w:spacing w:after="20" w:before="20" w:line="240" w:lineRule="auto"/>
            </w:pPr>
            <w:r/>
            <w:r>
              <w:rPr>
                <w:sz w:val="16"/>
              </w:rPr>
              <w:t>Duty rate compared only on items with no exemption claimed (APC 000); exemption use and use of the memo's watch-list APCs (404, 409, 417, 451, 455, 457, 476, 479, 481, 482, 484) measured separately</w:t>
            </w:r>
          </w:p>
        </w:tc>
        <w:tc>
          <w:tcPr>
            <w:tcW w:type="dxa" w:w="4876"/>
          </w:tcPr>
          <w:p>
            <w:pPr>
              <w:spacing w:after="20" w:before="20" w:line="240" w:lineRule="auto"/>
            </w:pPr>
            <w:r/>
            <w:r>
              <w:rPr>
                <w:sz w:val="16"/>
              </w:rPr>
              <w:t>AC-Trade memo CUS/T/9.5.5 (19 Nov 2025): an APC claims a rebate or exemption, so a low rate under one is expected; the memo marks the watch-list "look out for possible abuse"</w:t>
            </w:r>
          </w:p>
        </w:tc>
      </w:tr>
      <w:tr>
        <w:tc>
          <w:tcPr>
            <w:tcW w:type="dxa" w:w="574"/>
          </w:tcPr>
          <w:p>
            <w:pPr>
              <w:spacing w:after="20" w:before="20" w:line="240" w:lineRule="auto"/>
            </w:pPr>
            <w:r/>
            <w:r>
              <w:rPr>
                <w:sz w:val="16"/>
              </w:rPr>
              <w:t>40</w:t>
            </w:r>
          </w:p>
        </w:tc>
        <w:tc>
          <w:tcPr>
            <w:tcW w:type="dxa" w:w="4302"/>
          </w:tcPr>
          <w:p>
            <w:pPr>
              <w:spacing w:after="20" w:before="20" w:line="240" w:lineRule="auto"/>
            </w:pPr>
            <w:r/>
            <w:r>
              <w:rPr>
                <w:sz w:val="16"/>
              </w:rPr>
              <w:t>PAR_048 uses an officer's band (5% to 25% of final tax), PAR_105 the officers' yes/no (top-up within 180 days)</w:t>
            </w:r>
          </w:p>
        </w:tc>
        <w:tc>
          <w:tcPr>
            <w:tcW w:type="dxa" w:w="4876"/>
          </w:tcPr>
          <w:p>
            <w:pPr>
              <w:spacing w:after="20" w:before="20" w:line="240" w:lineRule="auto"/>
            </w:pPr>
            <w:r/>
            <w:r>
              <w:rPr>
                <w:sz w:val="16"/>
              </w:rPr>
              <w:t>Same ranking quality as the provisional values; officer-sourced</w:t>
            </w:r>
          </w:p>
        </w:tc>
      </w:tr>
      <w:tr>
        <w:tc>
          <w:tcPr>
            <w:tcW w:type="dxa" w:w="574"/>
          </w:tcPr>
          <w:p>
            <w:pPr>
              <w:spacing w:after="20" w:before="20" w:line="240" w:lineRule="auto"/>
            </w:pPr>
            <w:r/>
            <w:r>
              <w:rPr>
                <w:sz w:val="16"/>
              </w:rPr>
              <w:t>41</w:t>
            </w:r>
          </w:p>
        </w:tc>
        <w:tc>
          <w:tcPr>
            <w:tcW w:type="dxa" w:w="4302"/>
          </w:tcPr>
          <w:p>
            <w:pPr>
              <w:spacing w:after="20" w:before="20" w:line="240" w:lineRule="auto"/>
            </w:pPr>
            <w:r/>
            <w:r>
              <w:rPr>
                <w:sz w:val="16"/>
              </w:rPr>
              <w:t>Every agreed parameter with data is scored; weights set from the evidence (Data Science working ratings, to be confirmed with the officers): PAR_045T 33%, PAR_077 26%, PAR_045 21%, PAR_048, PAR_076, PAR_066, PAR_105, PAR_023 4% each</w:t>
            </w:r>
          </w:p>
        </w:tc>
        <w:tc>
          <w:tcPr>
            <w:tcW w:type="dxa" w:w="4876"/>
          </w:tcPr>
          <w:p>
            <w:pPr>
              <w:spacing w:after="20" w:before="20" w:line="240" w:lineRule="auto"/>
            </w:pPr>
            <w:r/>
            <w:r>
              <w:rPr>
                <w:sz w:val="16"/>
              </w:rPr>
              <w:t>All eight with evidence-based weights: lift 4.6 / 4.5 / 4.1, beats baseline 6 / 4 / 4 of 6. The three-parameter lean card: 4.9 / 4.3 / 4.2 and 6 / 4 / 3. Scoring all of them costs nothing and keeps every agreed parameter in the score</w:t>
            </w:r>
          </w:p>
        </w:tc>
      </w:tr>
      <w:tr>
        <w:tc>
          <w:tcPr>
            <w:tcW w:type="dxa" w:w="574"/>
          </w:tcPr>
          <w:p>
            <w:pPr>
              <w:spacing w:after="20" w:before="20" w:line="240" w:lineRule="auto"/>
            </w:pPr>
            <w:r/>
            <w:r>
              <w:rPr>
                <w:sz w:val="16"/>
              </w:rPr>
              <w:t>42</w:t>
            </w:r>
          </w:p>
        </w:tc>
        <w:tc>
          <w:tcPr>
            <w:tcW w:type="dxa" w:w="4302"/>
          </w:tcPr>
          <w:p>
            <w:pPr>
              <w:spacing w:after="20" w:before="20" w:line="240" w:lineRule="auto"/>
            </w:pPr>
            <w:r/>
            <w:r>
              <w:rPr>
                <w:sz w:val="16"/>
              </w:rPr>
              <w:t>PAR_045T = the officers' PAR_045 business rule (share of declarations topped up): concern 3% (officers), maximum 40% (not 10%)</w:t>
            </w:r>
          </w:p>
        </w:tc>
        <w:tc>
          <w:tcPr>
            <w:tcW w:type="dxa" w:w="4876"/>
          </w:tcPr>
          <w:p>
            <w:pPr>
              <w:spacing w:after="20" w:before="20" w:line="240" w:lineRule="auto"/>
            </w:pPr>
            <w:r/>
            <w:r>
              <w:rPr>
                <w:sz w:val="16"/>
              </w:rPr>
              <w:t>At a 10% maximum, 35% of regular traders score full points and the scale stops ranking. To be explained to the officers</w:t>
            </w:r>
          </w:p>
        </w:tc>
      </w:tr>
      <w:tr>
        <w:tc>
          <w:tcPr>
            <w:tcW w:type="dxa" w:w="574"/>
          </w:tcPr>
          <w:p>
            <w:pPr>
              <w:spacing w:after="20" w:before="20" w:line="240" w:lineRule="auto"/>
            </w:pPr>
            <w:r/>
            <w:r>
              <w:rPr>
                <w:sz w:val="16"/>
              </w:rPr>
              <w:t>43</w:t>
            </w:r>
          </w:p>
        </w:tc>
        <w:tc>
          <w:tcPr>
            <w:tcW w:type="dxa" w:w="4302"/>
          </w:tcPr>
          <w:p>
            <w:pPr>
              <w:spacing w:after="20" w:before="20" w:line="240" w:lineRule="auto"/>
            </w:pPr>
            <w:r/>
            <w:r>
              <w:rPr>
                <w:sz w:val="16"/>
              </w:rPr>
              <w:t>APC 483 excluded from the features</w:t>
            </w:r>
          </w:p>
        </w:tc>
        <w:tc>
          <w:tcPr>
            <w:tcW w:type="dxa" w:w="4876"/>
          </w:tcPr>
          <w:p>
            <w:pPr>
              <w:spacing w:after="20" w:before="20" w:line="240" w:lineRule="auto"/>
            </w:pPr>
            <w:r/>
            <w:r>
              <w:rPr>
                <w:sz w:val="16"/>
              </w:rPr>
              <w:t>CPC memo: destroyed or abandoned declarations and dummy reconciliation entries. To be confirmed with the Risk Officers</w:t>
            </w:r>
          </w:p>
        </w:tc>
      </w:tr>
      <w:tr>
        <w:tc>
          <w:tcPr>
            <w:tcW w:type="dxa" w:w="574"/>
          </w:tcPr>
          <w:p>
            <w:pPr>
              <w:spacing w:after="20" w:before="20" w:line="240" w:lineRule="auto"/>
            </w:pPr>
            <w:r/>
            <w:r>
              <w:rPr>
                <w:sz w:val="16"/>
              </w:rPr>
              <w:t>44</w:t>
            </w:r>
          </w:p>
        </w:tc>
        <w:tc>
          <w:tcPr>
            <w:tcW w:type="dxa" w:w="4302"/>
          </w:tcPr>
          <w:p>
            <w:pPr>
              <w:spacing w:after="20" w:before="20" w:line="240" w:lineRule="auto"/>
            </w:pPr>
            <w:r/>
            <w:r>
              <w:rPr>
                <w:sz w:val="16"/>
              </w:rPr>
              <w:t>Peer groups = main goods (HS section) x size tier, not HDBSCAN</w:t>
            </w:r>
          </w:p>
        </w:tc>
        <w:tc>
          <w:tcPr>
            <w:tcW w:type="dxa" w:w="4876"/>
          </w:tcPr>
          <w:p>
            <w:pPr>
              <w:spacing w:after="20" w:before="20" w:line="240" w:lineRule="auto"/>
            </w:pPr>
            <w:r/>
            <w:r>
              <w:rPr>
                <w:sz w:val="16"/>
              </w:rPr>
              <w:t>HDBSCAN left 77% of regular traders without peers; section x size gives 48 named groups (e.g. "Textiles, large") with 2.5% pooled. Ranking quality about the same</w:t>
            </w:r>
          </w:p>
        </w:tc>
      </w:tr>
      <w:tr>
        <w:tc>
          <w:tcPr>
            <w:tcW w:type="dxa" w:w="574"/>
          </w:tcPr>
          <w:p>
            <w:pPr>
              <w:spacing w:after="20" w:before="20" w:line="240" w:lineRule="auto"/>
            </w:pPr>
            <w:r/>
            <w:r>
              <w:rPr>
                <w:sz w:val="16"/>
              </w:rPr>
              <w:t>45</w:t>
            </w:r>
          </w:p>
        </w:tc>
        <w:tc>
          <w:tcPr>
            <w:tcW w:type="dxa" w:w="4302"/>
          </w:tcPr>
          <w:p>
            <w:pPr>
              <w:spacing w:after="20" w:before="20" w:line="240" w:lineRule="auto"/>
            </w:pPr>
            <w:r/>
            <w:r>
              <w:rPr>
                <w:sz w:val="16"/>
              </w:rPr>
              <w:t>HDBSCAN removed from the model code (ctrp_model.py). Peer groups stay main goods (HS section) x size tier (44). The HDBSCAN test stays in the notebook (section 4) as the record of why</w:t>
            </w:r>
          </w:p>
        </w:tc>
        <w:tc>
          <w:tcPr>
            <w:tcW w:type="dxa" w:w="4876"/>
          </w:tcPr>
          <w:p>
            <w:pPr>
              <w:spacing w:after="20" w:before="20" w:line="240" w:lineRule="auto"/>
            </w:pPr>
            <w:r/>
            <w:r>
              <w:rPr>
                <w:sz w:val="16"/>
              </w:rPr>
              <w:t>77.1% of regular taxpayers unclustered; the 6 groups are piles of single-product traders on identical counts; loosening settings only reaches about 70%. Pattern check lift with HDBSCAN groups 4.41 / 4.44 / 3.96 and with section x size 4.09 / 4.34 / 3.88, both below no pattern points 4.62 / 4.49 / 4.05. Data Science agreed</w:t>
            </w:r>
          </w:p>
        </w:tc>
      </w:tr>
      <w:tr>
        <w:tc>
          <w:tcPr>
            <w:tcW w:type="dxa" w:w="574"/>
          </w:tcPr>
          <w:p>
            <w:pPr>
              <w:spacing w:after="20" w:before="20" w:line="240" w:lineRule="auto"/>
            </w:pPr>
            <w:r/>
            <w:r>
              <w:rPr>
                <w:sz w:val="16"/>
              </w:rPr>
              <w:t>46</w:t>
            </w:r>
          </w:p>
        </w:tc>
        <w:tc>
          <w:tcPr>
            <w:tcW w:type="dxa" w:w="4302"/>
          </w:tcPr>
          <w:p>
            <w:pPr>
              <w:spacing w:after="20" w:before="20" w:line="240" w:lineRule="auto"/>
            </w:pPr>
            <w:r/>
            <w:r>
              <w:rPr>
                <w:sz w:val="16"/>
              </w:rPr>
              <w:t>Pattern check is a NOTE with no points (version 1.0.0-dev4). The note (PAT) is written when a regular taxpayer is more unusual than 95% of their peer group (413 taxpayers in Mar 2026)</w:t>
            </w:r>
          </w:p>
        </w:tc>
        <w:tc>
          <w:tcPr>
            <w:tcW w:type="dxa" w:w="4876"/>
          </w:tcPr>
          <w:p>
            <w:pPr>
              <w:spacing w:after="20" w:before="20" w:line="240" w:lineRule="auto"/>
            </w:pPr>
            <w:r/>
            <w:r>
              <w:rPr>
                <w:sz w:val="16"/>
              </w:rPr>
              <w:t>Best lift at every cut-off with 0 points (table above); unusual taxpayers under 15 scorecard points were later hit 2.4% vs 2.8% for usual ones. 95th percentile, not 80th, so the note stays rare enough for officers to read. Data Science's decision</w:t>
            </w:r>
          </w:p>
        </w:tc>
      </w:tr>
      <w:tr>
        <w:tc>
          <w:tcPr>
            <w:tcW w:type="dxa" w:w="574"/>
          </w:tcPr>
          <w:p>
            <w:pPr>
              <w:spacing w:after="20" w:before="20" w:line="240" w:lineRule="auto"/>
            </w:pPr>
            <w:r/>
            <w:r>
              <w:rPr>
                <w:sz w:val="16"/>
              </w:rPr>
              <w:t>47</w:t>
            </w:r>
          </w:p>
        </w:tc>
        <w:tc>
          <w:tcPr>
            <w:tcW w:type="dxa" w:w="4302"/>
          </w:tcPr>
          <w:p>
            <w:pPr>
              <w:spacing w:after="20" w:before="20" w:line="240" w:lineRule="auto"/>
            </w:pPr>
            <w:r/>
            <w:r>
              <w:rPr>
                <w:sz w:val="16"/>
              </w:rPr>
              <w:t>The scorecard stays the release 1 model. Monotone boosting on the same 8 inputs and the learned-weight logistic scorecard go forward as round 2 challengers</w:t>
            </w:r>
          </w:p>
        </w:tc>
        <w:tc>
          <w:tcPr>
            <w:tcW w:type="dxa" w:w="4876"/>
          </w:tcPr>
          <w:p>
            <w:pPr>
              <w:spacing w:after="20" w:before="20" w:line="240" w:lineRule="auto"/>
            </w:pPr>
            <w:r/>
            <w:r>
              <w:rPr>
                <w:sz w:val="16"/>
              </w:rPr>
              <w:t>Boosting: lift +0.4 at 5%, 5% more hits, same revenue and trader mix, but better in 3 of 4 tests and worse in 1, trained on selectivity-driven outcomes, and its reasons would need re-wording. The scorecard is explainable in officers' own thresholds. Proposed to Data Science</w:t>
            </w:r>
          </w:p>
        </w:tc>
      </w:tr>
      <w:tr>
        <w:tc>
          <w:tcPr>
            <w:tcW w:type="dxa" w:w="574"/>
          </w:tcPr>
          <w:p>
            <w:pPr>
              <w:spacing w:after="20" w:before="20" w:line="240" w:lineRule="auto"/>
            </w:pPr>
            <w:r/>
            <w:r>
              <w:rPr>
                <w:sz w:val="16"/>
              </w:rPr>
              <w:t>48</w:t>
            </w:r>
          </w:p>
        </w:tc>
        <w:tc>
          <w:tcPr>
            <w:tcW w:type="dxa" w:w="4302"/>
          </w:tcPr>
          <w:p>
            <w:pPr>
              <w:spacing w:after="20" w:before="20" w:line="240" w:lineRule="auto"/>
            </w:pPr>
            <w:r/>
            <w:r>
              <w:rPr>
                <w:sz w:val="16"/>
              </w:rPr>
              <w:t>Lift is never reported alone: every comparison also shows hits caught, revenue captured and the share of small traders in the top group</w:t>
            </w:r>
          </w:p>
        </w:tc>
        <w:tc>
          <w:tcPr>
            <w:tcW w:type="dxa" w:w="4876"/>
          </w:tcPr>
          <w:p>
            <w:pPr>
              <w:spacing w:after="20" w:before="20" w:line="240" w:lineRule="auto"/>
            </w:pPr>
            <w:r/>
            <w:r>
              <w:rPr>
                <w:sz w:val="16"/>
              </w:rPr>
              <w:t>"Boosting + size" reaches lift 6.3 by filling the top 5% with one-off importers (83% small): fewer hits (3,508 vs 5,522) and 19% of revenue vs 45%</w:t>
            </w:r>
          </w:p>
        </w:tc>
      </w:tr>
      <w:tr>
        <w:tc>
          <w:tcPr>
            <w:tcW w:type="dxa" w:w="574"/>
          </w:tcPr>
          <w:p>
            <w:pPr>
              <w:spacing w:after="20" w:before="20" w:line="240" w:lineRule="auto"/>
            </w:pPr>
            <w:r/>
            <w:r>
              <w:rPr>
                <w:sz w:val="16"/>
              </w:rPr>
              <w:t>49</w:t>
            </w:r>
          </w:p>
        </w:tc>
        <w:tc>
          <w:tcPr>
            <w:tcW w:type="dxa" w:w="4302"/>
          </w:tcPr>
          <w:p>
            <w:pPr>
              <w:spacing w:after="20" w:before="20" w:line="240" w:lineRule="auto"/>
            </w:pPr>
            <w:r/>
            <w:r>
              <w:rPr>
                <w:sz w:val="16"/>
              </w:rPr>
              <w:t>Data-estimated shrinkage not adopted; one-way weighting at K = 10 stays</w:t>
            </w:r>
          </w:p>
        </w:tc>
        <w:tc>
          <w:tcPr>
            <w:tcW w:type="dxa" w:w="4876"/>
          </w:tcPr>
          <w:p>
            <w:pPr>
              <w:spacing w:after="20" w:before="20" w:line="240" w:lineRule="auto"/>
            </w:pPr>
            <w:r/>
            <w:r>
              <w:rPr>
                <w:sz w:val="16"/>
              </w:rPr>
              <w:t>The data put K at about 3 for top-up and amendment rates, so two-way shrinkage moved small traders to the top (78% of the top 5%) and lost hits (2,238 vs 5,522)</w:t>
            </w:r>
          </w:p>
        </w:tc>
      </w:tr>
      <w:tr>
        <w:tc>
          <w:tcPr>
            <w:tcW w:type="dxa" w:w="574"/>
          </w:tcPr>
          <w:p>
            <w:pPr>
              <w:spacing w:after="20" w:before="20" w:line="240" w:lineRule="auto"/>
            </w:pPr>
            <w:r/>
            <w:r>
              <w:rPr>
                <w:sz w:val="16"/>
              </w:rPr>
              <w:t>50</w:t>
            </w:r>
          </w:p>
        </w:tc>
        <w:tc>
          <w:tcPr>
            <w:tcW w:type="dxa" w:w="4302"/>
          </w:tcPr>
          <w:p>
            <w:pPr>
              <w:spacing w:after="20" w:before="20" w:line="240" w:lineRule="auto"/>
            </w:pPr>
            <w:r/>
            <w:r>
              <w:rPr>
                <w:sz w:val="16"/>
              </w:rPr>
              <w:t>The four Scope and Design candidates (peer comparison, ensemble, K-Means, Gaussian mixture), even with one-sided features, lose on lift in 4 of 4 tests. Not pursued as scorers</w:t>
            </w:r>
          </w:p>
        </w:tc>
        <w:tc>
          <w:tcPr>
            <w:tcW w:type="dxa" w:w="4876"/>
          </w:tcPr>
          <w:p>
            <w:pPr>
              <w:spacing w:after="20" w:before="20" w:line="240" w:lineRule="auto"/>
            </w:pPr>
            <w:r/>
            <w:r>
              <w:rPr>
                <w:sz w:val="16"/>
              </w:rPr>
              <w:t>Table above. They capture as much or more revenue by picking large, high-volume traders, which is a different objective (see open question)</w:t>
            </w:r>
          </w:p>
        </w:tc>
      </w:tr>
      <w:tr>
        <w:tc>
          <w:tcPr>
            <w:tcW w:type="dxa" w:w="574"/>
          </w:tcPr>
          <w:p>
            <w:pPr>
              <w:spacing w:after="20" w:before="20" w:line="240" w:lineRule="auto"/>
            </w:pPr>
            <w:r/>
            <w:r>
              <w:rPr>
                <w:sz w:val="16"/>
              </w:rPr>
              <w:t>51</w:t>
            </w:r>
          </w:p>
        </w:tc>
        <w:tc>
          <w:tcPr>
            <w:tcW w:type="dxa" w:w="4302"/>
          </w:tcPr>
          <w:p>
            <w:pPr>
              <w:spacing w:after="20" w:before="20" w:line="240" w:lineRule="auto"/>
            </w:pPr>
            <w:r/>
            <w:r>
              <w:rPr>
                <w:sz w:val="16"/>
              </w:rPr>
              <w:t>Finding for the ratings session: learned weights put about 76% on PAR_045T, 14% on PAR_066, 6% on PAR_077 and nothing on PAR_045 amendments once top-ups are known</w:t>
            </w:r>
          </w:p>
        </w:tc>
        <w:tc>
          <w:tcPr>
            <w:tcW w:type="dxa" w:w="4876"/>
          </w:tcPr>
          <w:p>
            <w:pPr>
              <w:spacing w:after="20" w:before="20" w:line="240" w:lineRule="auto"/>
            </w:pPr>
            <w:r/>
            <w:r>
              <w:rPr>
                <w:sz w:val="16"/>
              </w:rPr>
              <w:t>Average positive logistic weights over the four tests; expert weights are 33% / 4% / 26% / 21%. Learned weights inherit selectivity bias, so they are evidence for the discussion, not a replacement</w:t>
            </w:r>
          </w:p>
        </w:tc>
      </w:tr>
      <w:tr>
        <w:tc>
          <w:tcPr>
            <w:tcW w:type="dxa" w:w="574"/>
          </w:tcPr>
          <w:p>
            <w:pPr>
              <w:spacing w:after="20" w:before="20" w:line="240" w:lineRule="auto"/>
            </w:pPr>
            <w:r/>
            <w:r>
              <w:rPr>
                <w:sz w:val="16"/>
              </w:rPr>
              <w:t>52</w:t>
            </w:r>
          </w:p>
        </w:tc>
        <w:tc>
          <w:tcPr>
            <w:tcW w:type="dxa" w:w="4302"/>
          </w:tcPr>
          <w:p>
            <w:pPr>
              <w:spacing w:after="20" w:before="20" w:line="240" w:lineRule="auto"/>
            </w:pPr>
            <w:r/>
            <w:r>
              <w:rPr>
                <w:sz w:val="16"/>
              </w:rPr>
              <w:t>The "all models" blend is the leading round 2 challenger: it is the only model that improves lift, hits caught and revenue caught together. It is not adopted for release 1</w:t>
            </w:r>
          </w:p>
        </w:tc>
        <w:tc>
          <w:tcPr>
            <w:tcW w:type="dxa" w:w="4876"/>
          </w:tcPr>
          <w:p>
            <w:pPr>
              <w:spacing w:after="20" w:before="20" w:line="240" w:lineRule="auto"/>
            </w:pPr>
            <w:r/>
            <w:r>
              <w:rPr>
                <w:sz w:val="16"/>
              </w:rPr>
              <w:t>+0.2 lift at 5%, 11% more hits, +1 point of revenue, same trader mix; better in 2 of 4 tests, worse in none. Every taxpayer in its top 5% (Mar 2026) has 15+ scorecard points (median 57), and 85% overlap the scorecard's top 5%, so the scorecard's reasons still apply. Not adopted yet because the gain is significant in only half the tests, the rank would no longer follow the points officers see, and eight models would have to run in production. Next: shadow run and blind officer review</w:t>
            </w:r>
          </w:p>
        </w:tc>
      </w:tr>
      <w:tr>
        <w:tc>
          <w:tcPr>
            <w:tcW w:type="dxa" w:w="574"/>
          </w:tcPr>
          <w:p>
            <w:pPr>
              <w:spacing w:after="20" w:before="20" w:line="240" w:lineRule="auto"/>
            </w:pPr>
            <w:r/>
            <w:r>
              <w:rPr>
                <w:sz w:val="16"/>
              </w:rPr>
              <w:t>53</w:t>
            </w:r>
          </w:p>
        </w:tc>
        <w:tc>
          <w:tcPr>
            <w:tcW w:type="dxa" w:w="4302"/>
          </w:tcPr>
          <w:p>
            <w:pPr>
              <w:spacing w:after="20" w:before="20" w:line="240" w:lineRule="auto"/>
            </w:pPr>
            <w:r/>
            <w:r>
              <w:rPr>
                <w:sz w:val="16"/>
              </w:rPr>
              <w:t>Stacked (learned) blend rejected for now</w:t>
            </w:r>
          </w:p>
        </w:tc>
        <w:tc>
          <w:tcPr>
            <w:tcW w:type="dxa" w:w="4876"/>
          </w:tcPr>
          <w:p>
            <w:pPr>
              <w:spacing w:after="20" w:before="20" w:line="240" w:lineRule="auto"/>
            </w:pPr>
            <w:r/>
            <w:r>
              <w:rPr>
                <w:sz w:val="16"/>
              </w:rPr>
              <w:t>With only three earlier windows to learn from, the member weights swing between snapshots (the Gaussian mixture gets a negative weight) and lift at the top 1% falls to 2.2</w:t>
            </w:r>
          </w:p>
        </w:tc>
      </w:tr>
      <w:tr>
        <w:tc>
          <w:tcPr>
            <w:tcW w:type="dxa" w:w="574"/>
          </w:tcPr>
          <w:p>
            <w:pPr>
              <w:spacing w:after="20" w:before="20" w:line="240" w:lineRule="auto"/>
            </w:pPr>
            <w:r/>
            <w:r>
              <w:rPr>
                <w:sz w:val="16"/>
              </w:rPr>
              <w:t>54</w:t>
            </w:r>
          </w:p>
        </w:tc>
        <w:tc>
          <w:tcPr>
            <w:tcW w:type="dxa" w:w="4302"/>
          </w:tcPr>
          <w:p>
            <w:pPr>
              <w:spacing w:after="20" w:before="20" w:line="240" w:lineRule="auto"/>
            </w:pPr>
            <w:r/>
            <w:r>
              <w:rPr>
                <w:sz w:val="16"/>
              </w:rPr>
              <w:t>Blends with the Scope and Design candidates trade efficiency for volume</w:t>
            </w:r>
          </w:p>
        </w:tc>
        <w:tc>
          <w:tcPr>
            <w:tcW w:type="dxa" w:w="4876"/>
          </w:tcPr>
          <w:p>
            <w:pPr>
              <w:spacing w:after="20" w:before="20" w:line="240" w:lineRule="auto"/>
            </w:pPr>
            <w:r/>
            <w:r>
              <w:rPr>
                <w:sz w:val="16"/>
              </w:rPr>
              <w:t>More hits (about 6,700) and revenue (49%) but lower lift at 5% and 10%: evidence for open question OQ-1 (what the list should maximise)</w:t>
            </w:r>
          </w:p>
        </w:tc>
      </w:tr>
      <w:tr>
        <w:tc>
          <w:tcPr>
            <w:tcW w:type="dxa" w:w="574"/>
          </w:tcPr>
          <w:p>
            <w:pPr>
              <w:spacing w:after="20" w:before="20" w:line="240" w:lineRule="auto"/>
            </w:pPr>
            <w:r/>
            <w:r>
              <w:rPr>
                <w:sz w:val="16"/>
              </w:rPr>
              <w:t>55</w:t>
            </w:r>
          </w:p>
        </w:tc>
        <w:tc>
          <w:tcPr>
            <w:tcW w:type="dxa" w:w="4302"/>
          </w:tcPr>
          <w:p>
            <w:pPr>
              <w:spacing w:after="20" w:before="20" w:line="240" w:lineRule="auto"/>
            </w:pPr>
            <w:r/>
            <w:r>
              <w:rPr>
                <w:sz w:val="16"/>
              </w:rPr>
              <w:t xml:space="preserve">Project reorganised into the standard src layout: package </w:t>
            </w:r>
            <w:r>
              <w:rPr>
                <w:rFonts w:ascii="Consolas" w:hAnsi="Consolas"/>
                <w:sz w:val="16"/>
              </w:rPr>
              <w:t>ctrp</w:t>
            </w:r>
            <w:r>
              <w:rPr>
                <w:sz w:val="16"/>
              </w:rPr>
              <w:t xml:space="preserve"> (core, utils, report, extract, pipeline, models), tests, one entry point </w:t>
            </w:r>
            <w:r>
              <w:rPr>
                <w:rFonts w:ascii="Consolas" w:hAnsi="Consolas"/>
                <w:sz w:val="16"/>
              </w:rPr>
              <w:t>main.py</w:t>
            </w:r>
            <w:r>
              <w:rPr>
                <w:sz w:val="16"/>
              </w:rPr>
              <w:t>, notebooks/, docs/</w:t>
            </w:r>
          </w:p>
        </w:tc>
        <w:tc>
          <w:tcPr>
            <w:tcW w:type="dxa" w:w="4876"/>
          </w:tcPr>
          <w:p>
            <w:pPr>
              <w:spacing w:after="20" w:before="20" w:line="240" w:lineRule="auto"/>
            </w:pPr>
            <w:r/>
            <w:r>
              <w:rPr>
                <w:sz w:val="16"/>
              </w:rPr>
              <w:t>Data Science's instruction, for the GitHub repository. Model logic unchanged (26 automatic tests pass; same scores and fingerprint)</w:t>
            </w:r>
          </w:p>
        </w:tc>
      </w:tr>
      <w:tr>
        <w:tc>
          <w:tcPr>
            <w:tcW w:type="dxa" w:w="574"/>
          </w:tcPr>
          <w:p>
            <w:pPr>
              <w:spacing w:after="20" w:before="20" w:line="240" w:lineRule="auto"/>
            </w:pPr>
            <w:r/>
            <w:r>
              <w:rPr>
                <w:sz w:val="16"/>
              </w:rPr>
              <w:t>56</w:t>
            </w:r>
          </w:p>
        </w:tc>
        <w:tc>
          <w:tcPr>
            <w:tcW w:type="dxa" w:w="4302"/>
          </w:tcPr>
          <w:p>
            <w:pPr>
              <w:spacing w:after="20" w:before="20" w:line="240" w:lineRule="auto"/>
            </w:pPr>
            <w:r/>
            <w:r>
              <w:rPr>
                <w:sz w:val="16"/>
              </w:rPr>
              <w:t xml:space="preserve">"Revenue in the top 5%" is only read together with </w:t>
            </w:r>
            <w:r>
              <w:rPr>
                <w:b/>
                <w:sz w:val="16"/>
              </w:rPr>
              <w:t>revenue per check</w:t>
            </w:r>
            <w:r>
              <w:rPr>
                <w:sz w:val="16"/>
              </w:rPr>
              <w:t xml:space="preserve"> (top-up money found divided by the checks it took). A high revenue share on its own shows size, not targeting. Decisions 50 and 54 are read with this: the Scope and Design candidates and their blends reach more top-up money only through many more checks on big importers</w:t>
            </w:r>
          </w:p>
        </w:tc>
        <w:tc>
          <w:tcPr>
            <w:tcW w:type="dxa" w:w="4876"/>
          </w:tcPr>
          <w:p>
            <w:pPr>
              <w:spacing w:after="20" w:before="20" w:line="240" w:lineRule="auto"/>
            </w:pPr>
            <w:r/>
            <w:r>
              <w:rPr>
                <w:sz w:val="16"/>
              </w:rPr>
              <w:t>New reference "Largest importers" (rank on customs value, no risk information): 53% of revenue, lift 0.52, UGX 0.17 million per check. Scorecard: 45%, UGX 1.18 million per check. Gaussian mixture: 57% but 97,543 checks in its top 5% (more than half of all checks), UGX 0.25 million per check. Mar 2026: total top-up money UGX 28.2 billion; the top 1% of taxpayers by later top-ups hold 90% of it</w:t>
            </w:r>
          </w:p>
        </w:tc>
      </w:tr>
      <w:tr>
        <w:tc>
          <w:tcPr>
            <w:tcW w:type="dxa" w:w="574"/>
          </w:tcPr>
          <w:p>
            <w:pPr>
              <w:spacing w:after="20" w:before="20" w:line="240" w:lineRule="auto"/>
            </w:pPr>
            <w:r/>
            <w:r>
              <w:rPr>
                <w:sz w:val="16"/>
              </w:rPr>
              <w:t>57</w:t>
            </w:r>
          </w:p>
        </w:tc>
        <w:tc>
          <w:tcPr>
            <w:tcW w:type="dxa" w:w="4302"/>
          </w:tcPr>
          <w:p>
            <w:pPr>
              <w:spacing w:after="20" w:before="20" w:line="240" w:lineRule="auto"/>
            </w:pPr>
            <w:r/>
            <w:r>
              <w:rPr>
                <w:sz w:val="16"/>
              </w:rPr>
              <w:t>A snapshot whose full query will not finish in Hue is pulled as four smaller queries (</w:t>
            </w:r>
            <w:r>
              <w:rPr>
                <w:rFonts w:ascii="Consolas" w:hAnsi="Consolas"/>
                <w:sz w:val="16"/>
              </w:rPr>
              <w:t>python main.py sql --split &lt;date&gt;</w:t>
            </w:r>
            <w:r>
              <w:rPr>
                <w:sz w:val="16"/>
              </w:rPr>
              <w:t xml:space="preserve">: core, items, own_duty, split_new) and glued back with </w:t>
            </w:r>
            <w:r>
              <w:rPr>
                <w:rFonts w:ascii="Consolas" w:hAnsi="Consolas"/>
                <w:sz w:val="16"/>
              </w:rPr>
              <w:t>python main.py merge</w:t>
            </w:r>
            <w:r>
              <w:rPr>
                <w:sz w:val="16"/>
              </w:rPr>
              <w:t>. The parts are cut by code out of the one template, so the SQL and the result are the same as the full query</w:t>
            </w:r>
          </w:p>
        </w:tc>
        <w:tc>
          <w:tcPr>
            <w:tcW w:type="dxa" w:w="4876"/>
          </w:tcPr>
          <w:p>
            <w:pPr>
              <w:spacing w:after="20" w:before="20" w:line="240" w:lineRule="auto"/>
            </w:pPr>
            <w:r/>
            <w:r>
              <w:rPr>
                <w:sz w:val="16"/>
              </w:rPr>
              <w:t>Full query ran 35+ minutes without finishing for 31 Mar 2025 and 30 Sep 2025; the other five finished. Spark rebuilds the cleaned item table for every reference to it, about a dozen times in the full query and a few times in each part. Checks: the three parts parse against the view and give the full query's 57 columns exactly once; an automatic test cuts an extract into parts and merges it back unchanged (28 tests pass)</w:t>
            </w:r>
          </w:p>
        </w:tc>
      </w:tr>
      <w:tr>
        <w:tc>
          <w:tcPr>
            <w:tcW w:type="dxa" w:w="574"/>
          </w:tcPr>
          <w:p>
            <w:pPr>
              <w:spacing w:after="20" w:before="20" w:line="240" w:lineRule="auto"/>
            </w:pPr>
            <w:r/>
            <w:r>
              <w:rPr>
                <w:sz w:val="16"/>
              </w:rPr>
              <w:t>58</w:t>
            </w:r>
          </w:p>
        </w:tc>
        <w:tc>
          <w:tcPr>
            <w:tcW w:type="dxa" w:w="4302"/>
          </w:tcPr>
          <w:p>
            <w:pPr>
              <w:spacing w:after="20" w:before="20" w:line="240" w:lineRule="auto"/>
            </w:pPr>
            <w:r/>
            <w:r>
              <w:rPr>
                <w:sz w:val="16"/>
              </w:rPr>
              <w:t>The item scan reads only the 24 view columns the model uses, not all 46</w:t>
            </w:r>
          </w:p>
        </w:tc>
        <w:tc>
          <w:tcPr>
            <w:tcW w:type="dxa" w:w="4876"/>
          </w:tcPr>
          <w:p>
            <w:pPr>
              <w:spacing w:after="20" w:before="20" w:line="240" w:lineRule="auto"/>
            </w:pPr>
            <w:r/>
            <w:r>
              <w:rPr>
                <w:sz w:val="16"/>
              </w:rPr>
              <w:t>First split run (three parts) lost its Hue connection after 30 minutes ("'NoneType' object has no attribute 'settimeout'") on 5 of 6 queries. Narrower rows mean less data moved in every shuffle. Results are unchanged: the dropped columns were never used (the full query and every part still parse and give the same 57 columns)</w:t>
            </w:r>
          </w:p>
        </w:tc>
      </w:tr>
      <w:tr>
        <w:tc>
          <w:tcPr>
            <w:tcW w:type="dxa" w:w="574"/>
          </w:tcPr>
          <w:p>
            <w:pPr>
              <w:spacing w:after="20" w:before="20" w:line="240" w:lineRule="auto"/>
            </w:pPr>
            <w:r/>
            <w:r>
              <w:rPr>
                <w:sz w:val="16"/>
              </w:rPr>
              <w:t>59</w:t>
            </w:r>
          </w:p>
        </w:tc>
        <w:tc>
          <w:tcPr>
            <w:tcW w:type="dxa" w:w="4302"/>
          </w:tcPr>
          <w:p>
            <w:pPr>
              <w:spacing w:after="20" w:before="20" w:line="240" w:lineRule="auto"/>
            </w:pPr>
            <w:r/>
            <w:r>
              <w:rPr>
                <w:sz w:val="16"/>
              </w:rPr>
              <w:t>The scorecard alone does not uncover new risk: every taxpayer in its top 5% (Mar 2026) already had a top-up in history. Taxpayers with no top-up history (69%) gave 9% of later hits and 10% of later top-up money; within them the scorecard is barely better than random (lift 1.34)</w:t>
            </w:r>
          </w:p>
        </w:tc>
        <w:tc>
          <w:tcPr>
            <w:tcW w:type="dxa" w:w="4876"/>
          </w:tcPr>
          <w:p>
            <w:pPr>
              <w:spacing w:after="20" w:before="20" w:line="240" w:lineRule="auto"/>
            </w:pPr>
            <w:r/>
            <w:r>
              <w:rPr>
                <w:sz w:val="16"/>
              </w:rPr>
              <w:t>Mar 2026 snapshot. Within the no-history group, amendments alone reach lift 2.1 and PAR_076 shortfall 1.87, so behaviour signals can find first-time cases</w:t>
            </w:r>
          </w:p>
        </w:tc>
      </w:tr>
      <w:tr>
        <w:tc>
          <w:tcPr>
            <w:tcW w:type="dxa" w:w="574"/>
          </w:tcPr>
          <w:p>
            <w:pPr>
              <w:spacing w:after="20" w:before="20" w:line="240" w:lineRule="auto"/>
            </w:pPr>
            <w:r/>
            <w:r>
              <w:rPr>
                <w:sz w:val="16"/>
              </w:rPr>
              <w:t>60</w:t>
            </w:r>
          </w:p>
        </w:tc>
        <w:tc>
          <w:tcPr>
            <w:tcW w:type="dxa" w:w="4302"/>
          </w:tcPr>
          <w:p>
            <w:pPr>
              <w:spacing w:after="20" w:before="20" w:line="240" w:lineRule="auto"/>
            </w:pPr>
            <w:r/>
            <w:r>
              <w:rPr>
                <w:sz w:val="16"/>
              </w:rPr>
              <w:t>Two tracks. Track A (known risk) = the current scorecard. Track B (discovery) = behaviour only, no top-up history: prices, classification, quantity, origin and preference, exemptions, amendments, splitting, trading pattern. Track B is judged by discovery lift (lift among taxpayers with no prior top-up) and by Risk Officers' review of its list with entry-level evidence</w:t>
            </w:r>
          </w:p>
        </w:tc>
        <w:tc>
          <w:tcPr>
            <w:tcW w:type="dxa" w:w="4876"/>
          </w:tcPr>
          <w:p>
            <w:pPr>
              <w:spacing w:after="20" w:before="20" w:line="240" w:lineRule="auto"/>
            </w:pPr>
            <w:r/>
            <w:r>
              <w:rPr>
                <w:sz w:val="16"/>
              </w:rPr>
              <w:t>Data Science's direction: an honest, objective, dynamic risk profile that follows the taxpayer and uncovers those spared by the current process</w:t>
            </w:r>
          </w:p>
        </w:tc>
      </w:tr>
      <w:tr>
        <w:tc>
          <w:tcPr>
            <w:tcW w:type="dxa" w:w="574"/>
          </w:tcPr>
          <w:p>
            <w:pPr>
              <w:spacing w:after="20" w:before="20" w:line="240" w:lineRule="auto"/>
            </w:pPr>
            <w:r/>
            <w:r>
              <w:rPr>
                <w:sz w:val="16"/>
              </w:rPr>
              <w:t>61</w:t>
            </w:r>
          </w:p>
        </w:tc>
        <w:tc>
          <w:tcPr>
            <w:tcW w:type="dxa" w:w="4302"/>
          </w:tcPr>
          <w:p>
            <w:pPr>
              <w:spacing w:after="20" w:before="20" w:line="240" w:lineRule="auto"/>
            </w:pPr>
            <w:r/>
            <w:r>
              <w:rPr>
                <w:sz w:val="16"/>
              </w:rPr>
              <w:t>APC 483 excluded from the features</w:t>
            </w:r>
          </w:p>
        </w:tc>
        <w:tc>
          <w:tcPr>
            <w:tcW w:type="dxa" w:w="4876"/>
          </w:tcPr>
          <w:p>
            <w:pPr>
              <w:spacing w:after="20" w:before="20" w:line="240" w:lineRule="auto"/>
            </w:pPr>
            <w:r/>
            <w:r>
              <w:rPr>
                <w:sz w:val="16"/>
              </w:rPr>
              <w:t>Confirmed by Data Science (open question closed)</w:t>
            </w:r>
          </w:p>
        </w:tc>
      </w:tr>
      <w:tr>
        <w:tc>
          <w:tcPr>
            <w:tcW w:type="dxa" w:w="574"/>
          </w:tcPr>
          <w:p>
            <w:pPr>
              <w:spacing w:after="20" w:before="20" w:line="240" w:lineRule="auto"/>
            </w:pPr>
            <w:r/>
            <w:r>
              <w:rPr>
                <w:sz w:val="16"/>
              </w:rPr>
              <w:t>62</w:t>
            </w:r>
          </w:p>
        </w:tc>
        <w:tc>
          <w:tcPr>
            <w:tcW w:type="dxa" w:w="4302"/>
          </w:tcPr>
          <w:p>
            <w:pPr>
              <w:spacing w:after="20" w:before="20" w:line="240" w:lineRule="auto"/>
            </w:pPr>
            <w:r/>
            <w:r>
              <w:rPr>
                <w:sz w:val="16"/>
              </w:rPr>
              <w:t>Taxpayers with fewer than 10 declarations get their own list, ranked among themselves</w:t>
            </w:r>
          </w:p>
        </w:tc>
        <w:tc>
          <w:tcPr>
            <w:tcW w:type="dxa" w:w="4876"/>
          </w:tcPr>
          <w:p>
            <w:pPr>
              <w:spacing w:after="20" w:before="20" w:line="240" w:lineRule="auto"/>
            </w:pPr>
            <w:r/>
            <w:r>
              <w:rPr>
                <w:sz w:val="16"/>
              </w:rPr>
              <w:t>Data Science's direction</w:t>
            </w:r>
          </w:p>
        </w:tc>
      </w:tr>
      <w:tr>
        <w:tc>
          <w:tcPr>
            <w:tcW w:type="dxa" w:w="574"/>
          </w:tcPr>
          <w:p>
            <w:pPr>
              <w:spacing w:after="20" w:before="20" w:line="240" w:lineRule="auto"/>
            </w:pPr>
            <w:r/>
            <w:r>
              <w:rPr>
                <w:sz w:val="16"/>
              </w:rPr>
              <w:t>63</w:t>
            </w:r>
          </w:p>
        </w:tc>
        <w:tc>
          <w:tcPr>
            <w:tcW w:type="dxa" w:w="4302"/>
          </w:tcPr>
          <w:p>
            <w:pPr>
              <w:spacing w:after="20" w:before="20" w:line="240" w:lineRule="auto"/>
            </w:pPr>
            <w:r/>
            <w:r>
              <w:rPr>
                <w:sz w:val="16"/>
              </w:rPr>
              <w:t>Success measures follow the officers' selectivity measures, in their order: compliance over time, additional revenue, accuracy of checks, facilitation (speed and volume)</w:t>
            </w:r>
          </w:p>
        </w:tc>
        <w:tc>
          <w:tcPr>
            <w:tcW w:type="dxa" w:w="4876"/>
          </w:tcPr>
          <w:p>
            <w:pPr>
              <w:spacing w:after="20" w:before="20" w:line="240" w:lineRule="auto"/>
            </w:pPr>
            <w:r/>
            <w:r>
              <w:rPr>
                <w:sz w:val="16"/>
              </w:rPr>
              <w:t>Officers' stated precedence; taxpayer-level equivalents defined in the model guide</w:t>
            </w:r>
          </w:p>
        </w:tc>
      </w:tr>
      <w:tr>
        <w:tc>
          <w:tcPr>
            <w:tcW w:type="dxa" w:w="574"/>
          </w:tcPr>
          <w:p>
            <w:pPr>
              <w:spacing w:after="20" w:before="20" w:line="240" w:lineRule="auto"/>
            </w:pPr>
            <w:r/>
            <w:r>
              <w:rPr>
                <w:sz w:val="16"/>
              </w:rPr>
              <w:t>64</w:t>
            </w:r>
          </w:p>
        </w:tc>
        <w:tc>
          <w:tcPr>
            <w:tcW w:type="dxa" w:w="4302"/>
          </w:tcPr>
          <w:p>
            <w:pPr>
              <w:spacing w:after="20" w:before="20" w:line="240" w:lineRule="auto"/>
            </w:pPr>
            <w:r/>
            <w:r>
              <w:rPr>
                <w:sz w:val="16"/>
              </w:rPr>
              <w:t>Output stays the Excel workbook; stable sheet and column names so a BI dashboard can read it in production. The random-check slice is considered in User Acceptance Testing</w:t>
            </w:r>
          </w:p>
        </w:tc>
        <w:tc>
          <w:tcPr>
            <w:tcW w:type="dxa" w:w="4876"/>
          </w:tcPr>
          <w:p>
            <w:pPr>
              <w:spacing w:after="20" w:before="20" w:line="240" w:lineRule="auto"/>
            </w:pPr>
            <w:r/>
            <w:r>
              <w:rPr>
                <w:sz w:val="16"/>
              </w:rPr>
              <w:t>Data Science's direction</w:t>
            </w:r>
          </w:p>
        </w:tc>
      </w:tr>
      <w:tr>
        <w:tc>
          <w:tcPr>
            <w:tcW w:type="dxa" w:w="574"/>
          </w:tcPr>
          <w:p>
            <w:pPr>
              <w:spacing w:after="20" w:before="20" w:line="240" w:lineRule="auto"/>
            </w:pPr>
            <w:r/>
            <w:r>
              <w:rPr>
                <w:sz w:val="16"/>
              </w:rPr>
              <w:t>65</w:t>
            </w:r>
          </w:p>
        </w:tc>
        <w:tc>
          <w:tcPr>
            <w:tcW w:type="dxa" w:w="4302"/>
          </w:tcPr>
          <w:p>
            <w:pPr>
              <w:spacing w:after="20" w:before="20" w:line="240" w:lineRule="auto"/>
            </w:pPr>
            <w:r/>
            <w:r>
              <w:rPr>
                <w:sz w:val="16"/>
              </w:rPr>
              <w:t xml:space="preserve">APC 483 stays IN for now (switch </w:t>
            </w:r>
            <w:r>
              <w:rPr>
                <w:rFonts w:ascii="Consolas" w:hAnsi="Consolas"/>
                <w:sz w:val="16"/>
              </w:rPr>
              <w:t>EXCLUDE_APC_483</w:t>
            </w:r>
            <w:r>
              <w:rPr>
                <w:sz w:val="16"/>
              </w:rPr>
              <w:t xml:space="preserve"> in extract.py, default False), so new pulls match the version 1 extracts in use. Exclusion (61) applies once every extract is re-pulled</w:t>
            </w:r>
          </w:p>
        </w:tc>
        <w:tc>
          <w:tcPr>
            <w:tcW w:type="dxa" w:w="4876"/>
          </w:tcPr>
          <w:p>
            <w:pPr>
              <w:spacing w:after="20" w:before="20" w:line="240" w:lineRule="auto"/>
            </w:pPr>
            <w:r/>
            <w:r>
              <w:rPr>
                <w:sz w:val="16"/>
              </w:rPr>
              <w:t>Data Science's direction while Hue is down and Zeppelin is being set up</w:t>
            </w:r>
          </w:p>
        </w:tc>
      </w:tr>
      <w:tr>
        <w:tc>
          <w:tcPr>
            <w:tcW w:type="dxa" w:w="574"/>
          </w:tcPr>
          <w:p>
            <w:pPr>
              <w:spacing w:after="20" w:before="20" w:line="240" w:lineRule="auto"/>
            </w:pPr>
            <w:r/>
            <w:r>
              <w:rPr>
                <w:sz w:val="16"/>
              </w:rPr>
              <w:t>66</w:t>
            </w:r>
          </w:p>
        </w:tc>
        <w:tc>
          <w:tcPr>
            <w:tcW w:type="dxa" w:w="4302"/>
          </w:tcPr>
          <w:p>
            <w:pPr>
              <w:spacing w:after="20" w:before="20" w:line="240" w:lineRule="auto"/>
            </w:pPr>
            <w:r/>
            <w:r>
              <w:rPr>
                <w:sz w:val="16"/>
              </w:rPr>
              <w:t>Tuning boosting's settings adds almost nothing: tuned 4.84 against default 4.75 lift at 5%, same hits. Hyperparameter search is not where the gains are</w:t>
            </w:r>
          </w:p>
        </w:tc>
        <w:tc>
          <w:tcPr>
            <w:tcW w:type="dxa" w:w="4876"/>
          </w:tcPr>
          <w:p>
            <w:pPr>
              <w:spacing w:after="20" w:before="20" w:line="240" w:lineRule="auto"/>
            </w:pPr>
            <w:r/>
            <w:r>
              <w:rPr>
                <w:sz w:val="16"/>
              </w:rPr>
              <w:t>Forward-chaining search over 16 settings, chosen on the latest training snapshot only</w:t>
            </w:r>
          </w:p>
        </w:tc>
      </w:tr>
      <w:tr>
        <w:tc>
          <w:tcPr>
            <w:tcW w:type="dxa" w:w="574"/>
          </w:tcPr>
          <w:p>
            <w:pPr>
              <w:spacing w:after="20" w:before="20" w:line="240" w:lineRule="auto"/>
            </w:pPr>
            <w:r/>
            <w:r>
              <w:rPr>
                <w:sz w:val="16"/>
              </w:rPr>
              <w:t>67</w:t>
            </w:r>
          </w:p>
        </w:tc>
        <w:tc>
          <w:tcPr>
            <w:tcW w:type="dxa" w:w="4302"/>
          </w:tcPr>
          <w:p>
            <w:pPr>
              <w:spacing w:after="20" w:before="20" w:line="240" w:lineRule="auto"/>
            </w:pPr>
            <w:r/>
            <w:r>
              <w:rPr>
                <w:sz w:val="16"/>
              </w:rPr>
              <w:t>"Boosting on top of the scorecard" is the leading round 2 challenger: lift 4.80 against 4.37, 5,882 hits against 5,522 (+6.5%), better in 3 of 4 tests and worse in none. Revenue share 43% against 45%. Not adopted; goes to shadow run with the weighted blend (lift 4.87, 3 better / 0 worse, but fewer hits: 5,362)</w:t>
            </w:r>
          </w:p>
        </w:tc>
        <w:tc>
          <w:tcPr>
            <w:tcW w:type="dxa" w:w="4876"/>
          </w:tcPr>
          <w:p>
            <w:pPr>
              <w:spacing w:after="20" w:before="20" w:line="240" w:lineRule="auto"/>
            </w:pPr>
            <w:r/>
            <w:r>
              <w:rPr>
                <w:sz w:val="16"/>
              </w:rPr>
              <w:t>CTRP_challengers.xlsx. The scorecard stays an input, so its reasons still explain the score</w:t>
            </w:r>
          </w:p>
        </w:tc>
      </w:tr>
      <w:tr>
        <w:tc>
          <w:tcPr>
            <w:tcW w:type="dxa" w:w="574"/>
          </w:tcPr>
          <w:p>
            <w:pPr>
              <w:spacing w:after="20" w:before="20" w:line="240" w:lineRule="auto"/>
            </w:pPr>
            <w:r/>
            <w:r>
              <w:rPr>
                <w:sz w:val="16"/>
              </w:rPr>
              <w:t>68</w:t>
            </w:r>
          </w:p>
        </w:tc>
        <w:tc>
          <w:tcPr>
            <w:tcW w:type="dxa" w:w="4302"/>
          </w:tcPr>
          <w:p>
            <w:pPr>
              <w:spacing w:after="20" w:before="20" w:line="240" w:lineRule="auto"/>
            </w:pPr>
            <w:r/>
            <w:r>
              <w:rPr>
                <w:sz w:val="16"/>
              </w:rPr>
              <w:t>Sensitivity: the ranking is stable. Each main weight moved by 50% keeps 95% to 98% of the same top 5%; concern levels 99%; maximum levels moved by 25% about 95%. Two settings matter: the PAR_045T maximum (10% costs 0.84 lift, confirming 42) and the credibility weight K (K = 0 loses 46% of hits; K = 20 gains 13% hits for 0.22 less lift). K is a policy choice between efficiency and volume, to show the officers</w:t>
            </w:r>
          </w:p>
        </w:tc>
        <w:tc>
          <w:tcPr>
            <w:tcW w:type="dxa" w:w="4876"/>
          </w:tcPr>
          <w:p>
            <w:pPr>
              <w:spacing w:after="20" w:before="20" w:line="240" w:lineRule="auto"/>
            </w:pPr>
            <w:r/>
            <w:r>
              <w:rPr>
                <w:sz w:val="16"/>
              </w:rPr>
              <w:t>CTRP_sensitivity.xlsx, six snapshots. History and outcome windows are tested once Zeppelin extracts exist</w:t>
            </w:r>
          </w:p>
        </w:tc>
      </w:tr>
      <w:tr>
        <w:tc>
          <w:tcPr>
            <w:tcW w:type="dxa" w:w="574"/>
          </w:tcPr>
          <w:p>
            <w:pPr>
              <w:spacing w:after="20" w:before="20" w:line="240" w:lineRule="auto"/>
            </w:pPr>
            <w:r/>
            <w:r>
              <w:rPr>
                <w:sz w:val="16"/>
              </w:rPr>
              <w:t>69</w:t>
            </w:r>
          </w:p>
        </w:tc>
        <w:tc>
          <w:tcPr>
            <w:tcW w:type="dxa" w:w="4302"/>
          </w:tcPr>
          <w:p>
            <w:pPr>
              <w:spacing w:after="20" w:before="20" w:line="240" w:lineRule="auto"/>
            </w:pPr>
            <w:r/>
            <w:r>
              <w:rPr>
                <w:sz w:val="16"/>
              </w:rPr>
              <w:t>Track B v0 (behaviour columns already in the extracts): taxpayers with no top-up history are 95% small traders (median 1 declaration). Regular taxpayers with no history are about 1,560 and give about 2% of later hits. Monotone boosting on behaviour reaches discovery lift 3.15 among regular (Track A 1.56) and 1.48 among small traders (Track A 1.12), better than Track A in 4 of 4 tests in both, but on small numbers (about 21 hits in the regular top 5%). Track B needs the item-level features (trackb_features.sql) and Risk Officer review, because top-up outcomes cannot show undervaluation customs never caught</w:t>
            </w:r>
          </w:p>
        </w:tc>
        <w:tc>
          <w:tcPr>
            <w:tcW w:type="dxa" w:w="4876"/>
          </w:tcPr>
          <w:p>
            <w:pPr>
              <w:spacing w:after="20" w:before="20" w:line="240" w:lineRule="auto"/>
            </w:pPr>
            <w:r/>
            <w:r>
              <w:rPr>
                <w:sz w:val="16"/>
              </w:rPr>
              <w:t>CTRP_track_b.xlsx</w:t>
            </w:r>
          </w:p>
        </w:tc>
      </w:tr>
      <w:tr>
        <w:tc>
          <w:tcPr>
            <w:tcW w:type="dxa" w:w="574"/>
          </w:tcPr>
          <w:p>
            <w:pPr>
              <w:spacing w:after="20" w:before="20" w:line="240" w:lineRule="auto"/>
            </w:pPr>
            <w:r/>
            <w:r>
              <w:rPr>
                <w:sz w:val="16"/>
              </w:rPr>
              <w:t>70</w:t>
            </w:r>
          </w:p>
        </w:tc>
        <w:tc>
          <w:tcPr>
            <w:tcW w:type="dxa" w:w="4302"/>
          </w:tcPr>
          <w:p>
            <w:pPr>
              <w:spacing w:after="20" w:before="20" w:line="240" w:lineRule="auto"/>
            </w:pPr>
            <w:r/>
            <w:r>
              <w:rPr>
                <w:sz w:val="16"/>
              </w:rPr>
              <w:t>Extracts move to Zeppelin: one Spark session, the cleaned item table built once per snapshot and reused; output identical to the full Hue query on the test view (57 of 57 columns). Blocked until the Spark interpreter can start for Data Science's user (cluster permission)</w:t>
            </w:r>
          </w:p>
        </w:tc>
        <w:tc>
          <w:tcPr>
            <w:tcW w:type="dxa" w:w="4876"/>
          </w:tcPr>
          <w:p>
            <w:pPr>
              <w:spacing w:after="20" w:before="20" w:line="240" w:lineRule="auto"/>
            </w:pPr>
            <w:r/>
            <w:r>
              <w:rPr>
                <w:sz w:val="16"/>
              </w:rPr>
              <w:t>notebooks/zeppelin/ctrp_extract.py</w:t>
            </w:r>
          </w:p>
        </w:tc>
      </w:tr>
      <w:tr>
        <w:tc>
          <w:tcPr>
            <w:tcW w:type="dxa" w:w="574"/>
          </w:tcPr>
          <w:p>
            <w:pPr>
              <w:spacing w:after="20" w:before="20" w:line="240" w:lineRule="auto"/>
            </w:pPr>
            <w:r/>
            <w:r>
              <w:rPr>
                <w:sz w:val="16"/>
              </w:rPr>
              <w:t>71</w:t>
            </w:r>
          </w:p>
        </w:tc>
        <w:tc>
          <w:tcPr>
            <w:tcW w:type="dxa" w:w="4302"/>
          </w:tcPr>
          <w:p>
            <w:pPr>
              <w:spacing w:after="20" w:before="20" w:line="240" w:lineRule="auto"/>
            </w:pPr>
            <w:r/>
            <w:r>
              <w:rPr>
                <w:sz w:val="16"/>
              </w:rPr>
              <w:t>History: the last 3 years inside a 5-year window, with recent behaviour weighted more, matching the officers' practice. Waits on the data range check</w:t>
            </w:r>
          </w:p>
        </w:tc>
        <w:tc>
          <w:tcPr>
            <w:tcW w:type="dxa" w:w="4876"/>
          </w:tcPr>
          <w:p>
            <w:pPr>
              <w:spacing w:after="20" w:before="20" w:line="240" w:lineRule="auto"/>
            </w:pPr>
            <w:r/>
            <w:r>
              <w:rPr>
                <w:sz w:val="16"/>
              </w:rPr>
              <w:t>Data Science's direction</w:t>
            </w:r>
          </w:p>
        </w:tc>
      </w:tr>
      <w:tr>
        <w:tc>
          <w:tcPr>
            <w:tcW w:type="dxa" w:w="574"/>
          </w:tcPr>
          <w:p>
            <w:pPr>
              <w:spacing w:after="20" w:before="20" w:line="240" w:lineRule="auto"/>
            </w:pPr>
            <w:r/>
            <w:r>
              <w:rPr>
                <w:sz w:val="16"/>
              </w:rPr>
              <w:t>72</w:t>
            </w:r>
          </w:p>
        </w:tc>
        <w:tc>
          <w:tcPr>
            <w:tcW w:type="dxa" w:w="4302"/>
          </w:tcPr>
          <w:p>
            <w:pPr>
              <w:spacing w:after="20" w:before="20" w:line="240" w:lineRule="auto"/>
            </w:pPr>
            <w:r/>
            <w:r>
              <w:rPr>
                <w:sz w:val="16"/>
              </w:rPr>
              <w:t>The view holds declarations from 26 Nov 2012 to 13 Oct 2026 (first and last day, IM4 and IM7). A 3-year history inside a 5-year window needs no data request, and many more test dates are possible. Before using early years: check that every month is complete, and map tariff codes across the 2022 HS change</w:t>
            </w:r>
          </w:p>
        </w:tc>
        <w:tc>
          <w:tcPr>
            <w:tcW w:type="dxa" w:w="4876"/>
          </w:tcPr>
          <w:p>
            <w:pPr>
              <w:spacing w:after="20" w:before="20" w:line="240" w:lineRule="auto"/>
            </w:pPr>
            <w:r/>
            <w:r>
              <w:rPr>
                <w:sz w:val="16"/>
              </w:rPr>
              <w:t>Data Science's MIN / MAX query in Hue, 13 Oct 2026</w:t>
            </w:r>
          </w:p>
        </w:tc>
      </w:tr>
      <w:tr>
        <w:tc>
          <w:tcPr>
            <w:tcW w:type="dxa" w:w="574"/>
          </w:tcPr>
          <w:p>
            <w:pPr>
              <w:spacing w:after="20" w:before="20" w:line="240" w:lineRule="auto"/>
            </w:pPr>
            <w:r/>
            <w:r>
              <w:rPr>
                <w:sz w:val="16"/>
              </w:rPr>
              <w:t>73</w:t>
            </w:r>
          </w:p>
        </w:tc>
        <w:tc>
          <w:tcPr>
            <w:tcW w:type="dxa" w:w="4302"/>
          </w:tcPr>
          <w:p>
            <w:pPr>
              <w:spacing w:after="20" w:before="20" w:line="240" w:lineRule="auto"/>
            </w:pPr>
            <w:r/>
            <w:r>
              <w:rPr>
                <w:sz w:val="16"/>
              </w:rPr>
              <w:t>Until Data Science has a folder he can write to, the Zeppelin note keeps every extract in memory (SAVE_TO_FOLDER = False) and writes nothing. The Spark interpreter still needs a home directory on the cluster to start at all</w:t>
            </w:r>
          </w:p>
        </w:tc>
        <w:tc>
          <w:tcPr>
            <w:tcW w:type="dxa" w:w="4876"/>
          </w:tcPr>
          <w:p>
            <w:pPr>
              <w:spacing w:after="20" w:before="20" w:line="240" w:lineRule="auto"/>
            </w:pPr>
            <w:r/>
            <w:r>
              <w:rPr>
                <w:sz w:val="16"/>
              </w:rPr>
              <w:t>Cluster permissions</w:t>
            </w:r>
          </w:p>
        </w:tc>
      </w:tr>
      <w:tr>
        <w:tc>
          <w:tcPr>
            <w:tcW w:type="dxa" w:w="574"/>
          </w:tcPr>
          <w:p>
            <w:pPr>
              <w:spacing w:after="20" w:before="20" w:line="240" w:lineRule="auto"/>
            </w:pPr>
            <w:r/>
            <w:r>
              <w:rPr>
                <w:sz w:val="16"/>
              </w:rPr>
              <w:t>74</w:t>
            </w:r>
          </w:p>
        </w:tc>
        <w:tc>
          <w:tcPr>
            <w:tcW w:type="dxa" w:w="4302"/>
          </w:tcPr>
          <w:p>
            <w:pPr>
              <w:spacing w:after="20" w:before="20" w:line="240" w:lineRule="auto"/>
            </w:pPr>
            <w:r/>
            <w:r>
              <w:rPr>
                <w:sz w:val="16"/>
              </w:rPr>
              <w:t>Track B runs in production beside Track A. The workbook gains an overall band (the higher of the two tracks; a discovery listing lifts to HIGH at most until review confirms Track B), a Discovery list sheet, and a Small traders sheet. Discovery list size: 5% of regular and 1% of small no-history taxpayers, working values until the officers give capacity</w:t>
            </w:r>
          </w:p>
        </w:tc>
        <w:tc>
          <w:tcPr>
            <w:tcW w:type="dxa" w:w="4876"/>
          </w:tcPr>
          <w:p>
            <w:pPr>
              <w:spacing w:after="20" w:before="20" w:line="240" w:lineRule="auto"/>
            </w:pPr>
            <w:r/>
            <w:r>
              <w:rPr>
                <w:sz w:val="16"/>
              </w:rPr>
              <w:t>Live Sep 2026: 510 taxpayers listed (120 regular, 390 small traders); 510 move up to HIGH. On the current summary columns the leading reason is "many kinds of goods per declaration" (mixed consignments); the item-level features are expected to broaden the reasons</w:t>
            </w:r>
          </w:p>
        </w:tc>
      </w:tr>
      <w:tr>
        <w:tc>
          <w:tcPr>
            <w:tcW w:type="dxa" w:w="574"/>
          </w:tcPr>
          <w:p>
            <w:pPr>
              <w:spacing w:after="20" w:before="20" w:line="240" w:lineRule="auto"/>
            </w:pPr>
            <w:r/>
            <w:r>
              <w:rPr>
                <w:sz w:val="16"/>
              </w:rPr>
              <w:t>75</w:t>
            </w:r>
          </w:p>
        </w:tc>
        <w:tc>
          <w:tcPr>
            <w:tcW w:type="dxa" w:w="4302"/>
          </w:tcPr>
          <w:p>
            <w:pPr>
              <w:spacing w:after="20" w:before="20" w:line="240" w:lineRule="auto"/>
            </w:pPr>
            <w:r/>
            <w:r>
              <w:rPr>
                <w:sz w:val="16"/>
              </w:rPr>
              <w:t xml:space="preserve">Officers' review pack: </w:t>
            </w:r>
            <w:r>
              <w:rPr>
                <w:rFonts w:ascii="Consolas" w:hAnsi="Consolas"/>
                <w:sz w:val="16"/>
              </w:rPr>
              <w:t>python main.py review &lt;workbook&gt;</w:t>
            </w:r>
            <w:r>
              <w:rPr>
                <w:sz w:val="16"/>
              </w:rPr>
              <w:t xml:space="preserve"> writes one Hue query that pulls, for the top 50 regular and 50 small-trader listings, the 5 entries priced furthest below other importers of the same tariff line and origin, with station, year and entry number. Query and list contain TINs and are excluded from git</w:t>
            </w:r>
          </w:p>
        </w:tc>
        <w:tc>
          <w:tcPr>
            <w:tcW w:type="dxa" w:w="4876"/>
          </w:tcPr>
          <w:p>
            <w:pPr>
              <w:spacing w:after="20" w:before="20" w:line="240" w:lineRule="auto"/>
            </w:pPr>
            <w:r/>
            <w:r>
              <w:rPr>
                <w:sz w:val="16"/>
              </w:rPr>
              <w:t>Tested on the test view; reads only the listed taxpayers and the tariff lines they used</w:t>
            </w:r>
          </w:p>
        </w:tc>
      </w:tr>
      <w:tr>
        <w:tc>
          <w:tcPr>
            <w:tcW w:type="dxa" w:w="574"/>
          </w:tcPr>
          <w:p>
            <w:pPr>
              <w:spacing w:after="20" w:before="20" w:line="240" w:lineRule="auto"/>
            </w:pPr>
            <w:r/>
            <w:r>
              <w:rPr>
                <w:sz w:val="16"/>
              </w:rPr>
              <w:t>76</w:t>
            </w:r>
          </w:p>
        </w:tc>
        <w:tc>
          <w:tcPr>
            <w:tcW w:type="dxa" w:w="4302"/>
          </w:tcPr>
          <w:p>
            <w:pPr>
              <w:spacing w:after="20" w:before="20" w:line="240" w:lineRule="auto"/>
            </w:pPr>
            <w:r/>
            <w:r>
              <w:rPr>
                <w:sz w:val="16"/>
              </w:rPr>
              <w:t>Version 2 extracts pass every check except the known top-up ratio outliers. Track A gives the same result on version 1 and version 2 (lift at 5%: 4.81 and 4.79; hits 7,312 and 7,313), so excluding APC 483 and the per-origin PAR_076 benchmark change nothing material for Track A. Adding "new trader" to Track A at 4% adds 41 hits and no lift: not added</w:t>
            </w:r>
          </w:p>
        </w:tc>
        <w:tc>
          <w:tcPr>
            <w:tcW w:type="dxa" w:w="4876"/>
          </w:tcPr>
          <w:p>
            <w:pPr>
              <w:spacing w:after="20" w:before="20" w:line="240" w:lineRule="auto"/>
            </w:pPr>
            <w:r/>
            <w:r>
              <w:rPr>
                <w:sz w:val="16"/>
              </w:rPr>
              <w:t>Same four back-test snapshots on both versions</w:t>
            </w:r>
          </w:p>
        </w:tc>
      </w:tr>
      <w:tr>
        <w:tc>
          <w:tcPr>
            <w:tcW w:type="dxa" w:w="574"/>
          </w:tcPr>
          <w:p>
            <w:pPr>
              <w:spacing w:after="20" w:before="20" w:line="240" w:lineRule="auto"/>
            </w:pPr>
            <w:r/>
            <w:r>
              <w:rPr>
                <w:sz w:val="16"/>
              </w:rPr>
              <w:t>77</w:t>
            </w:r>
          </w:p>
        </w:tc>
        <w:tc>
          <w:tcPr>
            <w:tcW w:type="dxa" w:w="4302"/>
          </w:tcPr>
          <w:p>
            <w:pPr>
              <w:spacing w:after="20" w:before="20" w:line="240" w:lineRule="auto"/>
            </w:pPr>
            <w:r/>
            <w:r>
              <w:rPr>
                <w:sz w:val="16"/>
              </w:rPr>
              <w:t>Measured against later top-ups, most new behaviour features do not predict: duty below peers, exemption and watch-list APC use, same-day splitting and own-price drop all have lift below 1 among regular taxpayers. Only new trader (1.76) and price below benchmark (1.55 to 1.63) do. Reading: a top-up is the wrong yardstick for these risks (an exemption misuse or a split consignment rarely ends in a top-up at the check), so they stay in Track B and are judged by the officers' review, not by lift</w:t>
            </w:r>
          </w:p>
        </w:tc>
        <w:tc>
          <w:tcPr>
            <w:tcW w:type="dxa" w:w="4876"/>
          </w:tcPr>
          <w:p>
            <w:pPr>
              <w:spacing w:after="20" w:before="20" w:line="240" w:lineRule="auto"/>
            </w:pPr>
            <w:r/>
            <w:r>
              <w:rPr>
                <w:sz w:val="16"/>
              </w:rPr>
              <w:t>Single-feature lift, regular taxpayers, four snapshots</w:t>
            </w:r>
          </w:p>
        </w:tc>
      </w:tr>
      <w:tr>
        <w:tc>
          <w:tcPr>
            <w:tcW w:type="dxa" w:w="574"/>
          </w:tcPr>
          <w:p>
            <w:pPr>
              <w:spacing w:after="20" w:before="20" w:line="240" w:lineRule="auto"/>
            </w:pPr>
            <w:r/>
            <w:r>
              <w:rPr>
                <w:sz w:val="16"/>
              </w:rPr>
              <w:t>78</w:t>
            </w:r>
          </w:p>
        </w:tc>
        <w:tc>
          <w:tcPr>
            <w:tcW w:type="dxa" w:w="4302"/>
          </w:tcPr>
          <w:p>
            <w:pPr>
              <w:spacing w:after="20" w:before="20" w:line="240" w:lineRule="auto"/>
            </w:pPr>
            <w:r/>
            <w:r>
              <w:rPr>
                <w:sz w:val="16"/>
              </w:rPr>
              <w:t>Workbook wording, at Data Science's request: "concern level" becomes "minimum risk level"; "Score" and "Band" become History Risk Score and History Risk Band; the final band is the Overall Risk Band; "discovery" becomes trading behaviour (Behaviour Flag, Behaviour risk percentile against similar importers, Behaviour reasons, sheet "Behaviour flags"); the limited-history column states its limit (under 10 declarations); "Low agreement" becomes "History and pattern disagree". Scores and bands are unchanged; the settings fingerprint changes because the wording is part of the settings</w:t>
            </w:r>
          </w:p>
        </w:tc>
        <w:tc>
          <w:tcPr>
            <w:tcW w:type="dxa" w:w="4876"/>
          </w:tcPr>
          <w:p>
            <w:pPr>
              <w:spacing w:after="20" w:before="20" w:line="240" w:lineRule="auto"/>
            </w:pPr>
            <w:r/>
            <w:r>
              <w:rPr>
                <w:sz w:val="16"/>
              </w:rPr>
              <w:t>Live Sep 2026 band counts identical before and after</w:t>
            </w:r>
          </w:p>
        </w:tc>
      </w:tr>
      <w:tr>
        <w:tc>
          <w:tcPr>
            <w:tcW w:type="dxa" w:w="574"/>
          </w:tcPr>
          <w:p>
            <w:pPr>
              <w:spacing w:after="20" w:before="20" w:line="240" w:lineRule="auto"/>
            </w:pPr>
            <w:r/>
            <w:r>
              <w:rPr>
                <w:sz w:val="16"/>
              </w:rPr>
              <w:t>79</w:t>
            </w:r>
          </w:p>
        </w:tc>
        <w:tc>
          <w:tcPr>
            <w:tcW w:type="dxa" w:w="4302"/>
          </w:tcPr>
          <w:p>
            <w:pPr>
              <w:spacing w:after="20" w:before="20" w:line="240" w:lineRule="auto"/>
            </w:pPr>
            <w:r/>
            <w:r>
              <w:rPr>
                <w:sz w:val="16"/>
              </w:rPr>
              <w:t>The pattern note now shows its evidence: the two measures on which the taxpayer sits furthest from its peer group, each as its own value against the peer median (for example "severe top-ups 50% against a peer median of 0%")</w:t>
            </w:r>
          </w:p>
        </w:tc>
        <w:tc>
          <w:tcPr>
            <w:tcW w:type="dxa" w:w="4876"/>
          </w:tcPr>
          <w:p>
            <w:pPr>
              <w:spacing w:after="20" w:before="20" w:line="240" w:lineRule="auto"/>
            </w:pPr>
            <w:r/>
            <w:r>
              <w:rPr>
                <w:sz w:val="16"/>
              </w:rPr>
              <w:t>"More unusual than 99% of the peer group" alone gave an officer nothing to check</w:t>
            </w:r>
          </w:p>
        </w:tc>
      </w:tr>
      <w:tr>
        <w:tc>
          <w:tcPr>
            <w:tcW w:type="dxa" w:w="574"/>
          </w:tcPr>
          <w:p>
            <w:pPr>
              <w:spacing w:after="20" w:before="20" w:line="240" w:lineRule="auto"/>
            </w:pPr>
            <w:r/>
            <w:r>
              <w:rPr>
                <w:sz w:val="16"/>
              </w:rPr>
              <w:t>80</w:t>
            </w:r>
          </w:p>
        </w:tc>
        <w:tc>
          <w:tcPr>
            <w:tcW w:type="dxa" w:w="4302"/>
          </w:tcPr>
          <w:p>
            <w:pPr>
              <w:spacing w:after="20" w:before="20" w:line="240" w:lineRule="auto"/>
            </w:pPr>
            <w:r/>
            <w:r>
              <w:rPr>
                <w:sz w:val="16"/>
              </w:rPr>
              <w:t xml:space="preserve">Entry evidence goes into the workbook: </w:t>
            </w:r>
            <w:r>
              <w:rPr>
                <w:rFonts w:ascii="Consolas" w:hAnsi="Consolas"/>
                <w:sz w:val="16"/>
              </w:rPr>
              <w:t>python main.py score &lt;extract&gt; --evidence &lt;review CSV&gt;</w:t>
            </w:r>
            <w:r>
              <w:rPr>
                <w:sz w:val="16"/>
              </w:rPr>
              <w:t xml:space="preserve"> adds an Entry evidence sheet (station, year, entry number, declared price against the peer median, possible value gap, duty rate against peers) and an evidence count per taxpayer. Fuel (HS 27) is left out, because it is priced per litre with specific duties and its value gap swamped everything else (UGX 64 bn of 76 bn in the first pack). Prices under 5% of peers are marked "Check units" (94 of 471 entries), since a unit keyed wrongly is a common cause. The review query now also requires a price below peers per unit wherever a unit quantity is declared</w:t>
            </w:r>
          </w:p>
        </w:tc>
        <w:tc>
          <w:tcPr>
            <w:tcW w:type="dxa" w:w="4876"/>
          </w:tcPr>
          <w:p>
            <w:pPr>
              <w:spacing w:after="20" w:before="20" w:line="240" w:lineRule="auto"/>
            </w:pPr>
            <w:r/>
            <w:r>
              <w:rPr>
                <w:sz w:val="16"/>
              </w:rPr>
              <w:t>First evidence pack, Sep 2026: 100 taxpayers, 496 entries, median declared price 20% of peers, 461 of 496 benchmarks on the same tariff line and origin (median 111 importers)</w:t>
            </w:r>
          </w:p>
        </w:tc>
      </w:tr>
      <w:tr>
        <w:tc>
          <w:tcPr>
            <w:tcW w:type="dxa" w:w="574"/>
          </w:tcPr>
          <w:p>
            <w:pPr>
              <w:spacing w:after="20" w:before="20" w:line="240" w:lineRule="auto"/>
            </w:pPr>
            <w:r/>
            <w:r>
              <w:rPr>
                <w:sz w:val="16"/>
              </w:rPr>
              <w:t>81</w:t>
            </w:r>
          </w:p>
        </w:tc>
        <w:tc>
          <w:tcPr>
            <w:tcW w:type="dxa" w:w="4302"/>
          </w:tcPr>
          <w:p>
            <w:pPr>
              <w:spacing w:after="20" w:before="20" w:line="240" w:lineRule="auto"/>
            </w:pPr>
            <w:r/>
            <w:r>
              <w:rPr>
                <w:sz w:val="16"/>
              </w:rPr>
              <w:t>Wording, at Data Science's request: "Behaviour Flag" becomes "Risky Behaviour Flag" (sheet "Risky behaviour flags"), because a flag on behaviour alone does not say whether the behaviour is good or bad. The pattern note is rewritten in plain sentences: it names the peer group, shows each measure the way the reasons do (for example "50% of declarations had a severe top-up (30% or more of the final tax)"), gives the peer median as "similar importers", marks measures that are already scored as "already counted in the score", and caps the percentile at 99% (it read "more unusual than 100%", which cannot be true). Why the marking: 275 of the 439 pattern notes in the Sep 2026 run were driven by top-up measures the score already counts, so officers should see when a note repeats the score and when it adds something new</w:t>
            </w:r>
          </w:p>
        </w:tc>
        <w:tc>
          <w:tcPr>
            <w:tcW w:type="dxa" w:w="4876"/>
          </w:tcPr>
          <w:p>
            <w:pPr>
              <w:spacing w:after="20" w:before="20" w:line="240" w:lineRule="auto"/>
            </w:pPr>
            <w:r/>
            <w:r>
              <w:rPr>
                <w:sz w:val="16"/>
              </w:rPr>
              <w:t>Scores and bands unchanged</w:t>
            </w:r>
          </w:p>
        </w:tc>
      </w:tr>
      <w:tr>
        <w:tc>
          <w:tcPr>
            <w:tcW w:type="dxa" w:w="574"/>
          </w:tcPr>
          <w:p>
            <w:pPr>
              <w:spacing w:after="20" w:before="20" w:line="240" w:lineRule="auto"/>
            </w:pPr>
            <w:r/>
            <w:r>
              <w:rPr>
                <w:sz w:val="16"/>
              </w:rPr>
              <w:t>82</w:t>
            </w:r>
          </w:p>
        </w:tc>
        <w:tc>
          <w:tcPr>
            <w:tcW w:type="dxa" w:w="4302"/>
          </w:tcPr>
          <w:p>
            <w:pPr>
              <w:spacing w:after="20" w:before="20" w:line="240" w:lineRule="auto"/>
            </w:pPr>
            <w:r/>
            <w:r>
              <w:rPr>
                <w:sz w:val="16"/>
              </w:rPr>
              <w:t>Entry evidence from the improved review query (no fuel, per-unit check): 471 entries for 98 taxpayers. The sheet now also shows quantity in units, price per unit and the unit price as a share of peers; "Check units" is set when either the per-kg or the per-unit price is under 5% of peers (132 entries). 339 entries sit between 5% and 100% of peers on both measures: the cleanest evidence for officers</w:t>
            </w:r>
          </w:p>
        </w:tc>
        <w:tc>
          <w:tcPr>
            <w:tcW w:type="dxa" w:w="4876"/>
          </w:tcPr>
          <w:p>
            <w:pPr>
              <w:spacing w:after="20" w:before="20" w:line="240" w:lineRule="auto"/>
            </w:pPr>
            <w:r/>
            <w:r>
              <w:rPr>
                <w:sz w:val="16"/>
              </w:rPr>
              <w:t>Median declared price 19% of peers per kg, 23% per unit; median 111 importers per benchmark</w:t>
            </w:r>
          </w:p>
        </w:tc>
      </w:tr>
      <w:tr>
        <w:tc>
          <w:tcPr>
            <w:tcW w:type="dxa" w:w="574"/>
          </w:tcPr>
          <w:p>
            <w:pPr>
              <w:spacing w:after="20" w:before="20" w:line="240" w:lineRule="auto"/>
            </w:pPr>
            <w:r/>
            <w:r>
              <w:rPr>
                <w:sz w:val="16"/>
              </w:rPr>
              <w:t>83</w:t>
            </w:r>
          </w:p>
        </w:tc>
        <w:tc>
          <w:tcPr>
            <w:tcW w:type="dxa" w:w="4302"/>
          </w:tcPr>
          <w:p>
            <w:pPr>
              <w:spacing w:after="20" w:before="20" w:line="240" w:lineRule="auto"/>
            </w:pPr>
            <w:r/>
            <w:r>
              <w:rPr>
                <w:sz w:val="16"/>
              </w:rPr>
              <w:t>Standard performance measures added (</w:t>
            </w:r>
            <w:r>
              <w:rPr>
                <w:rFonts w:ascii="Consolas" w:hAnsi="Consolas"/>
                <w:sz w:val="16"/>
              </w:rPr>
              <w:t>python main.py performance</w:t>
            </w:r>
            <w:r>
              <w:rPr>
                <w:sz w:val="16"/>
              </w:rPr>
              <w:t>, src/ctrp/performance.py): precision, recall, accuracy, ROC AUC and average precision at taxpayer level on every back-test, beside the lift, hits and revenue already reported. Lift at 5% is precision at 5% divided by the base rate, so these restate the same test in standard terms. Accuracy is shown next to "call everyone negative" because with few positives it misleads. Finding: ranking quality fell from ROC AUC 0.80 (2023-24) to about 0.62-0.63 (2025-26) for regular and small traders alike, while the share of checked taxpayers with a top-up fell from 49% to 24%; lift held because the base rate fell too. Bands stay correctly ordered (checked taxpayers with a top-up: VERY HIGH 73%, VERY LOW 25%, six-snapshot average). Cause to be asked of the Risk Officers alongside the hit-rate fall after March 2024</w:t>
            </w:r>
          </w:p>
        </w:tc>
        <w:tc>
          <w:tcPr>
            <w:tcW w:type="dxa" w:w="4876"/>
          </w:tcPr>
          <w:p>
            <w:pPr>
              <w:spacing w:after="20" w:before="20" w:line="240" w:lineRule="auto"/>
            </w:pPr>
            <w:r/>
            <w:r>
              <w:rPr>
                <w:sz w:val="16"/>
              </w:rPr>
              <w:t>6 snapshots, Sep 2023 to Mar 2026</w:t>
            </w:r>
          </w:p>
        </w:tc>
      </w:tr>
      <w:tr>
        <w:tc>
          <w:tcPr>
            <w:tcW w:type="dxa" w:w="574"/>
          </w:tcPr>
          <w:p>
            <w:pPr>
              <w:spacing w:after="20" w:before="20" w:line="240" w:lineRule="auto"/>
            </w:pPr>
            <w:r/>
            <w:r>
              <w:rPr>
                <w:sz w:val="16"/>
              </w:rPr>
              <w:t>84</w:t>
            </w:r>
          </w:p>
        </w:tc>
        <w:tc>
          <w:tcPr>
            <w:tcW w:type="dxa" w:w="4302"/>
          </w:tcPr>
          <w:p>
            <w:pPr>
              <w:spacing w:after="20" w:before="20" w:line="240" w:lineRule="auto"/>
            </w:pPr>
            <w:r/>
            <w:r>
              <w:rPr>
                <w:sz w:val="16"/>
              </w:rPr>
              <w:t>Correction to 83: the headline performance measure is per check, not per taxpayer. The taxpayer-level label "at least one top-up" rewards being checked often, so it partly measures how often customs looked. Counting each red or yellow check as a case (as officers judge selectivity), ROC AUC is 0.84 (2023-24), dips to 0.74 (Mar 2025) and recovers to 0.79 (Mar 2026). The dip is real: after March 2024 the hit rate per check for taxpayers with past top-ups halved (13.8% to about 7.5%) while it moved less for the rest, so history separated less well; by Mar 2026 the gap is back to about 2 to 1 (7.7% against 3.6%). Size alone ranks checks the wrong way (AUC 0.27-0.40): larger traders have fewer hits per check. Both views are kept in CTRP_performance.xlsx</w:t>
            </w:r>
          </w:p>
        </w:tc>
        <w:tc>
          <w:tcPr>
            <w:tcW w:type="dxa" w:w="4876"/>
          </w:tcPr>
          <w:p>
            <w:pPr>
              <w:spacing w:after="20" w:before="20" w:line="240" w:lineRule="auto"/>
            </w:pPr>
            <w:r/>
            <w:r>
              <w:rPr>
                <w:sz w:val="16"/>
              </w:rPr>
              <w:t>6 snapshots</w:t>
            </w:r>
          </w:p>
        </w:tc>
      </w:tr>
      <w:tr>
        <w:tc>
          <w:tcPr>
            <w:tcW w:type="dxa" w:w="574"/>
          </w:tcPr>
          <w:p>
            <w:pPr>
              <w:spacing w:after="20" w:before="20" w:line="240" w:lineRule="auto"/>
            </w:pPr>
            <w:r/>
            <w:r>
              <w:rPr>
                <w:sz w:val="16"/>
              </w:rPr>
              <w:t>85</w:t>
            </w:r>
          </w:p>
        </w:tc>
        <w:tc>
          <w:tcPr>
            <w:tcW w:type="dxa" w:w="4302"/>
          </w:tcPr>
          <w:p>
            <w:pPr>
              <w:spacing w:after="20" w:before="20" w:line="240" w:lineRule="auto"/>
            </w:pPr>
            <w:r/>
            <w:r>
              <w:rPr>
                <w:sz w:val="16"/>
              </w:rPr>
              <w:t>History since 2017. Back-test dates every six months from Sep 2017 to Mar 2026 (18) plus live Sep 2026. Every feature still uses 24 months, so the current model runs unchanged on the new extracts; added are counts per year over 36 months (y1 = latest 12 months, y2, y3: declarations, topped up, severe, amended, tax reduced, top-up and original tax amounts, plus days since the last top-up in 36 months) so recency weighting can be tried in Python without another pull (3 years inside a 5-year window: 36 months of history plus the 24 months before them for the new-trader check). Two ways to pull: (1) Hue, as 5 small part queries per date in sql/hue_plan/ with a checklist (66 queries: the yearly counts for the six dates already held, then Sep 2022 back to Sep 2017, then the March dates), because Hue drops anything over about 30 minutes; (2) the ONE LONG RUN in Zeppelin (paragraph 5), all 19 dates in one go, skipping any already finished so it can be re-run after a failure. Tested on local Spark: every existing column identical to the earlier template, y1 + y2 declarations equal entries_24m, split parts merged and the Zeppelin path both equal the full query. Track B's item window is now limited to the 24 months explicitly (it read everything cached before); its first-seen date uses all 36 months, a better test of "new"</w:t>
            </w:r>
          </w:p>
        </w:tc>
        <w:tc>
          <w:tcPr>
            <w:tcW w:type="dxa" w:w="4876"/>
          </w:tcPr>
          <w:p>
            <w:pPr>
              <w:spacing w:after="20" w:before="20" w:line="240" w:lineRule="auto"/>
            </w:pPr>
            <w:r/>
            <w:r>
              <w:rPr>
                <w:sz w:val="16"/>
              </w:rPr>
              <w:t>38 tests</w:t>
            </w:r>
          </w:p>
        </w:tc>
      </w:tr>
      <w:tr>
        <w:tc>
          <w:tcPr>
            <w:tcW w:type="dxa" w:w="574"/>
          </w:tcPr>
          <w:p>
            <w:pPr>
              <w:spacing w:after="20" w:before="20" w:line="240" w:lineRule="auto"/>
            </w:pPr>
            <w:r/>
            <w:r>
              <w:rPr>
                <w:sz w:val="16"/>
              </w:rPr>
              <w:t>86</w:t>
            </w:r>
          </w:p>
        </w:tc>
        <w:tc>
          <w:tcPr>
            <w:tcW w:type="dxa" w:w="4302"/>
          </w:tcPr>
          <w:p>
            <w:pPr>
              <w:spacing w:after="20" w:before="20" w:line="240" w:lineRule="auto"/>
            </w:pPr>
            <w:r/>
            <w:r>
              <w:rPr>
                <w:sz w:val="16"/>
              </w:rPr>
              <w:t>Blind review of Track B, 25 and 25 (Data Science: 100 is too many to start). The top 25 flagged taxpayers (12 regular, 13 small traders) are mixed with 25 unflagged taxpayers with no top-up history, picked at random (seed 42) from the same segments, under codes R01 to R50 in shuffled order. Officers get only codes, TINs and entries (</w:t>
            </w:r>
            <w:r>
              <w:rPr>
                <w:rFonts w:ascii="Consolas" w:hAnsi="Consolas"/>
                <w:sz w:val="16"/>
              </w:rPr>
              <w:t>python main.py blind-pack</w:t>
            </w:r>
            <w:r>
              <w:rPr>
                <w:sz w:val="16"/>
              </w:rPr>
              <w:t>); the key stays with Data Science. Track B passes if the flagged group draws clearly more "Act" verdicts than the comparison group</w:t>
            </w:r>
          </w:p>
        </w:tc>
        <w:tc>
          <w:tcPr>
            <w:tcW w:type="dxa" w:w="4876"/>
          </w:tcPr>
          <w:p>
            <w:pPr>
              <w:spacing w:after="20" w:before="20" w:line="240" w:lineRule="auto"/>
            </w:pPr>
            <w:r/>
            <w:r>
              <w:rPr>
                <w:sz w:val="16"/>
              </w:rPr>
              <w:t>sql/review/blind_2026-09-30.sql</w:t>
            </w:r>
          </w:p>
        </w:tc>
      </w:tr>
      <w:tr>
        <w:tc>
          <w:tcPr>
            <w:tcW w:type="dxa" w:w="574"/>
          </w:tcPr>
          <w:p>
            <w:pPr>
              <w:spacing w:after="20" w:before="20" w:line="240" w:lineRule="auto"/>
            </w:pPr>
            <w:r/>
            <w:r>
              <w:rPr>
                <w:sz w:val="16"/>
              </w:rPr>
              <w:t>87</w:t>
            </w:r>
          </w:p>
        </w:tc>
        <w:tc>
          <w:tcPr>
            <w:tcW w:type="dxa" w:w="4302"/>
          </w:tcPr>
          <w:p>
            <w:pPr>
              <w:spacing w:after="20" w:before="20" w:line="240" w:lineRule="auto"/>
            </w:pPr>
            <w:r/>
            <w:r>
              <w:rPr>
                <w:sz w:val="16"/>
              </w:rPr>
              <w:t>The ONE LONG RUN for Hue (</w:t>
            </w:r>
            <w:r>
              <w:rPr>
                <w:rFonts w:ascii="Consolas" w:hAnsi="Consolas"/>
                <w:sz w:val="16"/>
              </w:rPr>
              <w:t>python main.py sql --long-run</w:t>
            </w:r>
            <w:r>
              <w:rPr>
                <w:sz w:val="16"/>
              </w:rPr>
              <w:t xml:space="preserve"> -&gt; sql/long_run/long_run.sql): one query reads the view once and returns one row per taxpayer per half-year (Oct 2014 to Sep 2026) with counts that add up exactly; </w:t>
            </w:r>
            <w:r>
              <w:rPr>
                <w:rFonts w:ascii="Consolas" w:hAnsi="Consolas"/>
                <w:sz w:val="16"/>
              </w:rPr>
              <w:t>python main.py long-run</w:t>
            </w:r>
            <w:r>
              <w:rPr>
                <w:sz w:val="16"/>
              </w:rPr>
              <w:t xml:space="preserve"> then builds every snapshot (24 months of features, 3 yearly counts, 6 months of outcomes) by adding up half-years. Why not the full feature query for all dates in one: one date alone already takes about 30 minutes in Hue. What it leaves out (not additive): PAR_076 benchmarks, PAR_023 station spread, goods and origins, main HS chapter; scores reweight the six parameters it has (92% of the weight). Checked: on local Spark every column it gives equals the full query for the same date (to the 5 decimals the query rounds to), and yearly pieces add up to the one run; on the six real back-tests, scoring without the missing columns keeps 95-97% of the same top 5% and per-check AUC within 0.003. Fallback: 12 one-year pieces in sql/long_run/if_too_big/ if Hue times out or cuts the download</w:t>
            </w:r>
          </w:p>
        </w:tc>
        <w:tc>
          <w:tcPr>
            <w:tcW w:type="dxa" w:w="4876"/>
          </w:tcPr>
          <w:p>
            <w:pPr>
              <w:spacing w:after="20" w:before="20" w:line="240" w:lineRule="auto"/>
            </w:pPr>
            <w:r/>
            <w:r>
              <w:rPr>
                <w:sz w:val="16"/>
              </w:rPr>
              <w:t>40 tests</w:t>
            </w:r>
          </w:p>
        </w:tc>
      </w:tr>
      <w:tr>
        <w:tc>
          <w:tcPr>
            <w:tcW w:type="dxa" w:w="574"/>
          </w:tcPr>
          <w:p>
            <w:pPr>
              <w:spacing w:after="20" w:before="20" w:line="240" w:lineRule="auto"/>
            </w:pPr>
            <w:r/>
            <w:r>
              <w:rPr>
                <w:sz w:val="16"/>
              </w:rPr>
              <w:t>88</w:t>
            </w:r>
          </w:p>
        </w:tc>
        <w:tc>
          <w:tcPr>
            <w:tcW w:type="dxa" w:w="4302"/>
          </w:tcPr>
          <w:p>
            <w:pPr>
              <w:spacing w:after="20" w:before="20" w:line="240" w:lineRule="auto"/>
            </w:pPr>
            <w:r/>
            <w:r>
              <w:rPr>
                <w:sz w:val="16"/>
              </w:rPr>
              <w:t>How performance is reported (Data Science's decision): A, per check, is the main measure, with C, share of top-up money, beside it; the per-taxpayer yes/no measure is dropped. Precision and recall are reported at several lines officers could draw (top 1, 5, 10, 20%, VERY HIGH, HIGH and above, MEDIUM and above) because they only mean something for a chosen line; with everyone above the line recall is 100% and precision is the average hit rate (8.8%). ROC AUC is the measure over all taxpayers. The line to quote is HIGH and above once officers confirm capacity</w:t>
            </w:r>
          </w:p>
        </w:tc>
        <w:tc>
          <w:tcPr>
            <w:tcW w:type="dxa" w:w="4876"/>
          </w:tcPr>
          <w:p>
            <w:pPr>
              <w:spacing w:after="20" w:before="20" w:line="240" w:lineRule="auto"/>
            </w:pPr>
            <w:r/>
            <w:r>
              <w:rPr>
                <w:sz w:val="16"/>
              </w:rPr>
              <w:t>CTRP_performance.xlsx, sheet "Lines (average)"</w:t>
            </w:r>
          </w:p>
        </w:tc>
      </w:tr>
      <w:tr>
        <w:tc>
          <w:tcPr>
            <w:tcW w:type="dxa" w:w="574"/>
          </w:tcPr>
          <w:p>
            <w:pPr>
              <w:spacing w:after="20" w:before="20" w:line="240" w:lineRule="auto"/>
            </w:pPr>
            <w:r/>
            <w:r>
              <w:rPr>
                <w:sz w:val="16"/>
              </w:rPr>
              <w:t>89</w:t>
            </w:r>
          </w:p>
        </w:tc>
        <w:tc>
          <w:tcPr>
            <w:tcW w:type="dxa" w:w="4302"/>
          </w:tcPr>
          <w:p>
            <w:pPr>
              <w:spacing w:after="20" w:before="20" w:line="240" w:lineRule="auto"/>
            </w:pPr>
            <w:r/>
            <w:r>
              <w:rPr>
                <w:sz w:val="16"/>
              </w:rPr>
              <w:t>Blind review pack built from the 25/25 evidence query (171 entries for 38 of the 50 codes; 12 codes have no entry priced below peers). Two additions for officers, applied to every evidence sheet: "Strength" (Strong under half of peers: 114 entries; Some 50-80%: 37; Weak 80-100%: 20) and "Same goods as", marking entries that repeat the same HS code, value and weight on another listed entry (16 rows, mostly an S-series and a C-series entry days apart), so a gap is not counted twice. Question for the DEs or officers: what the S-series entry numbers are</w:t>
            </w:r>
          </w:p>
        </w:tc>
        <w:tc>
          <w:tcPr>
            <w:tcW w:type="dxa" w:w="4876"/>
          </w:tcPr>
          <w:p>
            <w:pPr>
              <w:spacing w:after="20" w:before="20" w:line="240" w:lineRule="auto"/>
            </w:pPr>
            <w:r/>
            <w:r>
              <w:rPr>
                <w:sz w:val="16"/>
              </w:rPr>
              <w:t>results/CTRP_blind_review_2026-09-30.xlsx</w:t>
            </w:r>
          </w:p>
        </w:tc>
      </w:tr>
      <w:tr>
        <w:tc>
          <w:tcPr>
            <w:tcW w:type="dxa" w:w="574"/>
          </w:tcPr>
          <w:p>
            <w:pPr>
              <w:spacing w:after="20" w:before="20" w:line="240" w:lineRule="auto"/>
            </w:pPr>
            <w:r/>
            <w:r>
              <w:rPr>
                <w:sz w:val="16"/>
              </w:rPr>
              <w:t>90</w:t>
            </w:r>
          </w:p>
        </w:tc>
        <w:tc>
          <w:tcPr>
            <w:tcW w:type="dxa" w:w="4302"/>
          </w:tcPr>
          <w:p>
            <w:pPr>
              <w:spacing w:after="20" w:before="20" w:line="240" w:lineRule="auto"/>
            </w:pPr>
            <w:r/>
            <w:r>
              <w:rPr>
                <w:sz w:val="16"/>
              </w:rPr>
              <w:t>The first long run came back with exactly 100,000 rows: Hue stops a download there, so it held only about 4,000 of the roughly 30,000 taxpayers active in each half-year. Not used. The loader now refuses any file whose row count is a multiple of 100,000. Next: the 12 one-year pieces (sql/long_run/if_too_big/, about 30,000 to 45,000 rows each, judging by 58,161 taxpayers in 24 months at Mar 2026), and half-year pieces (sql/long_run/if_still_too_big/) for any year that still hits the cap</w:t>
            </w:r>
          </w:p>
        </w:tc>
        <w:tc>
          <w:tcPr>
            <w:tcW w:type="dxa" w:w="4876"/>
          </w:tcPr>
          <w:p>
            <w:pPr>
              <w:spacing w:after="20" w:before="20" w:line="240" w:lineRule="auto"/>
            </w:pPr>
            <w:r/>
            <w:r>
              <w:rPr>
                <w:sz w:val="16"/>
              </w:rPr>
              <w:t>data/long_run/CUT_OFF_long_run_all.csv kept for reference only</w:t>
            </w:r>
          </w:p>
        </w:tc>
      </w:tr>
      <w:tr>
        <w:tc>
          <w:tcPr>
            <w:tcW w:type="dxa" w:w="574"/>
          </w:tcPr>
          <w:p>
            <w:pPr>
              <w:spacing w:after="20" w:before="20" w:line="240" w:lineRule="auto"/>
            </w:pPr>
            <w:r/>
            <w:r>
              <w:rPr>
                <w:sz w:val="16"/>
              </w:rPr>
              <w:t>91</w:t>
            </w:r>
          </w:p>
        </w:tc>
        <w:tc>
          <w:tcPr>
            <w:tcW w:type="dxa" w:w="4302"/>
          </w:tcPr>
          <w:p>
            <w:pPr>
              <w:spacing w:after="20" w:before="20" w:line="240" w:lineRule="auto"/>
            </w:pPr>
            <w:r/>
            <w:r>
              <w:rPr>
                <w:sz w:val="16"/>
              </w:rPr>
              <w:t>The long run, in 12 one-year pieces (29,897 to 48,605 rows each, none cut off), gives every half-year from Oct 2014 to Sep 2026 (460,168 rows). Checked against the six dates also pulled in full: the same taxpayers on every date, and 99.5-100% of taxpayers match on every measure; the small differences are on the latest dates, where top-ups recorded after the earlier pull now show. Track A validated on all 18 dates, Sep 2017 to Mar 2026: per-check AUC 0.76 to 0.86, 0.80 or more on 15 of 18 dates; the low point is Mar 2025 (0.74), the only clear dip in nine years, and it is recovering (0.79 Mar 2026). It coincides with the hit rate per check falling from 11-13% (2021-24) to 7% after Mar 2024. HIGH and above: precision 50-63% up to Mar 2024, 27-30% in 2024-25, 42% in Mar 2026</w:t>
            </w:r>
          </w:p>
        </w:tc>
        <w:tc>
          <w:tcPr>
            <w:tcW w:type="dxa" w:w="4876"/>
          </w:tcPr>
          <w:p>
            <w:pPr>
              <w:spacing w:after="20" w:before="20" w:line="240" w:lineRule="auto"/>
            </w:pPr>
            <w:r/>
            <w:r>
              <w:rPr>
                <w:sz w:val="16"/>
              </w:rPr>
              <w:t>results/CTRP_performance_since_2017.xlsx</w:t>
            </w:r>
          </w:p>
        </w:tc>
      </w:tr>
      <w:tr>
        <w:tc>
          <w:tcPr>
            <w:tcW w:type="dxa" w:w="574"/>
          </w:tcPr>
          <w:p>
            <w:pPr>
              <w:spacing w:after="20" w:before="20" w:line="240" w:lineRule="auto"/>
            </w:pPr>
            <w:r/>
            <w:r>
              <w:rPr>
                <w:sz w:val="16"/>
              </w:rPr>
              <w:t>92</w:t>
            </w:r>
          </w:p>
        </w:tc>
        <w:tc>
          <w:tcPr>
            <w:tcW w:type="dxa" w:w="4302"/>
          </w:tcPr>
          <w:p>
            <w:pPr>
              <w:spacing w:after="20" w:before="20" w:line="240" w:lineRule="auto"/>
            </w:pPr>
            <w:r/>
            <w:r>
              <w:rPr>
                <w:sz w:val="16"/>
              </w:rPr>
              <w:t>Recency weighting tested on the 18 dates (rates rebuilt from the yearly counts; credibility still uses the 24-month declaration count). Three years with weights 1, 0.5, 0.25 (latest year counts most) beats the current two equal years on all 18 dates: AUC 0.817 against 0.813, precision at HIGH and above 49.7% against 49.3%. Three equal years: better on 14 dates. Last year only: worse on 16. The gain is small but never negative. PROPOSED, for Data Science's decision: adopt 3 years at 1, 0.5, 0.25, which also matches how officers already look at history (3 years, recent weighted). Needs the yearly counts in every extract (the "years" part, already in the queries)</w:t>
            </w:r>
          </w:p>
        </w:tc>
        <w:tc>
          <w:tcPr>
            <w:tcW w:type="dxa" w:w="4876"/>
          </w:tcPr>
          <w:p>
            <w:pPr>
              <w:spacing w:after="20" w:before="20" w:line="240" w:lineRule="auto"/>
            </w:pPr>
            <w:r/>
            <w:r>
              <w:rPr>
                <w:sz w:val="16"/>
              </w:rPr>
              <w:t>results/CTRP_performance_since_2017.xlsx, sheet Recency</w:t>
            </w:r>
          </w:p>
        </w:tc>
      </w:tr>
      <w:tr>
        <w:tc>
          <w:tcPr>
            <w:tcW w:type="dxa" w:w="574"/>
          </w:tcPr>
          <w:p>
            <w:pPr>
              <w:spacing w:after="20" w:before="20" w:line="240" w:lineRule="auto"/>
            </w:pPr>
            <w:r/>
            <w:r>
              <w:rPr>
                <w:sz w:val="16"/>
              </w:rPr>
              <w:t>93</w:t>
            </w:r>
          </w:p>
        </w:tc>
        <w:tc>
          <w:tcPr>
            <w:tcW w:type="dxa" w:w="4302"/>
          </w:tcPr>
          <w:p>
            <w:pPr>
              <w:spacing w:after="20" w:before="20" w:line="240" w:lineRule="auto"/>
            </w:pPr>
            <w:r/>
            <w:r>
              <w:rPr>
                <w:sz w:val="16"/>
              </w:rPr>
              <w:t>Five years of history tested against two and three, on the 14 dates that have five full years behind them (Sep 2019 to Mar 2026). AUC per check: now (2 years, equal) 0.816; 3 years at 1, 0.5, 0.25: 0.820; 5 years equal 0.821; 5 years halving (1, 0.5, 0.25, 0.125, 0.06) 0.821; 5 years gentle (1, 0.8, 0.6, 0.4, 0.2) 0.822. Every weighted option beats "now" on every date. Five years over three adds about 0.001, within noise; five years equal and gentle flag fewer taxpayers and lose some precision at HIGH and above (46.7% and 47.3% against 47.8%), because old top-ups weigh as much as recent ones. Decision for Data Science: 3 years halving or 5 years halving (equal in performance)</w:t>
            </w:r>
          </w:p>
        </w:tc>
        <w:tc>
          <w:tcPr>
            <w:tcW w:type="dxa" w:w="4876"/>
          </w:tcPr>
          <w:p>
            <w:pPr>
              <w:spacing w:after="20" w:before="20" w:line="240" w:lineRule="auto"/>
            </w:pPr>
            <w:r/>
            <w:r>
              <w:rPr>
                <w:sz w:val="16"/>
              </w:rPr>
              <w:t>results/CTRP_performance_since_2017.xlsx, sheet "Recency 2, 3, 5 years"</w:t>
            </w:r>
          </w:p>
        </w:tc>
      </w:tr>
      <w:tr>
        <w:tc>
          <w:tcPr>
            <w:tcW w:type="dxa" w:w="574"/>
          </w:tcPr>
          <w:p>
            <w:pPr>
              <w:spacing w:after="20" w:before="20" w:line="240" w:lineRule="auto"/>
            </w:pPr>
            <w:r/>
            <w:r>
              <w:rPr>
                <w:sz w:val="16"/>
              </w:rPr>
              <w:t>94</w:t>
            </w:r>
          </w:p>
        </w:tc>
        <w:tc>
          <w:tcPr>
            <w:tcW w:type="dxa" w:w="4302"/>
          </w:tcPr>
          <w:p>
            <w:pPr>
              <w:spacing w:after="20" w:before="20" w:line="240" w:lineRule="auto"/>
            </w:pPr>
            <w:r/>
            <w:r>
              <w:rPr>
                <w:sz w:val="16"/>
              </w:rPr>
              <w:t xml:space="preserve">Adopted (Data Science): 3 years of history, the latest year counting fully, the year before half, the one before a quarter (core.RECENCY_WEIGHTS = 1, 0.5, 0.25), for the top-up, severe top-up, amendment and tax-reduction rates and the top-up share of tax. Why halving: of four 3-year weightings tested on 18 dates (equal; 1, 0.75, 0.5; 1, 0.5, 0.25; 1, 0.33, 0.11) it is the only one better than the old two-equal-years rule on all 18 (AUC 0.817); equal and gentle weights let old top-ups count too much (less precision and money at HIGH and above), steeper weights forget too fast. Applied when an extract has the yearly counts; </w:t>
            </w:r>
            <w:r>
              <w:rPr>
                <w:rFonts w:ascii="Consolas" w:hAnsi="Consolas"/>
                <w:sz w:val="16"/>
              </w:rPr>
              <w:t>python main.py long-run</w:t>
            </w:r>
            <w:r>
              <w:rPr>
                <w:sz w:val="16"/>
              </w:rPr>
              <w:t xml:space="preserve"> now copies them from the long run into the full extracts, so no extra Hue queries are needed. Credibility weighting still uses the 24-month declaration count. Settings fingerprint changes</w:t>
            </w:r>
          </w:p>
        </w:tc>
        <w:tc>
          <w:tcPr>
            <w:tcW w:type="dxa" w:w="4876"/>
          </w:tcPr>
          <w:p>
            <w:pPr>
              <w:spacing w:after="20" w:before="20" w:line="240" w:lineRule="auto"/>
            </w:pPr>
            <w:r/>
            <w:r>
              <w:rPr>
                <w:sz w:val="16"/>
              </w:rPr>
              <w:t>18 dates: AUC per check 0.741 to 0.862 with the adopted setting</w:t>
            </w:r>
          </w:p>
        </w:tc>
      </w:tr>
      <w:tr>
        <w:tc>
          <w:tcPr>
            <w:tcW w:type="dxa" w:w="574"/>
          </w:tcPr>
          <w:p>
            <w:pPr>
              <w:spacing w:after="20" w:before="20" w:line="240" w:lineRule="auto"/>
            </w:pPr>
            <w:r/>
            <w:r>
              <w:rPr>
                <w:sz w:val="16"/>
              </w:rPr>
              <w:t>95</w:t>
            </w:r>
          </w:p>
        </w:tc>
        <w:tc>
          <w:tcPr>
            <w:tcW w:type="dxa" w:w="4302"/>
          </w:tcPr>
          <w:p>
            <w:pPr>
              <w:spacing w:after="20" w:before="20" w:line="240" w:lineRule="auto"/>
            </w:pPr>
            <w:r/>
            <w:r>
              <w:rPr>
                <w:sz w:val="16"/>
              </w:rPr>
              <w:t>Track B judged with the main measure (AUC per check, within taxpayers with no top-up history, the group it is for), on the four test dates the full extracts allow (Sep 2024 to Mar 2026, each trained only on earlier dates). Monotone boosting (the production Track B model): regular traders 0.61, 0.65, 0.58, 0.65 (average 0.62); small traders 0.53, 0.58, 0.57, 0.59 (average 0.57). Track A on the same group: 0.55 and 0.52. Chance is 0.50. A real but modest signal against top-ups, consistent on every date; top-ups cannot show the undervaluation Track B is mainly for, so the blind review remains the main test. More test dates need full extracts for older dates (sql/hue_plan step 2)</w:t>
            </w:r>
          </w:p>
        </w:tc>
        <w:tc>
          <w:tcPr>
            <w:tcW w:type="dxa" w:w="4876"/>
          </w:tcPr>
          <w:p>
            <w:pPr>
              <w:spacing w:after="20" w:before="20" w:line="240" w:lineRule="auto"/>
            </w:pPr>
            <w:r/>
            <w:r>
              <w:rPr>
                <w:sz w:val="16"/>
              </w:rPr>
              <w:t>results/CTRP_track_b_per_check.xlsx</w:t>
            </w:r>
          </w:p>
        </w:tc>
      </w:tr>
      <w:tr>
        <w:tc>
          <w:tcPr>
            <w:tcW w:type="dxa" w:w="574"/>
          </w:tcPr>
          <w:p>
            <w:pPr>
              <w:spacing w:after="20" w:before="20" w:line="240" w:lineRule="auto"/>
            </w:pPr>
            <w:r/>
            <w:r>
              <w:rPr>
                <w:sz w:val="16"/>
              </w:rPr>
              <w:t>96</w:t>
            </w:r>
          </w:p>
        </w:tc>
        <w:tc>
          <w:tcPr>
            <w:tcW w:type="dxa" w:w="4302"/>
          </w:tcPr>
          <w:p>
            <w:pPr>
              <w:spacing w:after="20" w:before="20" w:line="240" w:lineRule="auto"/>
            </w:pPr>
            <w:r/>
            <w:r>
              <w:rPr>
                <w:sz w:val="16"/>
              </w:rPr>
              <w:t>Guide documents brought up to date: Model Guide 0.3 (wording; 4.6 to 4.9 on measuring per check, lines, nine years and recency; 7.9 and 7.10 on the long run and the blind review; Part 10 on the two tracks; new questions) and Decision Record 0.3 (Part 7 on round 2; open questions moved to Part 8 with OQ-8 capacity, OQ-9 blind review, OQ-10 S-series entries). Model version 1.0.0-dev5 (recency). Live list rescored: VERY LOW 46,838, LOW 8,264, MEDIUM 1,326, HIGH 869, VERY HIGH 204 (before: 47,497 / 7,920 / 1,105 / 770 / 209)</w:t>
            </w:r>
          </w:p>
        </w:tc>
        <w:tc>
          <w:tcPr>
            <w:tcW w:type="dxa" w:w="4876"/>
          </w:tcPr>
          <w:p>
            <w:pPr>
              <w:spacing w:after="20" w:before="20" w:line="240" w:lineRule="auto"/>
            </w:pPr>
            <w:r/>
            <w:r>
              <w:rPr>
                <w:sz w:val="16"/>
              </w:rPr>
              <w:t>docs/CTRP_Model_Guide.docx, docs/CTRP_Decision_Record.docx</w:t>
            </w:r>
          </w:p>
        </w:tc>
      </w:tr>
      <w:tr>
        <w:tc>
          <w:tcPr>
            <w:tcW w:type="dxa" w:w="574"/>
          </w:tcPr>
          <w:p>
            <w:pPr>
              <w:spacing w:after="20" w:before="20" w:line="240" w:lineRule="auto"/>
            </w:pPr>
            <w:r/>
            <w:r>
              <w:rPr>
                <w:sz w:val="16"/>
              </w:rPr>
              <w:t>97</w:t>
            </w:r>
          </w:p>
        </w:tc>
        <w:tc>
          <w:tcPr>
            <w:tcW w:type="dxa" w:w="4302"/>
          </w:tcPr>
          <w:p>
            <w:pPr>
              <w:spacing w:after="20" w:before="20" w:line="240" w:lineRule="auto"/>
            </w:pPr>
            <w:r/>
            <w:r>
              <w:rPr>
                <w:sz w:val="16"/>
              </w:rPr>
              <w:t>The view has no field saying why a declaration went red or yellow, so random checks cannot be identified in the data (question to the Risk Officers stands). Blue-lane (post-clearance audit) findings exist but are kept mostly on paper, so they cannot serve as an outcome for now; noted as a future source of less selection-biased outcomes if digitised. taxpayer_aeo_flg (in the view) to be used as a check, not a score input: where do current AEO members land in the bands? A low share of AEO members in HIGH and above supports the scores; many would be a finding to take to officers. Not scored because AEO status is itself a customs decision and AEO members are checked less, so it would be circular. Queries: sql/aeo/01 (flag values) and 02 (AEO taxpayers)</w:t>
            </w:r>
          </w:p>
        </w:tc>
        <w:tc>
          <w:tcPr>
            <w:tcW w:type="dxa" w:w="4876"/>
          </w:tcPr>
          <w:p>
            <w:pPr>
              <w:spacing w:after="20" w:before="20" w:line="240" w:lineRule="auto"/>
            </w:pPr>
            <w:r/>
            <w:r>
              <w:rPr>
                <w:sz w:val="16"/>
              </w:rPr>
              <w:t>sql/aeo/</w:t>
            </w:r>
          </w:p>
        </w:tc>
      </w:tr>
      <w:tr>
        <w:tc>
          <w:tcPr>
            <w:tcW w:type="dxa" w:w="574"/>
          </w:tcPr>
          <w:p>
            <w:pPr>
              <w:spacing w:after="20" w:before="20" w:line="240" w:lineRule="auto"/>
            </w:pPr>
            <w:r/>
            <w:r>
              <w:rPr>
                <w:sz w:val="16"/>
              </w:rPr>
              <w:t>98</w:t>
            </w:r>
          </w:p>
        </w:tc>
        <w:tc>
          <w:tcPr>
            <w:tcW w:type="dxa" w:w="4302"/>
          </w:tcPr>
          <w:p>
            <w:pPr>
              <w:spacing w:after="20" w:before="20" w:line="240" w:lineRule="auto"/>
            </w:pPr>
            <w:r/>
            <w:r>
              <w:rPr>
                <w:sz w:val="16"/>
              </w:rPr>
              <w:t>AEO check (flag value Y; 484 taxpayers flagged since Oct 2023, 298 flagged in the last 12 months and in the Sep 2026 list). History Risk Band of current AEO members: VERY LOW 87%, LOW 11%, MEDIUM 1.3%, HIGH 1 taxpayer (0.3%), VERY HIGH none; other taxpayers: 81%, 14%, 2.3%, 1.5%, 0.4%. Back-test Mar 2026: checks on AEO members found a top-up 1.7% of the time against 7.3% for others, and 14% of their declarations were checked against 69%. The model's view agrees with the AEO programme. To raise with officers: 1 AEO member at HIGH on its record (39% of declarations topped up) and 3 with a Risky Behaviour Flag. Not a score input; kept out of the model documents</w:t>
            </w:r>
          </w:p>
        </w:tc>
        <w:tc>
          <w:tcPr>
            <w:tcW w:type="dxa" w:w="4876"/>
          </w:tcPr>
          <w:p>
            <w:pPr>
              <w:spacing w:after="20" w:before="20" w:line="240" w:lineRule="auto"/>
            </w:pPr>
            <w:r/>
            <w:r>
              <w:rPr>
                <w:sz w:val="16"/>
              </w:rPr>
              <w:t>results/CTRP_aeo_check_2026-09-30.xlsx</w:t>
            </w:r>
          </w:p>
        </w:tc>
      </w:tr>
      <w:tr>
        <w:tc>
          <w:tcPr>
            <w:tcW w:type="dxa" w:w="574"/>
          </w:tcPr>
          <w:p>
            <w:pPr>
              <w:spacing w:after="20" w:before="20" w:line="240" w:lineRule="auto"/>
            </w:pPr>
            <w:r/>
            <w:r>
              <w:rPr>
                <w:sz w:val="16"/>
              </w:rPr>
              <w:t>99</w:t>
            </w:r>
          </w:p>
        </w:tc>
        <w:tc>
          <w:tcPr>
            <w:tcW w:type="dxa" w:w="4302"/>
          </w:tcPr>
          <w:p>
            <w:pPr>
              <w:spacing w:after="20" w:before="20" w:line="240" w:lineRule="auto"/>
            </w:pPr>
            <w:r/>
            <w:r>
              <w:rPr>
                <w:sz w:val="16"/>
              </w:rPr>
              <w:t>Feature contributions measured for the review with Stella (6 full dates, adopted settings, AUC per check 0.796). Each Track A parameter alone: PAR_045T 0.81, PAR_045 0.80, PAR_048 0.73, PAR_077 0.68, PAR_076 0.59, PAR_066 0.56, PAR_105 0.45, PAR_023 0.37. Share of points among HIGH and above: PAR_045T 36%, PAR_077 34%, PAR_045 21%, the other five 10% together. Dropping one at a time: PAR_045T costs 0.019 AUC, PAR_045 0.004, the rest move it by under 0.003 either way (dropping PAR_105 gains 0.006). Reading: the top-up share is the backbone; the small five add little against top-ups but cover risks top-ups cannot see; a question for the weights session, not a reason to drop them now. PAR_105 and PAR_023 below 0.5 alone: taxpayers with a recent top-up, and multi-station traders, are checked often and found less per check. Track B, now with Sep 2022 added (5 test dates): AUC per check regular 0.605 (Track A on the same group 0.557), small 0.583 (0.536). Finding: 506 of the 510 live flags have "many different kinds of goods per declaration" as reason 1 and the median flagged taxpayer has 1 declaration; the flag is dominated by one feature. To fix before Track B goes live (cap any one feature's share, require two signals, train on the version 2 features once all dates have them)</w:t>
            </w:r>
          </w:p>
        </w:tc>
        <w:tc>
          <w:tcPr>
            <w:tcW w:type="dxa" w:w="4876"/>
          </w:tcPr>
          <w:p>
            <w:pPr>
              <w:spacing w:after="20" w:before="20" w:line="240" w:lineRule="auto"/>
            </w:pPr>
            <w:r/>
            <w:r>
              <w:rPr>
                <w:sz w:val="16"/>
              </w:rPr>
              <w:t>results for the review deck</w:t>
            </w:r>
          </w:p>
        </w:tc>
      </w:tr>
      <w:tr>
        <w:tc>
          <w:tcPr>
            <w:tcW w:type="dxa" w:w="574"/>
          </w:tcPr>
          <w:p>
            <w:pPr>
              <w:spacing w:after="20" w:before="20" w:line="240" w:lineRule="auto"/>
            </w:pPr>
            <w:r/>
            <w:r>
              <w:rPr>
                <w:sz w:val="16"/>
              </w:rPr>
              <w:t>100</w:t>
            </w:r>
          </w:p>
        </w:tc>
        <w:tc>
          <w:tcPr>
            <w:tcW w:type="dxa" w:w="4302"/>
          </w:tcPr>
          <w:p>
            <w:pPr>
              <w:spacing w:after="20" w:before="20" w:line="240" w:lineRule="auto"/>
            </w:pPr>
            <w:r/>
            <w:r>
              <w:rPr>
                <w:sz w:val="16"/>
              </w:rPr>
              <w:t xml:space="preserve">Track B's flag renamed </w:t>
            </w:r>
            <w:r>
              <w:rPr>
                <w:b/>
                <w:sz w:val="16"/>
              </w:rPr>
              <w:t>Risky Behaviour Flag</w:t>
            </w:r>
            <w:r>
              <w:rPr>
                <w:sz w:val="16"/>
              </w:rPr>
              <w:t xml:space="preserve"> (was Risk Behaviour Flag), at Data Science's request: it flags behaviour that is risky, not a measure of risk. Workbook column and sheet ('Risky behaviour flags') renamed; review.py still reads workbooks made before the change</w:t>
            </w:r>
          </w:p>
        </w:tc>
        <w:tc>
          <w:tcPr>
            <w:tcW w:type="dxa" w:w="4876"/>
          </w:tcPr>
          <w:p>
            <w:pPr>
              <w:spacing w:after="20" w:before="20" w:line="240" w:lineRule="auto"/>
            </w:pPr>
            <w:r/>
            <w:r>
              <w:rPr>
                <w:sz w:val="16"/>
              </w:rPr>
              <w:t>Wording only; scores unchanged</w:t>
            </w:r>
          </w:p>
        </w:tc>
      </w:tr>
      <w:tr>
        <w:tc>
          <w:tcPr>
            <w:tcW w:type="dxa" w:w="574"/>
          </w:tcPr>
          <w:p>
            <w:pPr>
              <w:spacing w:after="20" w:before="20" w:line="240" w:lineRule="auto"/>
            </w:pPr>
            <w:r/>
            <w:r>
              <w:rPr>
                <w:sz w:val="16"/>
              </w:rPr>
              <w:t>101</w:t>
            </w:r>
          </w:p>
        </w:tc>
        <w:tc>
          <w:tcPr>
            <w:tcW w:type="dxa" w:w="4302"/>
          </w:tcPr>
          <w:p>
            <w:pPr>
              <w:spacing w:after="20" w:before="20" w:line="240" w:lineRule="auto"/>
            </w:pPr>
            <w:r/>
            <w:r>
              <w:rPr>
                <w:sz w:val="16"/>
              </w:rPr>
              <w:t>Missed-revenue workbook: entries whose underpriced items paid no tax at all (an exemption APC or a zero rate) move to their own sheet, "Exempt or zero-rated", out of the totals: at the peer price they would still pay no tax, so the question for NTC is whether the exemption was valid. audit_02 now returns the APC(s) on the underpriced items and their tax. The test of the estimate uses taxed entries only (top-up as a share of our estimate 44.2%, was 44.6%). The Read me notes that the rate includes VAT, which registered importers may reclaim</w:t>
            </w:r>
          </w:p>
        </w:tc>
        <w:tc>
          <w:tcPr>
            <w:tcW w:type="dxa" w:w="4876"/>
          </w:tcPr>
          <w:p>
            <w:pPr>
              <w:spacing w:after="20" w:before="20" w:line="240" w:lineRule="auto"/>
            </w:pPr>
            <w:r/>
            <w:r>
              <w:rPr>
                <w:sz w:val="16"/>
              </w:rPr>
              <w:t>1,615 declarations (450 taxpayers, UGX 150 bn potential undervaluation) moved; listed declarations 13,845 from 15,460, taxpayers 4,773 from 4,954; estimate unchanged at UGX 204 bn (they contributed 0), cautious figure UGX 90 bn</w:t>
            </w:r>
          </w:p>
        </w:tc>
      </w:tr>
      <w:tr>
        <w:tc>
          <w:tcPr>
            <w:tcW w:type="dxa" w:w="574"/>
          </w:tcPr>
          <w:p>
            <w:pPr>
              <w:spacing w:after="20" w:before="20" w:line="240" w:lineRule="auto"/>
            </w:pPr>
            <w:r/>
            <w:r>
              <w:rPr>
                <w:sz w:val="16"/>
              </w:rPr>
              <w:t>102</w:t>
            </w:r>
          </w:p>
        </w:tc>
        <w:tc>
          <w:tcPr>
            <w:tcW w:type="dxa" w:w="4302"/>
          </w:tcPr>
          <w:p>
            <w:pPr>
              <w:spacing w:after="20" w:before="20" w:line="240" w:lineRule="auto"/>
            </w:pPr>
            <w:r/>
            <w:r>
              <w:rPr>
                <w:sz w:val="16"/>
              </w:rPr>
              <w:t>Parameter register: every parameter in the lists NTC and Business Analysis shared on 16 Oct 2026 (eHub confirmed list PAR_001 to PAR_108, Business Risk Profile parameters, the 27 Oct 2025 profile list, the two NTC scorecards, lane targeting) sorted into scored, tested, query written, data request, or not for this score (</w:t>
            </w:r>
            <w:r>
              <w:rPr>
                <w:rFonts w:ascii="Consolas" w:hAnsi="Consolas"/>
                <w:sz w:val="16"/>
              </w:rPr>
              <w:t>src/ctrp/register.py</w:t>
            </w:r>
            <w:r>
              <w:rPr>
                <w:sz w:val="16"/>
              </w:rPr>
              <w:t>, sheet "Parameter register" in CTRP_candidate_parameters.xlsx)</w:t>
            </w:r>
          </w:p>
        </w:tc>
        <w:tc>
          <w:tcPr>
            <w:tcW w:type="dxa" w:w="4876"/>
          </w:tcPr>
          <w:p>
            <w:pPr>
              <w:spacing w:after="20" w:before="20" w:line="240" w:lineRule="auto"/>
            </w:pPr>
            <w:r/>
            <w:r>
              <w:rPr>
                <w:sz w:val="16"/>
              </w:rPr>
              <w:t>The eHub list names the DWH_CORE table and column for many parameters blocked in our view (seizures, agent TIN, undervaluation and misclassification flags, original against final value), which makes the data request specific</w:t>
            </w:r>
          </w:p>
        </w:tc>
      </w:tr>
      <w:tr>
        <w:tc>
          <w:tcPr>
            <w:tcW w:type="dxa" w:w="574"/>
          </w:tcPr>
          <w:p>
            <w:pPr>
              <w:spacing w:after="20" w:before="20" w:line="240" w:lineRule="auto"/>
            </w:pPr>
            <w:r/>
            <w:r>
              <w:rPr>
                <w:sz w:val="16"/>
              </w:rPr>
              <w:t>103</w:t>
            </w:r>
          </w:p>
        </w:tc>
        <w:tc>
          <w:tcPr>
            <w:tcW w:type="dxa" w:w="4302"/>
          </w:tcPr>
          <w:p>
            <w:pPr>
              <w:spacing w:after="20" w:before="20" w:line="240" w:lineRule="auto"/>
            </w:pPr>
            <w:r/>
            <w:r>
              <w:rPr>
                <w:sz w:val="16"/>
              </w:rPr>
              <w:t xml:space="preserve">Candidates testable with data in hand, same test as the current eight (AUC per check alone, and added to Track A at weight 3 and 9; </w:t>
            </w:r>
            <w:r>
              <w:rPr>
                <w:rFonts w:ascii="Consolas" w:hAnsi="Consolas"/>
                <w:sz w:val="16"/>
              </w:rPr>
              <w:t>python main.py candidates</w:t>
            </w:r>
            <w:r>
              <w:rPr>
                <w:sz w:val="16"/>
              </w:rPr>
              <w:t>). None is added. Size-type measures run against the lists' assumption: more declarations, more origins, more goods, more APCs, more IM7 and exemption use all mean FEWER top-ups per check (alone AUC 0.26 to 0.48) and lower Track A on every date. Small gains, held: hit rate per check (+0.0006, 7 of 18 better; replacing PAR_045T with it is worse on 18 of 18), first-time importer (+0.0015, 10 of 18 better, but top 5% precision 53.0% to 52.8%), duty shortfall against HS peers (+0.0012, 3 of 4)</w:t>
            </w:r>
          </w:p>
        </w:tc>
        <w:tc>
          <w:tcPr>
            <w:tcW w:type="dxa" w:w="4876"/>
          </w:tcPr>
          <w:p>
            <w:pPr>
              <w:spacing w:after="20" w:before="20" w:line="240" w:lineRule="auto"/>
            </w:pPr>
            <w:r/>
            <w:r>
              <w:rPr>
                <w:sz w:val="16"/>
              </w:rPr>
              <w:t>Long run 18 dates, full extracts 7, version 2 extracts 4; Track A on the same dates each time</w:t>
            </w:r>
          </w:p>
        </w:tc>
      </w:tr>
      <w:tr>
        <w:tc>
          <w:tcPr>
            <w:tcW w:type="dxa" w:w="574"/>
          </w:tcPr>
          <w:p>
            <w:pPr>
              <w:spacing w:after="20" w:before="20" w:line="240" w:lineRule="auto"/>
            </w:pPr>
            <w:r/>
            <w:r>
              <w:rPr>
                <w:sz w:val="16"/>
              </w:rPr>
              <w:t>104</w:t>
            </w:r>
          </w:p>
        </w:tc>
        <w:tc>
          <w:tcPr>
            <w:tcW w:type="dxa" w:w="4302"/>
          </w:tcPr>
          <w:p>
            <w:pPr>
              <w:spacing w:after="20" w:before="20" w:line="240" w:lineRule="auto"/>
            </w:pPr>
            <w:r/>
            <w:r>
              <w:rPr>
                <w:sz w:val="16"/>
              </w:rPr>
              <w:t>NTC's own rules as challengers, 18 dates: the computable rows of the Business Risk scorecard (hit rate, top-up ratio, average top-up, NTC points and weights) AUC 0.80 against Track A 0.82, lower on all 18 dates; precision in the top 5% 33% against 53%. Lane-targeting thresholds applied to everyone (tier not in the view): Tier 1 0.71, Tier 2 0.75, Tier 3 0.77</w:t>
            </w:r>
          </w:p>
        </w:tc>
        <w:tc>
          <w:tcPr>
            <w:tcW w:type="dxa" w:w="4876"/>
          </w:tcPr>
          <w:p>
            <w:pPr>
              <w:spacing w:after="20" w:before="20" w:line="240" w:lineRule="auto"/>
            </w:pPr>
            <w:r/>
            <w:r>
              <w:rPr>
                <w:sz w:val="16"/>
              </w:rPr>
              <w:t>Supports keeping Track A's rates with credibility weighting over fixed amounts and thresholds</w:t>
            </w:r>
          </w:p>
        </w:tc>
      </w:tr>
      <w:tr>
        <w:tc>
          <w:tcPr>
            <w:tcW w:type="dxa" w:w="574"/>
          </w:tcPr>
          <w:p>
            <w:pPr>
              <w:spacing w:after="20" w:before="20" w:line="240" w:lineRule="auto"/>
            </w:pPr>
            <w:r/>
            <w:r>
              <w:rPr>
                <w:sz w:val="16"/>
              </w:rPr>
              <w:t>105</w:t>
            </w:r>
          </w:p>
        </w:tc>
        <w:tc>
          <w:tcPr>
            <w:tcW w:type="dxa" w:w="4302"/>
          </w:tcPr>
          <w:p>
            <w:pPr>
              <w:spacing w:after="20" w:before="20" w:line="240" w:lineRule="auto"/>
            </w:pPr>
            <w:r/>
            <w:r>
              <w:rPr>
                <w:sz w:val="16"/>
              </w:rPr>
              <w:t>Long-run add-on queries (</w:t>
            </w:r>
            <w:r>
              <w:rPr>
                <w:rFonts w:ascii="Consolas" w:hAnsi="Consolas"/>
                <w:sz w:val="16"/>
              </w:rPr>
              <w:t>python main.py sql --addon</w:t>
            </w:r>
            <w:r>
              <w:rPr>
                <w:sz w:val="16"/>
              </w:rPr>
              <w:t xml:space="preserve">, 11 yearly pieces 2016 to 2026): sensitive goods (CET 2022 SI list, 50 lines), depth of exemption (no tax / some tax / tax relief against the normal rate for the goods), the past hit rate of the taxpayer's origins and HS chapters (only the 4 earlier half-years, smoothed with 30 checks), NTC's origin list, and top-ups by regime (IM4 and IM7). Tested on synthetic data in DuckDB (spark SQL transpiled); results checked by hand. Once saved in data/long_run_addon/, </w:t>
            </w:r>
            <w:r>
              <w:rPr>
                <w:rFonts w:ascii="Consolas" w:hAnsi="Consolas"/>
                <w:sz w:val="16"/>
              </w:rPr>
              <w:t>python main.py candidates</w:t>
            </w:r>
            <w:r>
              <w:rPr>
                <w:sz w:val="16"/>
              </w:rPr>
              <w:t xml:space="preserve"> tests them and adds nature of imports, APCs and origin to the NTC scorecard challenger</w:t>
            </w:r>
          </w:p>
        </w:tc>
        <w:tc>
          <w:tcPr>
            <w:tcW w:type="dxa" w:w="4876"/>
          </w:tcPr>
          <w:p>
            <w:pPr>
              <w:spacing w:after="20" w:before="20" w:line="240" w:lineRule="auto"/>
            </w:pPr>
            <w:r/>
            <w:r>
              <w:rPr>
                <w:sz w:val="16"/>
              </w:rPr>
              <w:t>NTC weights for APC and origin rows are blank in their sheet; 1 is assumed, 3 for nature of imports (their weight)</w:t>
            </w:r>
          </w:p>
        </w:tc>
      </w:tr>
      <w:tr>
        <w:tc>
          <w:tcPr>
            <w:tcW w:type="dxa" w:w="574"/>
          </w:tcPr>
          <w:p>
            <w:pPr>
              <w:spacing w:after="20" w:before="20" w:line="240" w:lineRule="auto"/>
            </w:pPr>
            <w:r/>
            <w:r>
              <w:rPr>
                <w:sz w:val="16"/>
              </w:rPr>
              <w:t>106</w:t>
            </w:r>
          </w:p>
        </w:tc>
        <w:tc>
          <w:tcPr>
            <w:tcW w:type="dxa" w:w="4302"/>
          </w:tcPr>
          <w:p>
            <w:pPr>
              <w:spacing w:after="20" w:before="20" w:line="240" w:lineRule="auto"/>
            </w:pPr>
            <w:r/>
            <w:r>
              <w:rPr>
                <w:sz w:val="16"/>
              </w:rPr>
              <w:t>Data request, in priority order: (1) seizures and penalties (DWH_CORE.VW_CSTM_SEIZURE_F), (2) agent TIN, (3) declaration versions (VARIANCE_ORIG_FINAL_VALUE, HS code versions), (4) IS_UNDER_VALUED and IS_MISCLASSIFIED, (5) e-tax (tier, registration, returns), (6) boxes 45 and 46, (7) high-risk commodity flag, (8) supplier relationship, (9) audits, investigations, legal, (10) NTC compliance measurement scores. Ordered by NTC weight, the number of blocked parameters unlocked, and whether eHub has already located the column</w:t>
            </w:r>
          </w:p>
        </w:tc>
        <w:tc>
          <w:tcPr>
            <w:tcW w:type="dxa" w:w="4876"/>
          </w:tcPr>
          <w:p>
            <w:pPr>
              <w:spacing w:after="20" w:before="20" w:line="240" w:lineRule="auto"/>
            </w:pPr>
            <w:r/>
            <w:r>
              <w:rPr>
                <w:sz w:val="16"/>
              </w:rPr>
              <w:t>Sheet "Data request"</w:t>
            </w:r>
          </w:p>
        </w:tc>
      </w:tr>
      <w:tr>
        <w:tc>
          <w:tcPr>
            <w:tcW w:type="dxa" w:w="574"/>
          </w:tcPr>
          <w:p>
            <w:pPr>
              <w:spacing w:after="20" w:before="20" w:line="240" w:lineRule="auto"/>
            </w:pPr>
            <w:r/>
            <w:r>
              <w:rPr>
                <w:sz w:val="16"/>
              </w:rPr>
              <w:t>107</w:t>
            </w:r>
          </w:p>
        </w:tc>
        <w:tc>
          <w:tcPr>
            <w:tcW w:type="dxa" w:w="4302"/>
          </w:tcPr>
          <w:p>
            <w:pPr>
              <w:spacing w:after="20" w:before="20" w:line="240" w:lineRule="auto"/>
            </w:pPr>
            <w:r/>
            <w:r>
              <w:rPr>
                <w:sz w:val="16"/>
              </w:rPr>
              <w:t>The add-on queries were too slow (over 30 minutes for one piece): each read three years and used rolling windows and percentiles. Rewritten to read one year per piece, like the long run, with no window functions (other than the usual de-duplication) and no percentiles. Two definitions change: the origin and goods rate now comes from the same half-year, using OTHER taxpayers' checks only (the taxpayer's own checks are taken out, so its own top-ups do not count twice); the normal tax rate per tariff line is tax over value instead of the median. Checked on synthetic data in DuckDB against a hand calculation in pandas (exact match)</w:t>
            </w:r>
          </w:p>
        </w:tc>
        <w:tc>
          <w:tcPr>
            <w:tcW w:type="dxa" w:w="4876"/>
          </w:tcPr>
          <w:p>
            <w:pPr>
              <w:spacing w:after="20" w:before="20" w:line="240" w:lineRule="auto"/>
            </w:pPr>
            <w:r/>
            <w:r>
              <w:rPr>
                <w:sz w:val="16"/>
              </w:rPr>
              <w:t>Data Science: the first version ran 30+ minutes in Hue</w:t>
            </w:r>
          </w:p>
        </w:tc>
      </w:tr>
    </w:tbl>
    <w:p>
      <w:pPr>
        <w:spacing w:after="40"/>
      </w:pPr>
    </w:p>
    <w:sectPr w:rsidR="00AF3E2F" w:rsidRPr="00F7156B" w:rsidSect="0098200B">
      <w:footerReference w:type="default" r:id="rId25"/>
      <w:headerReference w:type="default" r:id="rId26"/>
      <w:pgSz w:w="11906" w:h="16838" w:code="9"/>
      <w:pgMar w:top="1440" w:right="1077" w:bottom="1440" w:left="1077" w:header="706" w:footer="706"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86F" w:rsidRDefault="008A586F">
      <w:r>
        <w:separator/>
      </w:r>
    </w:p>
    <w:p w:rsidR="008A586F" w:rsidRDefault="008A586F"/>
    <w:p w:rsidR="008A586F" w:rsidRDefault="008A586F" w:rsidP="004E1DE7"/>
    <w:p w:rsidR="008A586F" w:rsidRDefault="008A586F" w:rsidP="00646C6E"/>
  </w:endnote>
  <w:endnote w:type="continuationSeparator" w:id="0">
    <w:p w:rsidR="008A586F" w:rsidRDefault="008A586F">
      <w:r>
        <w:continuationSeparator/>
      </w:r>
    </w:p>
    <w:p w:rsidR="008A586F" w:rsidRDefault="008A586F"/>
    <w:p w:rsidR="008A586F" w:rsidRDefault="008A586F" w:rsidP="004E1DE7"/>
    <w:p w:rsidR="008A586F" w:rsidRDefault="008A586F" w:rsidP="00646C6E"/>
  </w:endnote>
  <w:endnote w:type="continuationNotice" w:id="1">
    <w:p w:rsidR="008A586F" w:rsidRDefault="008A586F"/>
    <w:p w:rsidR="008A586F" w:rsidRDefault="008A586F"/>
    <w:p w:rsidR="008A586F" w:rsidRDefault="008A586F" w:rsidP="004E1DE7"/>
    <w:p w:rsidR="008A586F" w:rsidRDefault="008A586F" w:rsidP="00646C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30865677"/>
      <w:docPartObj>
        <w:docPartGallery w:val="Page Numbers (Bottom of Page)"/>
        <w:docPartUnique/>
      </w:docPartObj>
    </w:sdtPr>
    <w:sdtEndPr>
      <w:rPr>
        <w:rStyle w:val="PageNumber"/>
      </w:rPr>
    </w:sdtEndPr>
    <w:sdtContent>
      <w:p w:rsidR="009D7C80" w:rsidRDefault="009D7C80" w:rsidP="00DF23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261090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D7C80" w:rsidRDefault="009D7C80" w:rsidP="003E54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434012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1DFA84F2">
      <w:trPr>
        <w:trHeight w:val="300"/>
      </w:trPr>
      <w:tc>
        <w:tcPr>
          <w:tcW w:w="4065" w:type="dxa"/>
        </w:tcPr>
        <w:p w:rsidR="009D7C80" w:rsidRDefault="009D7C80" w:rsidP="1DFA84F2">
          <w:pPr>
            <w:ind w:left="-115"/>
          </w:pPr>
        </w:p>
      </w:tc>
      <w:tc>
        <w:tcPr>
          <w:tcW w:w="4065" w:type="dxa"/>
        </w:tcPr>
        <w:p w:rsidR="009D7C80" w:rsidRDefault="009D7C80" w:rsidP="1DFA84F2">
          <w:pPr>
            <w:jc w:val="center"/>
          </w:pPr>
        </w:p>
      </w:tc>
      <w:tc>
        <w:tcPr>
          <w:tcW w:w="4065" w:type="dxa"/>
        </w:tcPr>
        <w:p w:rsidR="009D7C80" w:rsidRDefault="009D7C80" w:rsidP="1DFA84F2">
          <w:pPr>
            <w:ind w:right="-115"/>
            <w:jc w:val="right"/>
          </w:pP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6666510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9D7C80" w:rsidRDefault="009D7C80" w:rsidP="00F7156B"/>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86F" w:rsidRDefault="008A586F">
      <w:r>
        <w:separator/>
      </w:r>
    </w:p>
    <w:p w:rsidR="008A586F" w:rsidRDefault="008A586F"/>
    <w:p w:rsidR="008A586F" w:rsidRDefault="008A586F" w:rsidP="004E1DE7"/>
    <w:p w:rsidR="008A586F" w:rsidRDefault="008A586F" w:rsidP="00646C6E"/>
  </w:footnote>
  <w:footnote w:type="continuationSeparator" w:id="0">
    <w:p w:rsidR="008A586F" w:rsidRDefault="008A586F">
      <w:r>
        <w:continuationSeparator/>
      </w:r>
    </w:p>
    <w:p w:rsidR="008A586F" w:rsidRDefault="008A586F"/>
    <w:p w:rsidR="008A586F" w:rsidRDefault="008A586F" w:rsidP="004E1DE7"/>
    <w:p w:rsidR="008A586F" w:rsidRDefault="008A586F" w:rsidP="00646C6E"/>
  </w:footnote>
  <w:footnote w:type="continuationNotice" w:id="1">
    <w:p w:rsidR="008A586F" w:rsidRDefault="008A586F"/>
    <w:p w:rsidR="008A586F" w:rsidRDefault="008A586F"/>
    <w:p w:rsidR="008A586F" w:rsidRDefault="008A586F" w:rsidP="004E1DE7"/>
    <w:p w:rsidR="008A586F" w:rsidRDefault="008A586F" w:rsidP="00646C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7D3BB2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009D7C80">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6EA2"/>
    <w:multiLevelType w:val="hybridMultilevel"/>
    <w:tmpl w:val="2A4C00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30E9B"/>
    <w:multiLevelType w:val="hybridMultilevel"/>
    <w:tmpl w:val="63FA0408"/>
    <w:lvl w:ilvl="0" w:tplc="E2243F7E">
      <w:start w:val="1"/>
      <w:numFmt w:val="bullet"/>
      <w:lvlText w:val=""/>
      <w:lvlJc w:val="left"/>
      <w:pPr>
        <w:ind w:left="360" w:hanging="360"/>
      </w:pPr>
      <w:rPr>
        <w:rFonts w:ascii="Symbol" w:hAnsi="Symbol" w:hint="default"/>
      </w:rPr>
    </w:lvl>
    <w:lvl w:ilvl="1" w:tplc="2C8C6B6C">
      <w:start w:val="1"/>
      <w:numFmt w:val="bullet"/>
      <w:lvlText w:val="o"/>
      <w:lvlJc w:val="left"/>
      <w:pPr>
        <w:ind w:left="1080" w:hanging="360"/>
      </w:pPr>
      <w:rPr>
        <w:rFonts w:ascii="Courier New" w:hAnsi="Courier New" w:hint="default"/>
      </w:rPr>
    </w:lvl>
    <w:lvl w:ilvl="2" w:tplc="83F841E6">
      <w:start w:val="1"/>
      <w:numFmt w:val="bullet"/>
      <w:lvlText w:val=""/>
      <w:lvlJc w:val="left"/>
      <w:pPr>
        <w:ind w:left="1800" w:hanging="360"/>
      </w:pPr>
      <w:rPr>
        <w:rFonts w:ascii="Wingdings" w:hAnsi="Wingdings" w:hint="default"/>
      </w:rPr>
    </w:lvl>
    <w:lvl w:ilvl="3" w:tplc="9392C1AC">
      <w:start w:val="1"/>
      <w:numFmt w:val="bullet"/>
      <w:lvlText w:val=""/>
      <w:lvlJc w:val="left"/>
      <w:pPr>
        <w:ind w:left="2520" w:hanging="360"/>
      </w:pPr>
      <w:rPr>
        <w:rFonts w:ascii="Symbol" w:hAnsi="Symbol" w:hint="default"/>
      </w:rPr>
    </w:lvl>
    <w:lvl w:ilvl="4" w:tplc="83667E06">
      <w:start w:val="1"/>
      <w:numFmt w:val="bullet"/>
      <w:lvlText w:val="o"/>
      <w:lvlJc w:val="left"/>
      <w:pPr>
        <w:ind w:left="3240" w:hanging="360"/>
      </w:pPr>
      <w:rPr>
        <w:rFonts w:ascii="Courier New" w:hAnsi="Courier New" w:hint="default"/>
      </w:rPr>
    </w:lvl>
    <w:lvl w:ilvl="5" w:tplc="3A2C255A">
      <w:start w:val="1"/>
      <w:numFmt w:val="bullet"/>
      <w:lvlText w:val=""/>
      <w:lvlJc w:val="left"/>
      <w:pPr>
        <w:ind w:left="3960" w:hanging="360"/>
      </w:pPr>
      <w:rPr>
        <w:rFonts w:ascii="Wingdings" w:hAnsi="Wingdings" w:hint="default"/>
      </w:rPr>
    </w:lvl>
    <w:lvl w:ilvl="6" w:tplc="78BE9F88">
      <w:start w:val="1"/>
      <w:numFmt w:val="bullet"/>
      <w:lvlText w:val=""/>
      <w:lvlJc w:val="left"/>
      <w:pPr>
        <w:ind w:left="4680" w:hanging="360"/>
      </w:pPr>
      <w:rPr>
        <w:rFonts w:ascii="Symbol" w:hAnsi="Symbol" w:hint="default"/>
      </w:rPr>
    </w:lvl>
    <w:lvl w:ilvl="7" w:tplc="B0F65DFE">
      <w:start w:val="1"/>
      <w:numFmt w:val="bullet"/>
      <w:lvlText w:val="o"/>
      <w:lvlJc w:val="left"/>
      <w:pPr>
        <w:ind w:left="5400" w:hanging="360"/>
      </w:pPr>
      <w:rPr>
        <w:rFonts w:ascii="Courier New" w:hAnsi="Courier New" w:hint="default"/>
      </w:rPr>
    </w:lvl>
    <w:lvl w:ilvl="8" w:tplc="460482AA">
      <w:start w:val="1"/>
      <w:numFmt w:val="bullet"/>
      <w:lvlText w:val=""/>
      <w:lvlJc w:val="left"/>
      <w:pPr>
        <w:ind w:left="6120" w:hanging="360"/>
      </w:pPr>
      <w:rPr>
        <w:rFonts w:ascii="Wingdings" w:hAnsi="Wingdings" w:hint="default"/>
      </w:rPr>
    </w:lvl>
  </w:abstractNum>
  <w:abstractNum w:abstractNumId="2" w15:restartNumberingAfterBreak="0">
    <w:nsid w:val="08E44867"/>
    <w:multiLevelType w:val="hybridMultilevel"/>
    <w:tmpl w:val="99386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D26F72"/>
    <w:multiLevelType w:val="hybridMultilevel"/>
    <w:tmpl w:val="4080F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D3006"/>
    <w:multiLevelType w:val="hybridMultilevel"/>
    <w:tmpl w:val="16DA14F2"/>
    <w:lvl w:ilvl="0" w:tplc="EEACD134">
      <w:start w:val="1"/>
      <w:numFmt w:val="bullet"/>
      <w:lvlText w:val=""/>
      <w:lvlJc w:val="left"/>
      <w:pPr>
        <w:ind w:left="720" w:hanging="360"/>
      </w:pPr>
      <w:rPr>
        <w:rFonts w:ascii="Symbol" w:hAnsi="Symbol" w:hint="default"/>
      </w:rPr>
    </w:lvl>
    <w:lvl w:ilvl="1" w:tplc="4CC6BD6C">
      <w:start w:val="1"/>
      <w:numFmt w:val="bullet"/>
      <w:lvlText w:val="o"/>
      <w:lvlJc w:val="left"/>
      <w:pPr>
        <w:ind w:left="1440" w:hanging="360"/>
      </w:pPr>
      <w:rPr>
        <w:rFonts w:ascii="Courier New" w:hAnsi="Courier New" w:hint="default"/>
      </w:rPr>
    </w:lvl>
    <w:lvl w:ilvl="2" w:tplc="7AA0D4C0">
      <w:start w:val="1"/>
      <w:numFmt w:val="bullet"/>
      <w:lvlText w:val=""/>
      <w:lvlJc w:val="left"/>
      <w:pPr>
        <w:ind w:left="2160" w:hanging="360"/>
      </w:pPr>
      <w:rPr>
        <w:rFonts w:ascii="Wingdings" w:hAnsi="Wingdings" w:hint="default"/>
      </w:rPr>
    </w:lvl>
    <w:lvl w:ilvl="3" w:tplc="71CC0DAE">
      <w:start w:val="1"/>
      <w:numFmt w:val="bullet"/>
      <w:lvlText w:val=""/>
      <w:lvlJc w:val="left"/>
      <w:pPr>
        <w:ind w:left="2880" w:hanging="360"/>
      </w:pPr>
      <w:rPr>
        <w:rFonts w:ascii="Symbol" w:hAnsi="Symbol" w:hint="default"/>
      </w:rPr>
    </w:lvl>
    <w:lvl w:ilvl="4" w:tplc="11B83AC4">
      <w:start w:val="1"/>
      <w:numFmt w:val="bullet"/>
      <w:lvlText w:val="o"/>
      <w:lvlJc w:val="left"/>
      <w:pPr>
        <w:ind w:left="3600" w:hanging="360"/>
      </w:pPr>
      <w:rPr>
        <w:rFonts w:ascii="Courier New" w:hAnsi="Courier New" w:hint="default"/>
      </w:rPr>
    </w:lvl>
    <w:lvl w:ilvl="5" w:tplc="D9505A42">
      <w:start w:val="1"/>
      <w:numFmt w:val="bullet"/>
      <w:lvlText w:val=""/>
      <w:lvlJc w:val="left"/>
      <w:pPr>
        <w:ind w:left="4320" w:hanging="360"/>
      </w:pPr>
      <w:rPr>
        <w:rFonts w:ascii="Wingdings" w:hAnsi="Wingdings" w:hint="default"/>
      </w:rPr>
    </w:lvl>
    <w:lvl w:ilvl="6" w:tplc="FF7A86F0">
      <w:start w:val="1"/>
      <w:numFmt w:val="bullet"/>
      <w:lvlText w:val=""/>
      <w:lvlJc w:val="left"/>
      <w:pPr>
        <w:ind w:left="5040" w:hanging="360"/>
      </w:pPr>
      <w:rPr>
        <w:rFonts w:ascii="Symbol" w:hAnsi="Symbol" w:hint="default"/>
      </w:rPr>
    </w:lvl>
    <w:lvl w:ilvl="7" w:tplc="4ED22F12">
      <w:start w:val="1"/>
      <w:numFmt w:val="bullet"/>
      <w:lvlText w:val="o"/>
      <w:lvlJc w:val="left"/>
      <w:pPr>
        <w:ind w:left="5760" w:hanging="360"/>
      </w:pPr>
      <w:rPr>
        <w:rFonts w:ascii="Courier New" w:hAnsi="Courier New" w:hint="default"/>
      </w:rPr>
    </w:lvl>
    <w:lvl w:ilvl="8" w:tplc="2C46FEA6">
      <w:start w:val="1"/>
      <w:numFmt w:val="bullet"/>
      <w:lvlText w:val=""/>
      <w:lvlJc w:val="left"/>
      <w:pPr>
        <w:ind w:left="6480" w:hanging="360"/>
      </w:pPr>
      <w:rPr>
        <w:rFonts w:ascii="Wingdings" w:hAnsi="Wingdings" w:hint="default"/>
      </w:rPr>
    </w:lvl>
  </w:abstractNum>
  <w:abstractNum w:abstractNumId="5" w15:restartNumberingAfterBreak="0">
    <w:nsid w:val="13FEF0E7"/>
    <w:multiLevelType w:val="hybridMultilevel"/>
    <w:tmpl w:val="061CA94E"/>
    <w:lvl w:ilvl="0" w:tplc="881C414E">
      <w:start w:val="1"/>
      <w:numFmt w:val="bullet"/>
      <w:lvlText w:val=""/>
      <w:lvlJc w:val="left"/>
      <w:pPr>
        <w:ind w:left="720" w:hanging="360"/>
      </w:pPr>
      <w:rPr>
        <w:rFonts w:ascii="Symbol" w:hAnsi="Symbol" w:hint="default"/>
      </w:rPr>
    </w:lvl>
    <w:lvl w:ilvl="1" w:tplc="A65EFA46">
      <w:start w:val="1"/>
      <w:numFmt w:val="bullet"/>
      <w:lvlText w:val="o"/>
      <w:lvlJc w:val="left"/>
      <w:pPr>
        <w:ind w:left="1440" w:hanging="360"/>
      </w:pPr>
      <w:rPr>
        <w:rFonts w:ascii="Courier New" w:hAnsi="Courier New" w:hint="default"/>
      </w:rPr>
    </w:lvl>
    <w:lvl w:ilvl="2" w:tplc="0DE8C39C">
      <w:start w:val="1"/>
      <w:numFmt w:val="bullet"/>
      <w:lvlText w:val=""/>
      <w:lvlJc w:val="left"/>
      <w:pPr>
        <w:ind w:left="2160" w:hanging="360"/>
      </w:pPr>
      <w:rPr>
        <w:rFonts w:ascii="Wingdings" w:hAnsi="Wingdings" w:hint="default"/>
      </w:rPr>
    </w:lvl>
    <w:lvl w:ilvl="3" w:tplc="CF7E994C">
      <w:start w:val="1"/>
      <w:numFmt w:val="bullet"/>
      <w:lvlText w:val=""/>
      <w:lvlJc w:val="left"/>
      <w:pPr>
        <w:ind w:left="2880" w:hanging="360"/>
      </w:pPr>
      <w:rPr>
        <w:rFonts w:ascii="Symbol" w:hAnsi="Symbol" w:hint="default"/>
      </w:rPr>
    </w:lvl>
    <w:lvl w:ilvl="4" w:tplc="8CA068FC">
      <w:start w:val="1"/>
      <w:numFmt w:val="bullet"/>
      <w:lvlText w:val="o"/>
      <w:lvlJc w:val="left"/>
      <w:pPr>
        <w:ind w:left="3600" w:hanging="360"/>
      </w:pPr>
      <w:rPr>
        <w:rFonts w:ascii="Courier New" w:hAnsi="Courier New" w:hint="default"/>
      </w:rPr>
    </w:lvl>
    <w:lvl w:ilvl="5" w:tplc="1E96D268">
      <w:start w:val="1"/>
      <w:numFmt w:val="bullet"/>
      <w:lvlText w:val=""/>
      <w:lvlJc w:val="left"/>
      <w:pPr>
        <w:ind w:left="4320" w:hanging="360"/>
      </w:pPr>
      <w:rPr>
        <w:rFonts w:ascii="Wingdings" w:hAnsi="Wingdings" w:hint="default"/>
      </w:rPr>
    </w:lvl>
    <w:lvl w:ilvl="6" w:tplc="85463564">
      <w:start w:val="1"/>
      <w:numFmt w:val="bullet"/>
      <w:lvlText w:val=""/>
      <w:lvlJc w:val="left"/>
      <w:pPr>
        <w:ind w:left="5040" w:hanging="360"/>
      </w:pPr>
      <w:rPr>
        <w:rFonts w:ascii="Symbol" w:hAnsi="Symbol" w:hint="default"/>
      </w:rPr>
    </w:lvl>
    <w:lvl w:ilvl="7" w:tplc="A5183C2A">
      <w:start w:val="1"/>
      <w:numFmt w:val="bullet"/>
      <w:lvlText w:val="o"/>
      <w:lvlJc w:val="left"/>
      <w:pPr>
        <w:ind w:left="5760" w:hanging="360"/>
      </w:pPr>
      <w:rPr>
        <w:rFonts w:ascii="Courier New" w:hAnsi="Courier New" w:hint="default"/>
      </w:rPr>
    </w:lvl>
    <w:lvl w:ilvl="8" w:tplc="89D88496">
      <w:start w:val="1"/>
      <w:numFmt w:val="bullet"/>
      <w:lvlText w:val=""/>
      <w:lvlJc w:val="left"/>
      <w:pPr>
        <w:ind w:left="6480" w:hanging="360"/>
      </w:pPr>
      <w:rPr>
        <w:rFonts w:ascii="Wingdings" w:hAnsi="Wingdings" w:hint="default"/>
      </w:rPr>
    </w:lvl>
  </w:abstractNum>
  <w:abstractNum w:abstractNumId="6" w15:restartNumberingAfterBreak="0">
    <w:nsid w:val="17E1DA77"/>
    <w:multiLevelType w:val="hybridMultilevel"/>
    <w:tmpl w:val="FA5A0C56"/>
    <w:lvl w:ilvl="0" w:tplc="BA3C441E">
      <w:start w:val="1"/>
      <w:numFmt w:val="bullet"/>
      <w:lvlText w:val=""/>
      <w:lvlJc w:val="left"/>
      <w:pPr>
        <w:ind w:left="720" w:hanging="360"/>
      </w:pPr>
      <w:rPr>
        <w:rFonts w:ascii="Symbol" w:hAnsi="Symbol" w:hint="default"/>
      </w:rPr>
    </w:lvl>
    <w:lvl w:ilvl="1" w:tplc="B1A0EA72">
      <w:start w:val="1"/>
      <w:numFmt w:val="bullet"/>
      <w:lvlText w:val="o"/>
      <w:lvlJc w:val="left"/>
      <w:pPr>
        <w:ind w:left="1440" w:hanging="360"/>
      </w:pPr>
      <w:rPr>
        <w:rFonts w:ascii="Courier New" w:hAnsi="Courier New" w:hint="default"/>
      </w:rPr>
    </w:lvl>
    <w:lvl w:ilvl="2" w:tplc="9E546C90">
      <w:start w:val="1"/>
      <w:numFmt w:val="bullet"/>
      <w:lvlText w:val=""/>
      <w:lvlJc w:val="left"/>
      <w:pPr>
        <w:ind w:left="2160" w:hanging="360"/>
      </w:pPr>
      <w:rPr>
        <w:rFonts w:ascii="Wingdings" w:hAnsi="Wingdings" w:hint="default"/>
      </w:rPr>
    </w:lvl>
    <w:lvl w:ilvl="3" w:tplc="5BE021E4">
      <w:start w:val="1"/>
      <w:numFmt w:val="bullet"/>
      <w:lvlText w:val=""/>
      <w:lvlJc w:val="left"/>
      <w:pPr>
        <w:ind w:left="2880" w:hanging="360"/>
      </w:pPr>
      <w:rPr>
        <w:rFonts w:ascii="Symbol" w:hAnsi="Symbol" w:hint="default"/>
      </w:rPr>
    </w:lvl>
    <w:lvl w:ilvl="4" w:tplc="A154880C">
      <w:start w:val="1"/>
      <w:numFmt w:val="bullet"/>
      <w:lvlText w:val="o"/>
      <w:lvlJc w:val="left"/>
      <w:pPr>
        <w:ind w:left="3600" w:hanging="360"/>
      </w:pPr>
      <w:rPr>
        <w:rFonts w:ascii="Courier New" w:hAnsi="Courier New" w:hint="default"/>
      </w:rPr>
    </w:lvl>
    <w:lvl w:ilvl="5" w:tplc="D78810EA">
      <w:start w:val="1"/>
      <w:numFmt w:val="bullet"/>
      <w:lvlText w:val=""/>
      <w:lvlJc w:val="left"/>
      <w:pPr>
        <w:ind w:left="4320" w:hanging="360"/>
      </w:pPr>
      <w:rPr>
        <w:rFonts w:ascii="Wingdings" w:hAnsi="Wingdings" w:hint="default"/>
      </w:rPr>
    </w:lvl>
    <w:lvl w:ilvl="6" w:tplc="6352D494">
      <w:start w:val="1"/>
      <w:numFmt w:val="bullet"/>
      <w:lvlText w:val=""/>
      <w:lvlJc w:val="left"/>
      <w:pPr>
        <w:ind w:left="5040" w:hanging="360"/>
      </w:pPr>
      <w:rPr>
        <w:rFonts w:ascii="Symbol" w:hAnsi="Symbol" w:hint="default"/>
      </w:rPr>
    </w:lvl>
    <w:lvl w:ilvl="7" w:tplc="C1B23F88">
      <w:start w:val="1"/>
      <w:numFmt w:val="bullet"/>
      <w:lvlText w:val="o"/>
      <w:lvlJc w:val="left"/>
      <w:pPr>
        <w:ind w:left="5760" w:hanging="360"/>
      </w:pPr>
      <w:rPr>
        <w:rFonts w:ascii="Courier New" w:hAnsi="Courier New" w:hint="default"/>
      </w:rPr>
    </w:lvl>
    <w:lvl w:ilvl="8" w:tplc="D55A69C0">
      <w:start w:val="1"/>
      <w:numFmt w:val="bullet"/>
      <w:lvlText w:val=""/>
      <w:lvlJc w:val="left"/>
      <w:pPr>
        <w:ind w:left="6480" w:hanging="360"/>
      </w:pPr>
      <w:rPr>
        <w:rFonts w:ascii="Wingdings" w:hAnsi="Wingdings" w:hint="default"/>
      </w:rPr>
    </w:lvl>
  </w:abstractNum>
  <w:abstractNum w:abstractNumId="7" w15:restartNumberingAfterBreak="0">
    <w:nsid w:val="18DFFC26"/>
    <w:multiLevelType w:val="hybridMultilevel"/>
    <w:tmpl w:val="22627076"/>
    <w:lvl w:ilvl="0" w:tplc="E56CE25E">
      <w:start w:val="1"/>
      <w:numFmt w:val="bullet"/>
      <w:lvlText w:val=""/>
      <w:lvlJc w:val="left"/>
      <w:pPr>
        <w:ind w:left="360" w:hanging="360"/>
      </w:pPr>
      <w:rPr>
        <w:rFonts w:ascii="Symbol" w:hAnsi="Symbol" w:hint="default"/>
      </w:rPr>
    </w:lvl>
    <w:lvl w:ilvl="1" w:tplc="F45E8258">
      <w:start w:val="1"/>
      <w:numFmt w:val="bullet"/>
      <w:lvlText w:val="o"/>
      <w:lvlJc w:val="left"/>
      <w:pPr>
        <w:ind w:left="1080" w:hanging="360"/>
      </w:pPr>
      <w:rPr>
        <w:rFonts w:ascii="Courier New" w:hAnsi="Courier New" w:hint="default"/>
      </w:rPr>
    </w:lvl>
    <w:lvl w:ilvl="2" w:tplc="D94858B8">
      <w:start w:val="1"/>
      <w:numFmt w:val="bullet"/>
      <w:lvlText w:val=""/>
      <w:lvlJc w:val="left"/>
      <w:pPr>
        <w:ind w:left="1800" w:hanging="360"/>
      </w:pPr>
      <w:rPr>
        <w:rFonts w:ascii="Wingdings" w:hAnsi="Wingdings" w:hint="default"/>
      </w:rPr>
    </w:lvl>
    <w:lvl w:ilvl="3" w:tplc="1C6006D6">
      <w:start w:val="1"/>
      <w:numFmt w:val="bullet"/>
      <w:lvlText w:val=""/>
      <w:lvlJc w:val="left"/>
      <w:pPr>
        <w:ind w:left="2520" w:hanging="360"/>
      </w:pPr>
      <w:rPr>
        <w:rFonts w:ascii="Symbol" w:hAnsi="Symbol" w:hint="default"/>
      </w:rPr>
    </w:lvl>
    <w:lvl w:ilvl="4" w:tplc="8D7A092C">
      <w:start w:val="1"/>
      <w:numFmt w:val="bullet"/>
      <w:lvlText w:val="o"/>
      <w:lvlJc w:val="left"/>
      <w:pPr>
        <w:ind w:left="3240" w:hanging="360"/>
      </w:pPr>
      <w:rPr>
        <w:rFonts w:ascii="Courier New" w:hAnsi="Courier New" w:hint="default"/>
      </w:rPr>
    </w:lvl>
    <w:lvl w:ilvl="5" w:tplc="5734F37A">
      <w:start w:val="1"/>
      <w:numFmt w:val="bullet"/>
      <w:lvlText w:val=""/>
      <w:lvlJc w:val="left"/>
      <w:pPr>
        <w:ind w:left="3960" w:hanging="360"/>
      </w:pPr>
      <w:rPr>
        <w:rFonts w:ascii="Wingdings" w:hAnsi="Wingdings" w:hint="default"/>
      </w:rPr>
    </w:lvl>
    <w:lvl w:ilvl="6" w:tplc="4732AF0E">
      <w:start w:val="1"/>
      <w:numFmt w:val="bullet"/>
      <w:lvlText w:val=""/>
      <w:lvlJc w:val="left"/>
      <w:pPr>
        <w:ind w:left="4680" w:hanging="360"/>
      </w:pPr>
      <w:rPr>
        <w:rFonts w:ascii="Symbol" w:hAnsi="Symbol" w:hint="default"/>
      </w:rPr>
    </w:lvl>
    <w:lvl w:ilvl="7" w:tplc="1E04E3DA">
      <w:start w:val="1"/>
      <w:numFmt w:val="bullet"/>
      <w:lvlText w:val="o"/>
      <w:lvlJc w:val="left"/>
      <w:pPr>
        <w:ind w:left="5400" w:hanging="360"/>
      </w:pPr>
      <w:rPr>
        <w:rFonts w:ascii="Courier New" w:hAnsi="Courier New" w:hint="default"/>
      </w:rPr>
    </w:lvl>
    <w:lvl w:ilvl="8" w:tplc="E066431C">
      <w:start w:val="1"/>
      <w:numFmt w:val="bullet"/>
      <w:lvlText w:val=""/>
      <w:lvlJc w:val="left"/>
      <w:pPr>
        <w:ind w:left="6120" w:hanging="360"/>
      </w:pPr>
      <w:rPr>
        <w:rFonts w:ascii="Wingdings" w:hAnsi="Wingdings" w:hint="default"/>
      </w:rPr>
    </w:lvl>
  </w:abstractNum>
  <w:abstractNum w:abstractNumId="8" w15:restartNumberingAfterBreak="0">
    <w:nsid w:val="19FA39D2"/>
    <w:multiLevelType w:val="hybridMultilevel"/>
    <w:tmpl w:val="C22CB7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EB129B"/>
    <w:multiLevelType w:val="hybridMultilevel"/>
    <w:tmpl w:val="09229916"/>
    <w:lvl w:ilvl="0" w:tplc="4BB48A3E">
      <w:start w:val="1"/>
      <w:numFmt w:val="bullet"/>
      <w:lvlText w:val=""/>
      <w:lvlJc w:val="left"/>
      <w:pPr>
        <w:ind w:left="360" w:hanging="360"/>
      </w:pPr>
      <w:rPr>
        <w:rFonts w:ascii="Symbol" w:hAnsi="Symbol" w:hint="default"/>
      </w:rPr>
    </w:lvl>
    <w:lvl w:ilvl="1" w:tplc="D36C51BE">
      <w:start w:val="1"/>
      <w:numFmt w:val="bullet"/>
      <w:lvlText w:val="o"/>
      <w:lvlJc w:val="left"/>
      <w:pPr>
        <w:ind w:left="1080" w:hanging="360"/>
      </w:pPr>
      <w:rPr>
        <w:rFonts w:ascii="Courier New" w:hAnsi="Courier New" w:hint="default"/>
      </w:rPr>
    </w:lvl>
    <w:lvl w:ilvl="2" w:tplc="547EC07E">
      <w:start w:val="1"/>
      <w:numFmt w:val="bullet"/>
      <w:lvlText w:val=""/>
      <w:lvlJc w:val="left"/>
      <w:pPr>
        <w:ind w:left="1800" w:hanging="360"/>
      </w:pPr>
      <w:rPr>
        <w:rFonts w:ascii="Wingdings" w:hAnsi="Wingdings" w:hint="default"/>
      </w:rPr>
    </w:lvl>
    <w:lvl w:ilvl="3" w:tplc="5CD0F492">
      <w:start w:val="1"/>
      <w:numFmt w:val="bullet"/>
      <w:lvlText w:val=""/>
      <w:lvlJc w:val="left"/>
      <w:pPr>
        <w:ind w:left="2520" w:hanging="360"/>
      </w:pPr>
      <w:rPr>
        <w:rFonts w:ascii="Symbol" w:hAnsi="Symbol" w:hint="default"/>
      </w:rPr>
    </w:lvl>
    <w:lvl w:ilvl="4" w:tplc="50D46466">
      <w:start w:val="1"/>
      <w:numFmt w:val="bullet"/>
      <w:lvlText w:val="o"/>
      <w:lvlJc w:val="left"/>
      <w:pPr>
        <w:ind w:left="3240" w:hanging="360"/>
      </w:pPr>
      <w:rPr>
        <w:rFonts w:ascii="Courier New" w:hAnsi="Courier New" w:hint="default"/>
      </w:rPr>
    </w:lvl>
    <w:lvl w:ilvl="5" w:tplc="228463CC">
      <w:start w:val="1"/>
      <w:numFmt w:val="bullet"/>
      <w:lvlText w:val=""/>
      <w:lvlJc w:val="left"/>
      <w:pPr>
        <w:ind w:left="3960" w:hanging="360"/>
      </w:pPr>
      <w:rPr>
        <w:rFonts w:ascii="Wingdings" w:hAnsi="Wingdings" w:hint="default"/>
      </w:rPr>
    </w:lvl>
    <w:lvl w:ilvl="6" w:tplc="23F4C4BE">
      <w:start w:val="1"/>
      <w:numFmt w:val="bullet"/>
      <w:lvlText w:val=""/>
      <w:lvlJc w:val="left"/>
      <w:pPr>
        <w:ind w:left="4680" w:hanging="360"/>
      </w:pPr>
      <w:rPr>
        <w:rFonts w:ascii="Symbol" w:hAnsi="Symbol" w:hint="default"/>
      </w:rPr>
    </w:lvl>
    <w:lvl w:ilvl="7" w:tplc="6414F232">
      <w:start w:val="1"/>
      <w:numFmt w:val="bullet"/>
      <w:lvlText w:val="o"/>
      <w:lvlJc w:val="left"/>
      <w:pPr>
        <w:ind w:left="5400" w:hanging="360"/>
      </w:pPr>
      <w:rPr>
        <w:rFonts w:ascii="Courier New" w:hAnsi="Courier New" w:hint="default"/>
      </w:rPr>
    </w:lvl>
    <w:lvl w:ilvl="8" w:tplc="F2B82A74">
      <w:start w:val="1"/>
      <w:numFmt w:val="bullet"/>
      <w:lvlText w:val=""/>
      <w:lvlJc w:val="left"/>
      <w:pPr>
        <w:ind w:left="6120" w:hanging="360"/>
      </w:pPr>
      <w:rPr>
        <w:rFonts w:ascii="Wingdings" w:hAnsi="Wingdings" w:hint="default"/>
      </w:rPr>
    </w:lvl>
  </w:abstractNum>
  <w:abstractNum w:abstractNumId="10" w15:restartNumberingAfterBreak="0">
    <w:nsid w:val="200A6943"/>
    <w:multiLevelType w:val="hybridMultilevel"/>
    <w:tmpl w:val="01347D1C"/>
    <w:lvl w:ilvl="0" w:tplc="2B66538E">
      <w:start w:val="1"/>
      <w:numFmt w:val="bullet"/>
      <w:lvlText w:val="•"/>
      <w:lvlJc w:val="left"/>
      <w:pPr>
        <w:ind w:left="720" w:hanging="360"/>
      </w:pPr>
    </w:lvl>
    <w:lvl w:ilvl="1" w:tplc="DE2CE86E">
      <w:numFmt w:val="decimal"/>
      <w:lvlText w:val=""/>
      <w:lvlJc w:val="left"/>
    </w:lvl>
    <w:lvl w:ilvl="2" w:tplc="767E6294">
      <w:numFmt w:val="decimal"/>
      <w:lvlText w:val=""/>
      <w:lvlJc w:val="left"/>
    </w:lvl>
    <w:lvl w:ilvl="3" w:tplc="5D06099A">
      <w:numFmt w:val="decimal"/>
      <w:lvlText w:val=""/>
      <w:lvlJc w:val="left"/>
    </w:lvl>
    <w:lvl w:ilvl="4" w:tplc="A5E4ADBA">
      <w:numFmt w:val="decimal"/>
      <w:lvlText w:val=""/>
      <w:lvlJc w:val="left"/>
    </w:lvl>
    <w:lvl w:ilvl="5" w:tplc="6A5E3884">
      <w:numFmt w:val="decimal"/>
      <w:lvlText w:val=""/>
      <w:lvlJc w:val="left"/>
    </w:lvl>
    <w:lvl w:ilvl="6" w:tplc="AF4EE248">
      <w:numFmt w:val="decimal"/>
      <w:lvlText w:val=""/>
      <w:lvlJc w:val="left"/>
    </w:lvl>
    <w:lvl w:ilvl="7" w:tplc="A8DA39B0">
      <w:numFmt w:val="decimal"/>
      <w:lvlText w:val=""/>
      <w:lvlJc w:val="left"/>
    </w:lvl>
    <w:lvl w:ilvl="8" w:tplc="9C9EF224">
      <w:numFmt w:val="decimal"/>
      <w:lvlText w:val=""/>
      <w:lvlJc w:val="left"/>
    </w:lvl>
  </w:abstractNum>
  <w:abstractNum w:abstractNumId="11" w15:restartNumberingAfterBreak="0">
    <w:nsid w:val="2148EFF8"/>
    <w:multiLevelType w:val="hybridMultilevel"/>
    <w:tmpl w:val="35A8E29E"/>
    <w:lvl w:ilvl="0" w:tplc="488C957E">
      <w:start w:val="1"/>
      <w:numFmt w:val="bullet"/>
      <w:lvlText w:val=""/>
      <w:lvlJc w:val="left"/>
      <w:pPr>
        <w:ind w:left="360" w:hanging="360"/>
      </w:pPr>
      <w:rPr>
        <w:rFonts w:ascii="Symbol" w:hAnsi="Symbol" w:hint="default"/>
      </w:rPr>
    </w:lvl>
    <w:lvl w:ilvl="1" w:tplc="7958B35A">
      <w:start w:val="1"/>
      <w:numFmt w:val="bullet"/>
      <w:lvlText w:val="o"/>
      <w:lvlJc w:val="left"/>
      <w:pPr>
        <w:ind w:left="1080" w:hanging="360"/>
      </w:pPr>
      <w:rPr>
        <w:rFonts w:ascii="Courier New" w:hAnsi="Courier New" w:hint="default"/>
      </w:rPr>
    </w:lvl>
    <w:lvl w:ilvl="2" w:tplc="207C829A">
      <w:start w:val="1"/>
      <w:numFmt w:val="bullet"/>
      <w:lvlText w:val=""/>
      <w:lvlJc w:val="left"/>
      <w:pPr>
        <w:ind w:left="1800" w:hanging="360"/>
      </w:pPr>
      <w:rPr>
        <w:rFonts w:ascii="Wingdings" w:hAnsi="Wingdings" w:hint="default"/>
      </w:rPr>
    </w:lvl>
    <w:lvl w:ilvl="3" w:tplc="CF0ECDF0">
      <w:start w:val="1"/>
      <w:numFmt w:val="bullet"/>
      <w:lvlText w:val=""/>
      <w:lvlJc w:val="left"/>
      <w:pPr>
        <w:ind w:left="2520" w:hanging="360"/>
      </w:pPr>
      <w:rPr>
        <w:rFonts w:ascii="Symbol" w:hAnsi="Symbol" w:hint="default"/>
      </w:rPr>
    </w:lvl>
    <w:lvl w:ilvl="4" w:tplc="2CC024EC">
      <w:start w:val="1"/>
      <w:numFmt w:val="bullet"/>
      <w:lvlText w:val="o"/>
      <w:lvlJc w:val="left"/>
      <w:pPr>
        <w:ind w:left="3240" w:hanging="360"/>
      </w:pPr>
      <w:rPr>
        <w:rFonts w:ascii="Courier New" w:hAnsi="Courier New" w:hint="default"/>
      </w:rPr>
    </w:lvl>
    <w:lvl w:ilvl="5" w:tplc="C41AD2B8">
      <w:start w:val="1"/>
      <w:numFmt w:val="bullet"/>
      <w:lvlText w:val=""/>
      <w:lvlJc w:val="left"/>
      <w:pPr>
        <w:ind w:left="3960" w:hanging="360"/>
      </w:pPr>
      <w:rPr>
        <w:rFonts w:ascii="Wingdings" w:hAnsi="Wingdings" w:hint="default"/>
      </w:rPr>
    </w:lvl>
    <w:lvl w:ilvl="6" w:tplc="9072EE3A">
      <w:start w:val="1"/>
      <w:numFmt w:val="bullet"/>
      <w:lvlText w:val=""/>
      <w:lvlJc w:val="left"/>
      <w:pPr>
        <w:ind w:left="4680" w:hanging="360"/>
      </w:pPr>
      <w:rPr>
        <w:rFonts w:ascii="Symbol" w:hAnsi="Symbol" w:hint="default"/>
      </w:rPr>
    </w:lvl>
    <w:lvl w:ilvl="7" w:tplc="E288FE40">
      <w:start w:val="1"/>
      <w:numFmt w:val="bullet"/>
      <w:lvlText w:val="o"/>
      <w:lvlJc w:val="left"/>
      <w:pPr>
        <w:ind w:left="5400" w:hanging="360"/>
      </w:pPr>
      <w:rPr>
        <w:rFonts w:ascii="Courier New" w:hAnsi="Courier New" w:hint="default"/>
      </w:rPr>
    </w:lvl>
    <w:lvl w:ilvl="8" w:tplc="74EE4EAC">
      <w:start w:val="1"/>
      <w:numFmt w:val="bullet"/>
      <w:lvlText w:val=""/>
      <w:lvlJc w:val="left"/>
      <w:pPr>
        <w:ind w:left="6120" w:hanging="360"/>
      </w:pPr>
      <w:rPr>
        <w:rFonts w:ascii="Wingdings" w:hAnsi="Wingdings" w:hint="default"/>
      </w:rPr>
    </w:lvl>
  </w:abstractNum>
  <w:abstractNum w:abstractNumId="12" w15:restartNumberingAfterBreak="0">
    <w:nsid w:val="214D4223"/>
    <w:multiLevelType w:val="hybridMultilevel"/>
    <w:tmpl w:val="C68EDDB6"/>
    <w:lvl w:ilvl="0" w:tplc="E29E753A">
      <w:start w:val="2"/>
      <w:numFmt w:val="bullet"/>
      <w:lvlText w:val="-"/>
      <w:lvlJc w:val="left"/>
      <w:pPr>
        <w:ind w:left="720" w:hanging="360"/>
      </w:pPr>
      <w:rPr>
        <w:rFonts w:ascii="Bookman Old Style" w:eastAsia="Cambria" w:hAnsi="Bookman Old Style"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7F325"/>
    <w:multiLevelType w:val="hybridMultilevel"/>
    <w:tmpl w:val="DFEA966C"/>
    <w:lvl w:ilvl="0" w:tplc="1818AF6C">
      <w:start w:val="1"/>
      <w:numFmt w:val="bullet"/>
      <w:lvlText w:val=""/>
      <w:lvlJc w:val="left"/>
      <w:pPr>
        <w:ind w:left="360" w:hanging="360"/>
      </w:pPr>
      <w:rPr>
        <w:rFonts w:ascii="Symbol" w:hAnsi="Symbol" w:hint="default"/>
      </w:rPr>
    </w:lvl>
    <w:lvl w:ilvl="1" w:tplc="6F7A22BE">
      <w:start w:val="1"/>
      <w:numFmt w:val="bullet"/>
      <w:lvlText w:val="o"/>
      <w:lvlJc w:val="left"/>
      <w:pPr>
        <w:ind w:left="1080" w:hanging="360"/>
      </w:pPr>
      <w:rPr>
        <w:rFonts w:ascii="Courier New" w:hAnsi="Courier New" w:hint="default"/>
      </w:rPr>
    </w:lvl>
    <w:lvl w:ilvl="2" w:tplc="3788BD5C">
      <w:start w:val="1"/>
      <w:numFmt w:val="bullet"/>
      <w:lvlText w:val=""/>
      <w:lvlJc w:val="left"/>
      <w:pPr>
        <w:ind w:left="1800" w:hanging="360"/>
      </w:pPr>
      <w:rPr>
        <w:rFonts w:ascii="Wingdings" w:hAnsi="Wingdings" w:hint="default"/>
      </w:rPr>
    </w:lvl>
    <w:lvl w:ilvl="3" w:tplc="07640BA2">
      <w:start w:val="1"/>
      <w:numFmt w:val="bullet"/>
      <w:lvlText w:val=""/>
      <w:lvlJc w:val="left"/>
      <w:pPr>
        <w:ind w:left="2520" w:hanging="360"/>
      </w:pPr>
      <w:rPr>
        <w:rFonts w:ascii="Symbol" w:hAnsi="Symbol" w:hint="default"/>
      </w:rPr>
    </w:lvl>
    <w:lvl w:ilvl="4" w:tplc="BC941534">
      <w:start w:val="1"/>
      <w:numFmt w:val="bullet"/>
      <w:lvlText w:val="o"/>
      <w:lvlJc w:val="left"/>
      <w:pPr>
        <w:ind w:left="3240" w:hanging="360"/>
      </w:pPr>
      <w:rPr>
        <w:rFonts w:ascii="Courier New" w:hAnsi="Courier New" w:hint="default"/>
      </w:rPr>
    </w:lvl>
    <w:lvl w:ilvl="5" w:tplc="C0AC15C2">
      <w:start w:val="1"/>
      <w:numFmt w:val="bullet"/>
      <w:lvlText w:val=""/>
      <w:lvlJc w:val="left"/>
      <w:pPr>
        <w:ind w:left="3960" w:hanging="360"/>
      </w:pPr>
      <w:rPr>
        <w:rFonts w:ascii="Wingdings" w:hAnsi="Wingdings" w:hint="default"/>
      </w:rPr>
    </w:lvl>
    <w:lvl w:ilvl="6" w:tplc="2C923738">
      <w:start w:val="1"/>
      <w:numFmt w:val="bullet"/>
      <w:lvlText w:val=""/>
      <w:lvlJc w:val="left"/>
      <w:pPr>
        <w:ind w:left="4680" w:hanging="360"/>
      </w:pPr>
      <w:rPr>
        <w:rFonts w:ascii="Symbol" w:hAnsi="Symbol" w:hint="default"/>
      </w:rPr>
    </w:lvl>
    <w:lvl w:ilvl="7" w:tplc="B3787EF8">
      <w:start w:val="1"/>
      <w:numFmt w:val="bullet"/>
      <w:lvlText w:val="o"/>
      <w:lvlJc w:val="left"/>
      <w:pPr>
        <w:ind w:left="5400" w:hanging="360"/>
      </w:pPr>
      <w:rPr>
        <w:rFonts w:ascii="Courier New" w:hAnsi="Courier New" w:hint="default"/>
      </w:rPr>
    </w:lvl>
    <w:lvl w:ilvl="8" w:tplc="622E195A">
      <w:start w:val="1"/>
      <w:numFmt w:val="bullet"/>
      <w:lvlText w:val=""/>
      <w:lvlJc w:val="left"/>
      <w:pPr>
        <w:ind w:left="6120" w:hanging="360"/>
      </w:pPr>
      <w:rPr>
        <w:rFonts w:ascii="Wingdings" w:hAnsi="Wingdings" w:hint="default"/>
      </w:rPr>
    </w:lvl>
  </w:abstractNum>
  <w:abstractNum w:abstractNumId="14" w15:restartNumberingAfterBreak="0">
    <w:nsid w:val="23F474CD"/>
    <w:multiLevelType w:val="multilevel"/>
    <w:tmpl w:val="5094D04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75F2AE4"/>
    <w:multiLevelType w:val="hybridMultilevel"/>
    <w:tmpl w:val="4F2A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22DECE"/>
    <w:multiLevelType w:val="hybridMultilevel"/>
    <w:tmpl w:val="FFFFFFFF"/>
    <w:lvl w:ilvl="0" w:tplc="4864A030">
      <w:start w:val="1"/>
      <w:numFmt w:val="bullet"/>
      <w:lvlText w:val="•"/>
      <w:lvlJc w:val="left"/>
      <w:pPr>
        <w:ind w:left="720" w:hanging="360"/>
      </w:pPr>
    </w:lvl>
    <w:lvl w:ilvl="1" w:tplc="FDC4FE1C">
      <w:numFmt w:val="decimal"/>
      <w:lvlText w:val=""/>
      <w:lvlJc w:val="left"/>
    </w:lvl>
    <w:lvl w:ilvl="2" w:tplc="2166964A">
      <w:numFmt w:val="decimal"/>
      <w:lvlText w:val=""/>
      <w:lvlJc w:val="left"/>
    </w:lvl>
    <w:lvl w:ilvl="3" w:tplc="0528207A">
      <w:numFmt w:val="decimal"/>
      <w:lvlText w:val=""/>
      <w:lvlJc w:val="left"/>
    </w:lvl>
    <w:lvl w:ilvl="4" w:tplc="3B06C0F0">
      <w:numFmt w:val="decimal"/>
      <w:lvlText w:val=""/>
      <w:lvlJc w:val="left"/>
    </w:lvl>
    <w:lvl w:ilvl="5" w:tplc="60806BBE">
      <w:numFmt w:val="decimal"/>
      <w:lvlText w:val=""/>
      <w:lvlJc w:val="left"/>
    </w:lvl>
    <w:lvl w:ilvl="6" w:tplc="EC6EEB16">
      <w:numFmt w:val="decimal"/>
      <w:lvlText w:val=""/>
      <w:lvlJc w:val="left"/>
    </w:lvl>
    <w:lvl w:ilvl="7" w:tplc="6C0432B2">
      <w:numFmt w:val="decimal"/>
      <w:lvlText w:val=""/>
      <w:lvlJc w:val="left"/>
    </w:lvl>
    <w:lvl w:ilvl="8" w:tplc="5FEA1746">
      <w:numFmt w:val="decimal"/>
      <w:lvlText w:val=""/>
      <w:lvlJc w:val="left"/>
    </w:lvl>
  </w:abstractNum>
  <w:abstractNum w:abstractNumId="17" w15:restartNumberingAfterBreak="0">
    <w:nsid w:val="2C619C5B"/>
    <w:multiLevelType w:val="hybridMultilevel"/>
    <w:tmpl w:val="1C50918A"/>
    <w:lvl w:ilvl="0" w:tplc="D05E2708">
      <w:start w:val="1"/>
      <w:numFmt w:val="bullet"/>
      <w:lvlText w:val=""/>
      <w:lvlJc w:val="left"/>
      <w:pPr>
        <w:ind w:left="360" w:hanging="360"/>
      </w:pPr>
      <w:rPr>
        <w:rFonts w:ascii="Symbol" w:hAnsi="Symbol" w:hint="default"/>
      </w:rPr>
    </w:lvl>
    <w:lvl w:ilvl="1" w:tplc="D068E432">
      <w:start w:val="1"/>
      <w:numFmt w:val="bullet"/>
      <w:lvlText w:val="o"/>
      <w:lvlJc w:val="left"/>
      <w:pPr>
        <w:ind w:left="1080" w:hanging="360"/>
      </w:pPr>
      <w:rPr>
        <w:rFonts w:ascii="Courier New" w:hAnsi="Courier New" w:hint="default"/>
      </w:rPr>
    </w:lvl>
    <w:lvl w:ilvl="2" w:tplc="E846849A">
      <w:start w:val="1"/>
      <w:numFmt w:val="bullet"/>
      <w:lvlText w:val=""/>
      <w:lvlJc w:val="left"/>
      <w:pPr>
        <w:ind w:left="1800" w:hanging="360"/>
      </w:pPr>
      <w:rPr>
        <w:rFonts w:ascii="Wingdings" w:hAnsi="Wingdings" w:hint="default"/>
      </w:rPr>
    </w:lvl>
    <w:lvl w:ilvl="3" w:tplc="82F80B56">
      <w:start w:val="1"/>
      <w:numFmt w:val="bullet"/>
      <w:lvlText w:val=""/>
      <w:lvlJc w:val="left"/>
      <w:pPr>
        <w:ind w:left="2520" w:hanging="360"/>
      </w:pPr>
      <w:rPr>
        <w:rFonts w:ascii="Symbol" w:hAnsi="Symbol" w:hint="default"/>
      </w:rPr>
    </w:lvl>
    <w:lvl w:ilvl="4" w:tplc="588E969C">
      <w:start w:val="1"/>
      <w:numFmt w:val="bullet"/>
      <w:lvlText w:val="o"/>
      <w:lvlJc w:val="left"/>
      <w:pPr>
        <w:ind w:left="3240" w:hanging="360"/>
      </w:pPr>
      <w:rPr>
        <w:rFonts w:ascii="Courier New" w:hAnsi="Courier New" w:hint="default"/>
      </w:rPr>
    </w:lvl>
    <w:lvl w:ilvl="5" w:tplc="6E46003C">
      <w:start w:val="1"/>
      <w:numFmt w:val="bullet"/>
      <w:lvlText w:val=""/>
      <w:lvlJc w:val="left"/>
      <w:pPr>
        <w:ind w:left="3960" w:hanging="360"/>
      </w:pPr>
      <w:rPr>
        <w:rFonts w:ascii="Wingdings" w:hAnsi="Wingdings" w:hint="default"/>
      </w:rPr>
    </w:lvl>
    <w:lvl w:ilvl="6" w:tplc="6688F26E">
      <w:start w:val="1"/>
      <w:numFmt w:val="bullet"/>
      <w:lvlText w:val=""/>
      <w:lvlJc w:val="left"/>
      <w:pPr>
        <w:ind w:left="4680" w:hanging="360"/>
      </w:pPr>
      <w:rPr>
        <w:rFonts w:ascii="Symbol" w:hAnsi="Symbol" w:hint="default"/>
      </w:rPr>
    </w:lvl>
    <w:lvl w:ilvl="7" w:tplc="0BD2CA8C">
      <w:start w:val="1"/>
      <w:numFmt w:val="bullet"/>
      <w:lvlText w:val="o"/>
      <w:lvlJc w:val="left"/>
      <w:pPr>
        <w:ind w:left="5400" w:hanging="360"/>
      </w:pPr>
      <w:rPr>
        <w:rFonts w:ascii="Courier New" w:hAnsi="Courier New" w:hint="default"/>
      </w:rPr>
    </w:lvl>
    <w:lvl w:ilvl="8" w:tplc="E6E6A028">
      <w:start w:val="1"/>
      <w:numFmt w:val="bullet"/>
      <w:lvlText w:val=""/>
      <w:lvlJc w:val="left"/>
      <w:pPr>
        <w:ind w:left="6120" w:hanging="360"/>
      </w:pPr>
      <w:rPr>
        <w:rFonts w:ascii="Wingdings" w:hAnsi="Wingdings" w:hint="default"/>
      </w:rPr>
    </w:lvl>
  </w:abstractNum>
  <w:abstractNum w:abstractNumId="18" w15:restartNumberingAfterBreak="0">
    <w:nsid w:val="2DAF5BEE"/>
    <w:multiLevelType w:val="multilevel"/>
    <w:tmpl w:val="CAE2E0B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06696B8"/>
    <w:multiLevelType w:val="hybridMultilevel"/>
    <w:tmpl w:val="389C4750"/>
    <w:lvl w:ilvl="0" w:tplc="318404CC">
      <w:start w:val="1"/>
      <w:numFmt w:val="bullet"/>
      <w:lvlText w:val=""/>
      <w:lvlJc w:val="left"/>
      <w:pPr>
        <w:ind w:left="360" w:hanging="360"/>
      </w:pPr>
      <w:rPr>
        <w:rFonts w:ascii="Symbol" w:hAnsi="Symbol" w:hint="default"/>
      </w:rPr>
    </w:lvl>
    <w:lvl w:ilvl="1" w:tplc="86C0EB68">
      <w:start w:val="1"/>
      <w:numFmt w:val="bullet"/>
      <w:lvlText w:val="o"/>
      <w:lvlJc w:val="left"/>
      <w:pPr>
        <w:ind w:left="1080" w:hanging="360"/>
      </w:pPr>
      <w:rPr>
        <w:rFonts w:ascii="Courier New" w:hAnsi="Courier New" w:hint="default"/>
      </w:rPr>
    </w:lvl>
    <w:lvl w:ilvl="2" w:tplc="B456DFD6">
      <w:start w:val="1"/>
      <w:numFmt w:val="bullet"/>
      <w:lvlText w:val=""/>
      <w:lvlJc w:val="left"/>
      <w:pPr>
        <w:ind w:left="1800" w:hanging="360"/>
      </w:pPr>
      <w:rPr>
        <w:rFonts w:ascii="Wingdings" w:hAnsi="Wingdings" w:hint="default"/>
      </w:rPr>
    </w:lvl>
    <w:lvl w:ilvl="3" w:tplc="967825BC">
      <w:start w:val="1"/>
      <w:numFmt w:val="bullet"/>
      <w:lvlText w:val=""/>
      <w:lvlJc w:val="left"/>
      <w:pPr>
        <w:ind w:left="2520" w:hanging="360"/>
      </w:pPr>
      <w:rPr>
        <w:rFonts w:ascii="Symbol" w:hAnsi="Symbol" w:hint="default"/>
      </w:rPr>
    </w:lvl>
    <w:lvl w:ilvl="4" w:tplc="E2928DD4">
      <w:start w:val="1"/>
      <w:numFmt w:val="bullet"/>
      <w:lvlText w:val="o"/>
      <w:lvlJc w:val="left"/>
      <w:pPr>
        <w:ind w:left="3240" w:hanging="360"/>
      </w:pPr>
      <w:rPr>
        <w:rFonts w:ascii="Courier New" w:hAnsi="Courier New" w:hint="default"/>
      </w:rPr>
    </w:lvl>
    <w:lvl w:ilvl="5" w:tplc="95880268">
      <w:start w:val="1"/>
      <w:numFmt w:val="bullet"/>
      <w:lvlText w:val=""/>
      <w:lvlJc w:val="left"/>
      <w:pPr>
        <w:ind w:left="3960" w:hanging="360"/>
      </w:pPr>
      <w:rPr>
        <w:rFonts w:ascii="Wingdings" w:hAnsi="Wingdings" w:hint="default"/>
      </w:rPr>
    </w:lvl>
    <w:lvl w:ilvl="6" w:tplc="C08E88BC">
      <w:start w:val="1"/>
      <w:numFmt w:val="bullet"/>
      <w:lvlText w:val=""/>
      <w:lvlJc w:val="left"/>
      <w:pPr>
        <w:ind w:left="4680" w:hanging="360"/>
      </w:pPr>
      <w:rPr>
        <w:rFonts w:ascii="Symbol" w:hAnsi="Symbol" w:hint="default"/>
      </w:rPr>
    </w:lvl>
    <w:lvl w:ilvl="7" w:tplc="00168EAA">
      <w:start w:val="1"/>
      <w:numFmt w:val="bullet"/>
      <w:lvlText w:val="o"/>
      <w:lvlJc w:val="left"/>
      <w:pPr>
        <w:ind w:left="5400" w:hanging="360"/>
      </w:pPr>
      <w:rPr>
        <w:rFonts w:ascii="Courier New" w:hAnsi="Courier New" w:hint="default"/>
      </w:rPr>
    </w:lvl>
    <w:lvl w:ilvl="8" w:tplc="8C12F708">
      <w:start w:val="1"/>
      <w:numFmt w:val="bullet"/>
      <w:lvlText w:val=""/>
      <w:lvlJc w:val="left"/>
      <w:pPr>
        <w:ind w:left="6120" w:hanging="360"/>
      </w:pPr>
      <w:rPr>
        <w:rFonts w:ascii="Wingdings" w:hAnsi="Wingdings" w:hint="default"/>
      </w:rPr>
    </w:lvl>
  </w:abstractNum>
  <w:abstractNum w:abstractNumId="20" w15:restartNumberingAfterBreak="0">
    <w:nsid w:val="34A55D9D"/>
    <w:multiLevelType w:val="hybridMultilevel"/>
    <w:tmpl w:val="0EBE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5FF181"/>
    <w:multiLevelType w:val="hybridMultilevel"/>
    <w:tmpl w:val="45AE9534"/>
    <w:lvl w:ilvl="0" w:tplc="7B5E555C">
      <w:start w:val="1"/>
      <w:numFmt w:val="bullet"/>
      <w:lvlText w:val=""/>
      <w:lvlJc w:val="left"/>
      <w:pPr>
        <w:ind w:left="360" w:hanging="360"/>
      </w:pPr>
      <w:rPr>
        <w:rFonts w:ascii="Symbol" w:hAnsi="Symbol" w:hint="default"/>
      </w:rPr>
    </w:lvl>
    <w:lvl w:ilvl="1" w:tplc="0300536A">
      <w:start w:val="1"/>
      <w:numFmt w:val="bullet"/>
      <w:lvlText w:val="o"/>
      <w:lvlJc w:val="left"/>
      <w:pPr>
        <w:ind w:left="1080" w:hanging="360"/>
      </w:pPr>
      <w:rPr>
        <w:rFonts w:ascii="Courier New" w:hAnsi="Courier New" w:hint="default"/>
      </w:rPr>
    </w:lvl>
    <w:lvl w:ilvl="2" w:tplc="71BEE2EC">
      <w:start w:val="1"/>
      <w:numFmt w:val="bullet"/>
      <w:lvlText w:val=""/>
      <w:lvlJc w:val="left"/>
      <w:pPr>
        <w:ind w:left="1800" w:hanging="360"/>
      </w:pPr>
      <w:rPr>
        <w:rFonts w:ascii="Wingdings" w:hAnsi="Wingdings" w:hint="default"/>
      </w:rPr>
    </w:lvl>
    <w:lvl w:ilvl="3" w:tplc="39B08D1E">
      <w:start w:val="1"/>
      <w:numFmt w:val="bullet"/>
      <w:lvlText w:val=""/>
      <w:lvlJc w:val="left"/>
      <w:pPr>
        <w:ind w:left="2520" w:hanging="360"/>
      </w:pPr>
      <w:rPr>
        <w:rFonts w:ascii="Symbol" w:hAnsi="Symbol" w:hint="default"/>
      </w:rPr>
    </w:lvl>
    <w:lvl w:ilvl="4" w:tplc="4ACE4802">
      <w:start w:val="1"/>
      <w:numFmt w:val="bullet"/>
      <w:lvlText w:val="o"/>
      <w:lvlJc w:val="left"/>
      <w:pPr>
        <w:ind w:left="3240" w:hanging="360"/>
      </w:pPr>
      <w:rPr>
        <w:rFonts w:ascii="Courier New" w:hAnsi="Courier New" w:hint="default"/>
      </w:rPr>
    </w:lvl>
    <w:lvl w:ilvl="5" w:tplc="C30C32CE">
      <w:start w:val="1"/>
      <w:numFmt w:val="bullet"/>
      <w:lvlText w:val=""/>
      <w:lvlJc w:val="left"/>
      <w:pPr>
        <w:ind w:left="3960" w:hanging="360"/>
      </w:pPr>
      <w:rPr>
        <w:rFonts w:ascii="Wingdings" w:hAnsi="Wingdings" w:hint="default"/>
      </w:rPr>
    </w:lvl>
    <w:lvl w:ilvl="6" w:tplc="5D0C1494">
      <w:start w:val="1"/>
      <w:numFmt w:val="bullet"/>
      <w:lvlText w:val=""/>
      <w:lvlJc w:val="left"/>
      <w:pPr>
        <w:ind w:left="4680" w:hanging="360"/>
      </w:pPr>
      <w:rPr>
        <w:rFonts w:ascii="Symbol" w:hAnsi="Symbol" w:hint="default"/>
      </w:rPr>
    </w:lvl>
    <w:lvl w:ilvl="7" w:tplc="B01478D4">
      <w:start w:val="1"/>
      <w:numFmt w:val="bullet"/>
      <w:lvlText w:val="o"/>
      <w:lvlJc w:val="left"/>
      <w:pPr>
        <w:ind w:left="5400" w:hanging="360"/>
      </w:pPr>
      <w:rPr>
        <w:rFonts w:ascii="Courier New" w:hAnsi="Courier New" w:hint="default"/>
      </w:rPr>
    </w:lvl>
    <w:lvl w:ilvl="8" w:tplc="C0527C56">
      <w:start w:val="1"/>
      <w:numFmt w:val="bullet"/>
      <w:lvlText w:val=""/>
      <w:lvlJc w:val="left"/>
      <w:pPr>
        <w:ind w:left="6120" w:hanging="360"/>
      </w:pPr>
      <w:rPr>
        <w:rFonts w:ascii="Wingdings" w:hAnsi="Wingdings" w:hint="default"/>
      </w:rPr>
    </w:lvl>
  </w:abstractNum>
  <w:abstractNum w:abstractNumId="22" w15:restartNumberingAfterBreak="0">
    <w:nsid w:val="3A202E58"/>
    <w:multiLevelType w:val="hybridMultilevel"/>
    <w:tmpl w:val="9866E7DC"/>
    <w:lvl w:ilvl="0" w:tplc="8ADA5590">
      <w:start w:val="1"/>
      <w:numFmt w:val="bullet"/>
      <w:lvlText w:val=""/>
      <w:lvlJc w:val="left"/>
      <w:pPr>
        <w:ind w:left="360" w:hanging="360"/>
      </w:pPr>
      <w:rPr>
        <w:rFonts w:ascii="Symbol" w:hAnsi="Symbol" w:hint="default"/>
      </w:rPr>
    </w:lvl>
    <w:lvl w:ilvl="1" w:tplc="F8F20FAE">
      <w:start w:val="1"/>
      <w:numFmt w:val="bullet"/>
      <w:lvlText w:val="o"/>
      <w:lvlJc w:val="left"/>
      <w:pPr>
        <w:ind w:left="1080" w:hanging="360"/>
      </w:pPr>
      <w:rPr>
        <w:rFonts w:ascii="Courier New" w:hAnsi="Courier New" w:hint="default"/>
      </w:rPr>
    </w:lvl>
    <w:lvl w:ilvl="2" w:tplc="C68C6B8A">
      <w:start w:val="1"/>
      <w:numFmt w:val="bullet"/>
      <w:lvlText w:val=""/>
      <w:lvlJc w:val="left"/>
      <w:pPr>
        <w:ind w:left="1800" w:hanging="360"/>
      </w:pPr>
      <w:rPr>
        <w:rFonts w:ascii="Wingdings" w:hAnsi="Wingdings" w:hint="default"/>
      </w:rPr>
    </w:lvl>
    <w:lvl w:ilvl="3" w:tplc="F034B8C8">
      <w:start w:val="1"/>
      <w:numFmt w:val="bullet"/>
      <w:lvlText w:val=""/>
      <w:lvlJc w:val="left"/>
      <w:pPr>
        <w:ind w:left="2520" w:hanging="360"/>
      </w:pPr>
      <w:rPr>
        <w:rFonts w:ascii="Symbol" w:hAnsi="Symbol" w:hint="default"/>
      </w:rPr>
    </w:lvl>
    <w:lvl w:ilvl="4" w:tplc="650C074A">
      <w:start w:val="1"/>
      <w:numFmt w:val="bullet"/>
      <w:lvlText w:val="o"/>
      <w:lvlJc w:val="left"/>
      <w:pPr>
        <w:ind w:left="3240" w:hanging="360"/>
      </w:pPr>
      <w:rPr>
        <w:rFonts w:ascii="Courier New" w:hAnsi="Courier New" w:hint="default"/>
      </w:rPr>
    </w:lvl>
    <w:lvl w:ilvl="5" w:tplc="0CE4C5F8">
      <w:start w:val="1"/>
      <w:numFmt w:val="bullet"/>
      <w:lvlText w:val=""/>
      <w:lvlJc w:val="left"/>
      <w:pPr>
        <w:ind w:left="3960" w:hanging="360"/>
      </w:pPr>
      <w:rPr>
        <w:rFonts w:ascii="Wingdings" w:hAnsi="Wingdings" w:hint="default"/>
      </w:rPr>
    </w:lvl>
    <w:lvl w:ilvl="6" w:tplc="7514067E">
      <w:start w:val="1"/>
      <w:numFmt w:val="bullet"/>
      <w:lvlText w:val=""/>
      <w:lvlJc w:val="left"/>
      <w:pPr>
        <w:ind w:left="4680" w:hanging="360"/>
      </w:pPr>
      <w:rPr>
        <w:rFonts w:ascii="Symbol" w:hAnsi="Symbol" w:hint="default"/>
      </w:rPr>
    </w:lvl>
    <w:lvl w:ilvl="7" w:tplc="81FAB640">
      <w:start w:val="1"/>
      <w:numFmt w:val="bullet"/>
      <w:lvlText w:val="o"/>
      <w:lvlJc w:val="left"/>
      <w:pPr>
        <w:ind w:left="5400" w:hanging="360"/>
      </w:pPr>
      <w:rPr>
        <w:rFonts w:ascii="Courier New" w:hAnsi="Courier New" w:hint="default"/>
      </w:rPr>
    </w:lvl>
    <w:lvl w:ilvl="8" w:tplc="2778A3E0">
      <w:start w:val="1"/>
      <w:numFmt w:val="bullet"/>
      <w:lvlText w:val=""/>
      <w:lvlJc w:val="left"/>
      <w:pPr>
        <w:ind w:left="6120" w:hanging="360"/>
      </w:pPr>
      <w:rPr>
        <w:rFonts w:ascii="Wingdings" w:hAnsi="Wingdings" w:hint="default"/>
      </w:rPr>
    </w:lvl>
  </w:abstractNum>
  <w:abstractNum w:abstractNumId="23" w15:restartNumberingAfterBreak="0">
    <w:nsid w:val="3A27D6C0"/>
    <w:multiLevelType w:val="hybridMultilevel"/>
    <w:tmpl w:val="8730CB14"/>
    <w:lvl w:ilvl="0" w:tplc="3E6074BE">
      <w:start w:val="1"/>
      <w:numFmt w:val="bullet"/>
      <w:lvlText w:val=""/>
      <w:lvlJc w:val="left"/>
      <w:pPr>
        <w:ind w:left="360" w:hanging="360"/>
      </w:pPr>
      <w:rPr>
        <w:rFonts w:ascii="Symbol" w:hAnsi="Symbol" w:hint="default"/>
      </w:rPr>
    </w:lvl>
    <w:lvl w:ilvl="1" w:tplc="39249A50">
      <w:start w:val="1"/>
      <w:numFmt w:val="bullet"/>
      <w:lvlText w:val="o"/>
      <w:lvlJc w:val="left"/>
      <w:pPr>
        <w:ind w:left="1080" w:hanging="360"/>
      </w:pPr>
      <w:rPr>
        <w:rFonts w:ascii="Courier New" w:hAnsi="Courier New" w:hint="default"/>
      </w:rPr>
    </w:lvl>
    <w:lvl w:ilvl="2" w:tplc="56E630A8">
      <w:start w:val="1"/>
      <w:numFmt w:val="bullet"/>
      <w:lvlText w:val=""/>
      <w:lvlJc w:val="left"/>
      <w:pPr>
        <w:ind w:left="1800" w:hanging="360"/>
      </w:pPr>
      <w:rPr>
        <w:rFonts w:ascii="Wingdings" w:hAnsi="Wingdings" w:hint="default"/>
      </w:rPr>
    </w:lvl>
    <w:lvl w:ilvl="3" w:tplc="1638AAB4">
      <w:start w:val="1"/>
      <w:numFmt w:val="bullet"/>
      <w:lvlText w:val=""/>
      <w:lvlJc w:val="left"/>
      <w:pPr>
        <w:ind w:left="2520" w:hanging="360"/>
      </w:pPr>
      <w:rPr>
        <w:rFonts w:ascii="Symbol" w:hAnsi="Symbol" w:hint="default"/>
      </w:rPr>
    </w:lvl>
    <w:lvl w:ilvl="4" w:tplc="578CF576">
      <w:start w:val="1"/>
      <w:numFmt w:val="bullet"/>
      <w:lvlText w:val="o"/>
      <w:lvlJc w:val="left"/>
      <w:pPr>
        <w:ind w:left="3240" w:hanging="360"/>
      </w:pPr>
      <w:rPr>
        <w:rFonts w:ascii="Courier New" w:hAnsi="Courier New" w:hint="default"/>
      </w:rPr>
    </w:lvl>
    <w:lvl w:ilvl="5" w:tplc="32DEF30E">
      <w:start w:val="1"/>
      <w:numFmt w:val="bullet"/>
      <w:lvlText w:val=""/>
      <w:lvlJc w:val="left"/>
      <w:pPr>
        <w:ind w:left="3960" w:hanging="360"/>
      </w:pPr>
      <w:rPr>
        <w:rFonts w:ascii="Wingdings" w:hAnsi="Wingdings" w:hint="default"/>
      </w:rPr>
    </w:lvl>
    <w:lvl w:ilvl="6" w:tplc="1336535A">
      <w:start w:val="1"/>
      <w:numFmt w:val="bullet"/>
      <w:lvlText w:val=""/>
      <w:lvlJc w:val="left"/>
      <w:pPr>
        <w:ind w:left="4680" w:hanging="360"/>
      </w:pPr>
      <w:rPr>
        <w:rFonts w:ascii="Symbol" w:hAnsi="Symbol" w:hint="default"/>
      </w:rPr>
    </w:lvl>
    <w:lvl w:ilvl="7" w:tplc="0F2A308E">
      <w:start w:val="1"/>
      <w:numFmt w:val="bullet"/>
      <w:lvlText w:val="o"/>
      <w:lvlJc w:val="left"/>
      <w:pPr>
        <w:ind w:left="5400" w:hanging="360"/>
      </w:pPr>
      <w:rPr>
        <w:rFonts w:ascii="Courier New" w:hAnsi="Courier New" w:hint="default"/>
      </w:rPr>
    </w:lvl>
    <w:lvl w:ilvl="8" w:tplc="1C76389C">
      <w:start w:val="1"/>
      <w:numFmt w:val="bullet"/>
      <w:lvlText w:val=""/>
      <w:lvlJc w:val="left"/>
      <w:pPr>
        <w:ind w:left="6120" w:hanging="360"/>
      </w:pPr>
      <w:rPr>
        <w:rFonts w:ascii="Wingdings" w:hAnsi="Wingdings" w:hint="default"/>
      </w:rPr>
    </w:lvl>
  </w:abstractNum>
  <w:abstractNum w:abstractNumId="24" w15:restartNumberingAfterBreak="0">
    <w:nsid w:val="3BF4918B"/>
    <w:multiLevelType w:val="hybridMultilevel"/>
    <w:tmpl w:val="EAFC445A"/>
    <w:lvl w:ilvl="0" w:tplc="B9162C06">
      <w:start w:val="1"/>
      <w:numFmt w:val="bullet"/>
      <w:lvlText w:val=""/>
      <w:lvlJc w:val="left"/>
      <w:pPr>
        <w:ind w:left="720" w:hanging="360"/>
      </w:pPr>
      <w:rPr>
        <w:rFonts w:ascii="Symbol" w:hAnsi="Symbol" w:hint="default"/>
      </w:rPr>
    </w:lvl>
    <w:lvl w:ilvl="1" w:tplc="6AA604CE">
      <w:start w:val="1"/>
      <w:numFmt w:val="bullet"/>
      <w:lvlText w:val="o"/>
      <w:lvlJc w:val="left"/>
      <w:pPr>
        <w:ind w:left="1440" w:hanging="360"/>
      </w:pPr>
      <w:rPr>
        <w:rFonts w:ascii="Courier New" w:hAnsi="Courier New" w:hint="default"/>
      </w:rPr>
    </w:lvl>
    <w:lvl w:ilvl="2" w:tplc="C2E8E75A">
      <w:start w:val="1"/>
      <w:numFmt w:val="bullet"/>
      <w:lvlText w:val=""/>
      <w:lvlJc w:val="left"/>
      <w:pPr>
        <w:ind w:left="2160" w:hanging="360"/>
      </w:pPr>
      <w:rPr>
        <w:rFonts w:ascii="Wingdings" w:hAnsi="Wingdings" w:hint="default"/>
      </w:rPr>
    </w:lvl>
    <w:lvl w:ilvl="3" w:tplc="1BB65E40">
      <w:start w:val="1"/>
      <w:numFmt w:val="bullet"/>
      <w:lvlText w:val=""/>
      <w:lvlJc w:val="left"/>
      <w:pPr>
        <w:ind w:left="2880" w:hanging="360"/>
      </w:pPr>
      <w:rPr>
        <w:rFonts w:ascii="Symbol" w:hAnsi="Symbol" w:hint="default"/>
      </w:rPr>
    </w:lvl>
    <w:lvl w:ilvl="4" w:tplc="4EE2B926">
      <w:start w:val="1"/>
      <w:numFmt w:val="bullet"/>
      <w:lvlText w:val="o"/>
      <w:lvlJc w:val="left"/>
      <w:pPr>
        <w:ind w:left="3600" w:hanging="360"/>
      </w:pPr>
      <w:rPr>
        <w:rFonts w:ascii="Courier New" w:hAnsi="Courier New" w:hint="default"/>
      </w:rPr>
    </w:lvl>
    <w:lvl w:ilvl="5" w:tplc="9F60BB7E">
      <w:start w:val="1"/>
      <w:numFmt w:val="bullet"/>
      <w:lvlText w:val=""/>
      <w:lvlJc w:val="left"/>
      <w:pPr>
        <w:ind w:left="4320" w:hanging="360"/>
      </w:pPr>
      <w:rPr>
        <w:rFonts w:ascii="Wingdings" w:hAnsi="Wingdings" w:hint="default"/>
      </w:rPr>
    </w:lvl>
    <w:lvl w:ilvl="6" w:tplc="8A9E5C38">
      <w:start w:val="1"/>
      <w:numFmt w:val="bullet"/>
      <w:lvlText w:val=""/>
      <w:lvlJc w:val="left"/>
      <w:pPr>
        <w:ind w:left="5040" w:hanging="360"/>
      </w:pPr>
      <w:rPr>
        <w:rFonts w:ascii="Symbol" w:hAnsi="Symbol" w:hint="default"/>
      </w:rPr>
    </w:lvl>
    <w:lvl w:ilvl="7" w:tplc="6C520A60">
      <w:start w:val="1"/>
      <w:numFmt w:val="bullet"/>
      <w:lvlText w:val="o"/>
      <w:lvlJc w:val="left"/>
      <w:pPr>
        <w:ind w:left="5760" w:hanging="360"/>
      </w:pPr>
      <w:rPr>
        <w:rFonts w:ascii="Courier New" w:hAnsi="Courier New" w:hint="default"/>
      </w:rPr>
    </w:lvl>
    <w:lvl w:ilvl="8" w:tplc="7400A55C">
      <w:start w:val="1"/>
      <w:numFmt w:val="bullet"/>
      <w:lvlText w:val=""/>
      <w:lvlJc w:val="left"/>
      <w:pPr>
        <w:ind w:left="6480" w:hanging="360"/>
      </w:pPr>
      <w:rPr>
        <w:rFonts w:ascii="Wingdings" w:hAnsi="Wingdings" w:hint="default"/>
      </w:rPr>
    </w:lvl>
  </w:abstractNum>
  <w:abstractNum w:abstractNumId="25" w15:restartNumberingAfterBreak="0">
    <w:nsid w:val="3E565DF0"/>
    <w:multiLevelType w:val="hybridMultilevel"/>
    <w:tmpl w:val="8D3A9366"/>
    <w:lvl w:ilvl="0" w:tplc="4BCC23B6">
      <w:start w:val="1"/>
      <w:numFmt w:val="bullet"/>
      <w:lvlText w:val=""/>
      <w:lvlJc w:val="left"/>
      <w:pPr>
        <w:ind w:left="360" w:hanging="360"/>
      </w:pPr>
      <w:rPr>
        <w:rFonts w:ascii="Symbol" w:hAnsi="Symbol" w:hint="default"/>
      </w:rPr>
    </w:lvl>
    <w:lvl w:ilvl="1" w:tplc="3E8CD7B8">
      <w:start w:val="1"/>
      <w:numFmt w:val="bullet"/>
      <w:lvlText w:val="o"/>
      <w:lvlJc w:val="left"/>
      <w:pPr>
        <w:ind w:left="1080" w:hanging="360"/>
      </w:pPr>
      <w:rPr>
        <w:rFonts w:ascii="Courier New" w:hAnsi="Courier New" w:hint="default"/>
      </w:rPr>
    </w:lvl>
    <w:lvl w:ilvl="2" w:tplc="4844B5C0">
      <w:start w:val="1"/>
      <w:numFmt w:val="bullet"/>
      <w:lvlText w:val=""/>
      <w:lvlJc w:val="left"/>
      <w:pPr>
        <w:ind w:left="1800" w:hanging="360"/>
      </w:pPr>
      <w:rPr>
        <w:rFonts w:ascii="Wingdings" w:hAnsi="Wingdings" w:hint="default"/>
      </w:rPr>
    </w:lvl>
    <w:lvl w:ilvl="3" w:tplc="11B0F26C">
      <w:start w:val="1"/>
      <w:numFmt w:val="bullet"/>
      <w:lvlText w:val=""/>
      <w:lvlJc w:val="left"/>
      <w:pPr>
        <w:ind w:left="2520" w:hanging="360"/>
      </w:pPr>
      <w:rPr>
        <w:rFonts w:ascii="Symbol" w:hAnsi="Symbol" w:hint="default"/>
      </w:rPr>
    </w:lvl>
    <w:lvl w:ilvl="4" w:tplc="C936C2B0">
      <w:start w:val="1"/>
      <w:numFmt w:val="bullet"/>
      <w:lvlText w:val="o"/>
      <w:lvlJc w:val="left"/>
      <w:pPr>
        <w:ind w:left="3240" w:hanging="360"/>
      </w:pPr>
      <w:rPr>
        <w:rFonts w:ascii="Courier New" w:hAnsi="Courier New" w:hint="default"/>
      </w:rPr>
    </w:lvl>
    <w:lvl w:ilvl="5" w:tplc="58505338">
      <w:start w:val="1"/>
      <w:numFmt w:val="bullet"/>
      <w:lvlText w:val=""/>
      <w:lvlJc w:val="left"/>
      <w:pPr>
        <w:ind w:left="3960" w:hanging="360"/>
      </w:pPr>
      <w:rPr>
        <w:rFonts w:ascii="Wingdings" w:hAnsi="Wingdings" w:hint="default"/>
      </w:rPr>
    </w:lvl>
    <w:lvl w:ilvl="6" w:tplc="F39EA1E0">
      <w:start w:val="1"/>
      <w:numFmt w:val="bullet"/>
      <w:lvlText w:val=""/>
      <w:lvlJc w:val="left"/>
      <w:pPr>
        <w:ind w:left="4680" w:hanging="360"/>
      </w:pPr>
      <w:rPr>
        <w:rFonts w:ascii="Symbol" w:hAnsi="Symbol" w:hint="default"/>
      </w:rPr>
    </w:lvl>
    <w:lvl w:ilvl="7" w:tplc="B484A5E4">
      <w:start w:val="1"/>
      <w:numFmt w:val="bullet"/>
      <w:lvlText w:val="o"/>
      <w:lvlJc w:val="left"/>
      <w:pPr>
        <w:ind w:left="5400" w:hanging="360"/>
      </w:pPr>
      <w:rPr>
        <w:rFonts w:ascii="Courier New" w:hAnsi="Courier New" w:hint="default"/>
      </w:rPr>
    </w:lvl>
    <w:lvl w:ilvl="8" w:tplc="A5647370">
      <w:start w:val="1"/>
      <w:numFmt w:val="bullet"/>
      <w:lvlText w:val=""/>
      <w:lvlJc w:val="left"/>
      <w:pPr>
        <w:ind w:left="6120" w:hanging="360"/>
      </w:pPr>
      <w:rPr>
        <w:rFonts w:ascii="Wingdings" w:hAnsi="Wingdings" w:hint="default"/>
      </w:rPr>
    </w:lvl>
  </w:abstractNum>
  <w:abstractNum w:abstractNumId="26" w15:restartNumberingAfterBreak="0">
    <w:nsid w:val="47D79E0B"/>
    <w:multiLevelType w:val="hybridMultilevel"/>
    <w:tmpl w:val="31482566"/>
    <w:lvl w:ilvl="0" w:tplc="086A4E52">
      <w:start w:val="1"/>
      <w:numFmt w:val="bullet"/>
      <w:lvlText w:val=""/>
      <w:lvlJc w:val="left"/>
      <w:pPr>
        <w:ind w:left="720" w:hanging="360"/>
      </w:pPr>
      <w:rPr>
        <w:rFonts w:ascii="Symbol" w:hAnsi="Symbol" w:hint="default"/>
      </w:rPr>
    </w:lvl>
    <w:lvl w:ilvl="1" w:tplc="F482E138">
      <w:start w:val="1"/>
      <w:numFmt w:val="bullet"/>
      <w:lvlText w:val="o"/>
      <w:lvlJc w:val="left"/>
      <w:pPr>
        <w:ind w:left="1440" w:hanging="360"/>
      </w:pPr>
      <w:rPr>
        <w:rFonts w:ascii="Courier New" w:hAnsi="Courier New" w:hint="default"/>
      </w:rPr>
    </w:lvl>
    <w:lvl w:ilvl="2" w:tplc="E0C8D9B0">
      <w:start w:val="1"/>
      <w:numFmt w:val="bullet"/>
      <w:lvlText w:val=""/>
      <w:lvlJc w:val="left"/>
      <w:pPr>
        <w:ind w:left="2160" w:hanging="360"/>
      </w:pPr>
      <w:rPr>
        <w:rFonts w:ascii="Wingdings" w:hAnsi="Wingdings" w:hint="default"/>
      </w:rPr>
    </w:lvl>
    <w:lvl w:ilvl="3" w:tplc="EA10FC9E">
      <w:start w:val="1"/>
      <w:numFmt w:val="bullet"/>
      <w:lvlText w:val=""/>
      <w:lvlJc w:val="left"/>
      <w:pPr>
        <w:ind w:left="2880" w:hanging="360"/>
      </w:pPr>
      <w:rPr>
        <w:rFonts w:ascii="Symbol" w:hAnsi="Symbol" w:hint="default"/>
      </w:rPr>
    </w:lvl>
    <w:lvl w:ilvl="4" w:tplc="E47A9C90">
      <w:start w:val="1"/>
      <w:numFmt w:val="bullet"/>
      <w:lvlText w:val="o"/>
      <w:lvlJc w:val="left"/>
      <w:pPr>
        <w:ind w:left="3600" w:hanging="360"/>
      </w:pPr>
      <w:rPr>
        <w:rFonts w:ascii="Courier New" w:hAnsi="Courier New" w:hint="default"/>
      </w:rPr>
    </w:lvl>
    <w:lvl w:ilvl="5" w:tplc="A5C63AC4">
      <w:start w:val="1"/>
      <w:numFmt w:val="bullet"/>
      <w:lvlText w:val=""/>
      <w:lvlJc w:val="left"/>
      <w:pPr>
        <w:ind w:left="4320" w:hanging="360"/>
      </w:pPr>
      <w:rPr>
        <w:rFonts w:ascii="Wingdings" w:hAnsi="Wingdings" w:hint="default"/>
      </w:rPr>
    </w:lvl>
    <w:lvl w:ilvl="6" w:tplc="BDFCEC6E">
      <w:start w:val="1"/>
      <w:numFmt w:val="bullet"/>
      <w:lvlText w:val=""/>
      <w:lvlJc w:val="left"/>
      <w:pPr>
        <w:ind w:left="5040" w:hanging="360"/>
      </w:pPr>
      <w:rPr>
        <w:rFonts w:ascii="Symbol" w:hAnsi="Symbol" w:hint="default"/>
      </w:rPr>
    </w:lvl>
    <w:lvl w:ilvl="7" w:tplc="C568E112">
      <w:start w:val="1"/>
      <w:numFmt w:val="bullet"/>
      <w:lvlText w:val="o"/>
      <w:lvlJc w:val="left"/>
      <w:pPr>
        <w:ind w:left="5760" w:hanging="360"/>
      </w:pPr>
      <w:rPr>
        <w:rFonts w:ascii="Courier New" w:hAnsi="Courier New" w:hint="default"/>
      </w:rPr>
    </w:lvl>
    <w:lvl w:ilvl="8" w:tplc="19A051BA">
      <w:start w:val="1"/>
      <w:numFmt w:val="bullet"/>
      <w:lvlText w:val=""/>
      <w:lvlJc w:val="left"/>
      <w:pPr>
        <w:ind w:left="6480" w:hanging="360"/>
      </w:pPr>
      <w:rPr>
        <w:rFonts w:ascii="Wingdings" w:hAnsi="Wingdings" w:hint="default"/>
      </w:rPr>
    </w:lvl>
  </w:abstractNum>
  <w:abstractNum w:abstractNumId="27" w15:restartNumberingAfterBreak="0">
    <w:nsid w:val="4C872FF4"/>
    <w:multiLevelType w:val="hybridMultilevel"/>
    <w:tmpl w:val="61C2B5A0"/>
    <w:lvl w:ilvl="0" w:tplc="2E90B8F0">
      <w:start w:val="1"/>
      <w:numFmt w:val="bullet"/>
      <w:lvlText w:val=""/>
      <w:lvlJc w:val="left"/>
      <w:pPr>
        <w:ind w:left="360" w:hanging="360"/>
      </w:pPr>
      <w:rPr>
        <w:rFonts w:ascii="Symbol" w:hAnsi="Symbol" w:hint="default"/>
      </w:rPr>
    </w:lvl>
    <w:lvl w:ilvl="1" w:tplc="56008EA6">
      <w:start w:val="1"/>
      <w:numFmt w:val="bullet"/>
      <w:lvlText w:val="o"/>
      <w:lvlJc w:val="left"/>
      <w:pPr>
        <w:ind w:left="1080" w:hanging="360"/>
      </w:pPr>
      <w:rPr>
        <w:rFonts w:ascii="Courier New" w:hAnsi="Courier New" w:hint="default"/>
      </w:rPr>
    </w:lvl>
    <w:lvl w:ilvl="2" w:tplc="F9BA1604">
      <w:start w:val="1"/>
      <w:numFmt w:val="bullet"/>
      <w:lvlText w:val=""/>
      <w:lvlJc w:val="left"/>
      <w:pPr>
        <w:ind w:left="1800" w:hanging="360"/>
      </w:pPr>
      <w:rPr>
        <w:rFonts w:ascii="Wingdings" w:hAnsi="Wingdings" w:hint="default"/>
      </w:rPr>
    </w:lvl>
    <w:lvl w:ilvl="3" w:tplc="E4C2AB92">
      <w:start w:val="1"/>
      <w:numFmt w:val="bullet"/>
      <w:lvlText w:val=""/>
      <w:lvlJc w:val="left"/>
      <w:pPr>
        <w:ind w:left="2520" w:hanging="360"/>
      </w:pPr>
      <w:rPr>
        <w:rFonts w:ascii="Symbol" w:hAnsi="Symbol" w:hint="default"/>
      </w:rPr>
    </w:lvl>
    <w:lvl w:ilvl="4" w:tplc="6B1446A2">
      <w:start w:val="1"/>
      <w:numFmt w:val="bullet"/>
      <w:lvlText w:val="o"/>
      <w:lvlJc w:val="left"/>
      <w:pPr>
        <w:ind w:left="3240" w:hanging="360"/>
      </w:pPr>
      <w:rPr>
        <w:rFonts w:ascii="Courier New" w:hAnsi="Courier New" w:hint="default"/>
      </w:rPr>
    </w:lvl>
    <w:lvl w:ilvl="5" w:tplc="423C8B86">
      <w:start w:val="1"/>
      <w:numFmt w:val="bullet"/>
      <w:lvlText w:val=""/>
      <w:lvlJc w:val="left"/>
      <w:pPr>
        <w:ind w:left="3960" w:hanging="360"/>
      </w:pPr>
      <w:rPr>
        <w:rFonts w:ascii="Wingdings" w:hAnsi="Wingdings" w:hint="default"/>
      </w:rPr>
    </w:lvl>
    <w:lvl w:ilvl="6" w:tplc="38048216">
      <w:start w:val="1"/>
      <w:numFmt w:val="bullet"/>
      <w:lvlText w:val=""/>
      <w:lvlJc w:val="left"/>
      <w:pPr>
        <w:ind w:left="4680" w:hanging="360"/>
      </w:pPr>
      <w:rPr>
        <w:rFonts w:ascii="Symbol" w:hAnsi="Symbol" w:hint="default"/>
      </w:rPr>
    </w:lvl>
    <w:lvl w:ilvl="7" w:tplc="1E784CB6">
      <w:start w:val="1"/>
      <w:numFmt w:val="bullet"/>
      <w:lvlText w:val="o"/>
      <w:lvlJc w:val="left"/>
      <w:pPr>
        <w:ind w:left="5400" w:hanging="360"/>
      </w:pPr>
      <w:rPr>
        <w:rFonts w:ascii="Courier New" w:hAnsi="Courier New" w:hint="default"/>
      </w:rPr>
    </w:lvl>
    <w:lvl w:ilvl="8" w:tplc="601CA96C">
      <w:start w:val="1"/>
      <w:numFmt w:val="bullet"/>
      <w:lvlText w:val=""/>
      <w:lvlJc w:val="left"/>
      <w:pPr>
        <w:ind w:left="6120" w:hanging="360"/>
      </w:pPr>
      <w:rPr>
        <w:rFonts w:ascii="Wingdings" w:hAnsi="Wingdings" w:hint="default"/>
      </w:rPr>
    </w:lvl>
  </w:abstractNum>
  <w:abstractNum w:abstractNumId="28" w15:restartNumberingAfterBreak="0">
    <w:nsid w:val="4D77C8D0"/>
    <w:multiLevelType w:val="hybridMultilevel"/>
    <w:tmpl w:val="2612D59E"/>
    <w:lvl w:ilvl="0" w:tplc="CAB8A94C">
      <w:start w:val="1"/>
      <w:numFmt w:val="bullet"/>
      <w:lvlText w:val=""/>
      <w:lvlJc w:val="left"/>
      <w:pPr>
        <w:ind w:left="360" w:hanging="360"/>
      </w:pPr>
      <w:rPr>
        <w:rFonts w:ascii="Symbol" w:hAnsi="Symbol" w:hint="default"/>
      </w:rPr>
    </w:lvl>
    <w:lvl w:ilvl="1" w:tplc="4562304C">
      <w:start w:val="1"/>
      <w:numFmt w:val="bullet"/>
      <w:lvlText w:val="o"/>
      <w:lvlJc w:val="left"/>
      <w:pPr>
        <w:ind w:left="1080" w:hanging="360"/>
      </w:pPr>
      <w:rPr>
        <w:rFonts w:ascii="Courier New" w:hAnsi="Courier New" w:hint="default"/>
      </w:rPr>
    </w:lvl>
    <w:lvl w:ilvl="2" w:tplc="4A0AEE48">
      <w:start w:val="1"/>
      <w:numFmt w:val="bullet"/>
      <w:lvlText w:val=""/>
      <w:lvlJc w:val="left"/>
      <w:pPr>
        <w:ind w:left="1800" w:hanging="360"/>
      </w:pPr>
      <w:rPr>
        <w:rFonts w:ascii="Wingdings" w:hAnsi="Wingdings" w:hint="default"/>
      </w:rPr>
    </w:lvl>
    <w:lvl w:ilvl="3" w:tplc="E5242F52">
      <w:start w:val="1"/>
      <w:numFmt w:val="bullet"/>
      <w:lvlText w:val=""/>
      <w:lvlJc w:val="left"/>
      <w:pPr>
        <w:ind w:left="2520" w:hanging="360"/>
      </w:pPr>
      <w:rPr>
        <w:rFonts w:ascii="Symbol" w:hAnsi="Symbol" w:hint="default"/>
      </w:rPr>
    </w:lvl>
    <w:lvl w:ilvl="4" w:tplc="C90EA1FA">
      <w:start w:val="1"/>
      <w:numFmt w:val="bullet"/>
      <w:lvlText w:val="o"/>
      <w:lvlJc w:val="left"/>
      <w:pPr>
        <w:ind w:left="3240" w:hanging="360"/>
      </w:pPr>
      <w:rPr>
        <w:rFonts w:ascii="Courier New" w:hAnsi="Courier New" w:hint="default"/>
      </w:rPr>
    </w:lvl>
    <w:lvl w:ilvl="5" w:tplc="9FDC3230">
      <w:start w:val="1"/>
      <w:numFmt w:val="bullet"/>
      <w:lvlText w:val=""/>
      <w:lvlJc w:val="left"/>
      <w:pPr>
        <w:ind w:left="3960" w:hanging="360"/>
      </w:pPr>
      <w:rPr>
        <w:rFonts w:ascii="Wingdings" w:hAnsi="Wingdings" w:hint="default"/>
      </w:rPr>
    </w:lvl>
    <w:lvl w:ilvl="6" w:tplc="A6603316">
      <w:start w:val="1"/>
      <w:numFmt w:val="bullet"/>
      <w:lvlText w:val=""/>
      <w:lvlJc w:val="left"/>
      <w:pPr>
        <w:ind w:left="4680" w:hanging="360"/>
      </w:pPr>
      <w:rPr>
        <w:rFonts w:ascii="Symbol" w:hAnsi="Symbol" w:hint="default"/>
      </w:rPr>
    </w:lvl>
    <w:lvl w:ilvl="7" w:tplc="62F01966">
      <w:start w:val="1"/>
      <w:numFmt w:val="bullet"/>
      <w:lvlText w:val="o"/>
      <w:lvlJc w:val="left"/>
      <w:pPr>
        <w:ind w:left="5400" w:hanging="360"/>
      </w:pPr>
      <w:rPr>
        <w:rFonts w:ascii="Courier New" w:hAnsi="Courier New" w:hint="default"/>
      </w:rPr>
    </w:lvl>
    <w:lvl w:ilvl="8" w:tplc="E634FCCA">
      <w:start w:val="1"/>
      <w:numFmt w:val="bullet"/>
      <w:lvlText w:val=""/>
      <w:lvlJc w:val="left"/>
      <w:pPr>
        <w:ind w:left="6120" w:hanging="360"/>
      </w:pPr>
      <w:rPr>
        <w:rFonts w:ascii="Wingdings" w:hAnsi="Wingdings" w:hint="default"/>
      </w:rPr>
    </w:lvl>
  </w:abstractNum>
  <w:abstractNum w:abstractNumId="29" w15:restartNumberingAfterBreak="0">
    <w:nsid w:val="51F17C08"/>
    <w:multiLevelType w:val="hybridMultilevel"/>
    <w:tmpl w:val="62769E14"/>
    <w:lvl w:ilvl="0" w:tplc="F0D4A042">
      <w:start w:val="1"/>
      <w:numFmt w:val="bullet"/>
      <w:lvlText w:val=""/>
      <w:lvlJc w:val="left"/>
      <w:pPr>
        <w:ind w:left="720" w:hanging="360"/>
      </w:pPr>
      <w:rPr>
        <w:rFonts w:ascii="Symbol" w:hAnsi="Symbol" w:hint="default"/>
      </w:rPr>
    </w:lvl>
    <w:lvl w:ilvl="1" w:tplc="6F00F092">
      <w:start w:val="1"/>
      <w:numFmt w:val="bullet"/>
      <w:lvlText w:val="o"/>
      <w:lvlJc w:val="left"/>
      <w:pPr>
        <w:ind w:left="1440" w:hanging="360"/>
      </w:pPr>
      <w:rPr>
        <w:rFonts w:ascii="Courier New" w:hAnsi="Courier New" w:hint="default"/>
      </w:rPr>
    </w:lvl>
    <w:lvl w:ilvl="2" w:tplc="B20019CA">
      <w:start w:val="1"/>
      <w:numFmt w:val="bullet"/>
      <w:lvlText w:val=""/>
      <w:lvlJc w:val="left"/>
      <w:pPr>
        <w:ind w:left="2160" w:hanging="360"/>
      </w:pPr>
      <w:rPr>
        <w:rFonts w:ascii="Wingdings" w:hAnsi="Wingdings" w:hint="default"/>
      </w:rPr>
    </w:lvl>
    <w:lvl w:ilvl="3" w:tplc="D5A25576">
      <w:start w:val="1"/>
      <w:numFmt w:val="bullet"/>
      <w:lvlText w:val=""/>
      <w:lvlJc w:val="left"/>
      <w:pPr>
        <w:ind w:left="2880" w:hanging="360"/>
      </w:pPr>
      <w:rPr>
        <w:rFonts w:ascii="Symbol" w:hAnsi="Symbol" w:hint="default"/>
      </w:rPr>
    </w:lvl>
    <w:lvl w:ilvl="4" w:tplc="13D4F9FE">
      <w:start w:val="1"/>
      <w:numFmt w:val="bullet"/>
      <w:lvlText w:val="o"/>
      <w:lvlJc w:val="left"/>
      <w:pPr>
        <w:ind w:left="3600" w:hanging="360"/>
      </w:pPr>
      <w:rPr>
        <w:rFonts w:ascii="Courier New" w:hAnsi="Courier New" w:hint="default"/>
      </w:rPr>
    </w:lvl>
    <w:lvl w:ilvl="5" w:tplc="1F9880E2">
      <w:start w:val="1"/>
      <w:numFmt w:val="bullet"/>
      <w:lvlText w:val=""/>
      <w:lvlJc w:val="left"/>
      <w:pPr>
        <w:ind w:left="4320" w:hanging="360"/>
      </w:pPr>
      <w:rPr>
        <w:rFonts w:ascii="Wingdings" w:hAnsi="Wingdings" w:hint="default"/>
      </w:rPr>
    </w:lvl>
    <w:lvl w:ilvl="6" w:tplc="FB36E9AC">
      <w:start w:val="1"/>
      <w:numFmt w:val="bullet"/>
      <w:lvlText w:val=""/>
      <w:lvlJc w:val="left"/>
      <w:pPr>
        <w:ind w:left="5040" w:hanging="360"/>
      </w:pPr>
      <w:rPr>
        <w:rFonts w:ascii="Symbol" w:hAnsi="Symbol" w:hint="default"/>
      </w:rPr>
    </w:lvl>
    <w:lvl w:ilvl="7" w:tplc="0472CBAC">
      <w:start w:val="1"/>
      <w:numFmt w:val="bullet"/>
      <w:lvlText w:val="o"/>
      <w:lvlJc w:val="left"/>
      <w:pPr>
        <w:ind w:left="5760" w:hanging="360"/>
      </w:pPr>
      <w:rPr>
        <w:rFonts w:ascii="Courier New" w:hAnsi="Courier New" w:hint="default"/>
      </w:rPr>
    </w:lvl>
    <w:lvl w:ilvl="8" w:tplc="35F0A4E4">
      <w:start w:val="1"/>
      <w:numFmt w:val="bullet"/>
      <w:lvlText w:val=""/>
      <w:lvlJc w:val="left"/>
      <w:pPr>
        <w:ind w:left="6480" w:hanging="360"/>
      </w:pPr>
      <w:rPr>
        <w:rFonts w:ascii="Wingdings" w:hAnsi="Wingdings" w:hint="default"/>
      </w:rPr>
    </w:lvl>
  </w:abstractNum>
  <w:abstractNum w:abstractNumId="30" w15:restartNumberingAfterBreak="0">
    <w:nsid w:val="53868A89"/>
    <w:multiLevelType w:val="hybridMultilevel"/>
    <w:tmpl w:val="E9E0B4B6"/>
    <w:lvl w:ilvl="0" w:tplc="1E0E7BB8">
      <w:start w:val="1"/>
      <w:numFmt w:val="bullet"/>
      <w:lvlText w:val=""/>
      <w:lvlJc w:val="left"/>
      <w:pPr>
        <w:ind w:left="720" w:hanging="360"/>
      </w:pPr>
      <w:rPr>
        <w:rFonts w:ascii="Symbol" w:hAnsi="Symbol" w:hint="default"/>
      </w:rPr>
    </w:lvl>
    <w:lvl w:ilvl="1" w:tplc="A016DF64">
      <w:start w:val="1"/>
      <w:numFmt w:val="bullet"/>
      <w:lvlText w:val="o"/>
      <w:lvlJc w:val="left"/>
      <w:pPr>
        <w:ind w:left="1440" w:hanging="360"/>
      </w:pPr>
      <w:rPr>
        <w:rFonts w:ascii="Courier New" w:hAnsi="Courier New" w:hint="default"/>
      </w:rPr>
    </w:lvl>
    <w:lvl w:ilvl="2" w:tplc="ADDE966E">
      <w:start w:val="1"/>
      <w:numFmt w:val="bullet"/>
      <w:lvlText w:val=""/>
      <w:lvlJc w:val="left"/>
      <w:pPr>
        <w:ind w:left="2160" w:hanging="360"/>
      </w:pPr>
      <w:rPr>
        <w:rFonts w:ascii="Wingdings" w:hAnsi="Wingdings" w:hint="default"/>
      </w:rPr>
    </w:lvl>
    <w:lvl w:ilvl="3" w:tplc="9CF04FB4">
      <w:start w:val="1"/>
      <w:numFmt w:val="bullet"/>
      <w:lvlText w:val=""/>
      <w:lvlJc w:val="left"/>
      <w:pPr>
        <w:ind w:left="2880" w:hanging="360"/>
      </w:pPr>
      <w:rPr>
        <w:rFonts w:ascii="Symbol" w:hAnsi="Symbol" w:hint="default"/>
      </w:rPr>
    </w:lvl>
    <w:lvl w:ilvl="4" w:tplc="23F4B5AE">
      <w:start w:val="1"/>
      <w:numFmt w:val="bullet"/>
      <w:lvlText w:val="o"/>
      <w:lvlJc w:val="left"/>
      <w:pPr>
        <w:ind w:left="3600" w:hanging="360"/>
      </w:pPr>
      <w:rPr>
        <w:rFonts w:ascii="Courier New" w:hAnsi="Courier New" w:hint="default"/>
      </w:rPr>
    </w:lvl>
    <w:lvl w:ilvl="5" w:tplc="73006712">
      <w:start w:val="1"/>
      <w:numFmt w:val="bullet"/>
      <w:lvlText w:val=""/>
      <w:lvlJc w:val="left"/>
      <w:pPr>
        <w:ind w:left="4320" w:hanging="360"/>
      </w:pPr>
      <w:rPr>
        <w:rFonts w:ascii="Wingdings" w:hAnsi="Wingdings" w:hint="default"/>
      </w:rPr>
    </w:lvl>
    <w:lvl w:ilvl="6" w:tplc="8E76BF2C">
      <w:start w:val="1"/>
      <w:numFmt w:val="bullet"/>
      <w:lvlText w:val=""/>
      <w:lvlJc w:val="left"/>
      <w:pPr>
        <w:ind w:left="5040" w:hanging="360"/>
      </w:pPr>
      <w:rPr>
        <w:rFonts w:ascii="Symbol" w:hAnsi="Symbol" w:hint="default"/>
      </w:rPr>
    </w:lvl>
    <w:lvl w:ilvl="7" w:tplc="B254EAF0">
      <w:start w:val="1"/>
      <w:numFmt w:val="bullet"/>
      <w:lvlText w:val="o"/>
      <w:lvlJc w:val="left"/>
      <w:pPr>
        <w:ind w:left="5760" w:hanging="360"/>
      </w:pPr>
      <w:rPr>
        <w:rFonts w:ascii="Courier New" w:hAnsi="Courier New" w:hint="default"/>
      </w:rPr>
    </w:lvl>
    <w:lvl w:ilvl="8" w:tplc="8DB24D3C">
      <w:start w:val="1"/>
      <w:numFmt w:val="bullet"/>
      <w:lvlText w:val=""/>
      <w:lvlJc w:val="left"/>
      <w:pPr>
        <w:ind w:left="6480" w:hanging="360"/>
      </w:pPr>
      <w:rPr>
        <w:rFonts w:ascii="Wingdings" w:hAnsi="Wingdings" w:hint="default"/>
      </w:rPr>
    </w:lvl>
  </w:abstractNum>
  <w:abstractNum w:abstractNumId="31" w15:restartNumberingAfterBreak="0">
    <w:nsid w:val="70471495"/>
    <w:multiLevelType w:val="hybridMultilevel"/>
    <w:tmpl w:val="DB7A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B9A928"/>
    <w:multiLevelType w:val="hybridMultilevel"/>
    <w:tmpl w:val="C2664C86"/>
    <w:lvl w:ilvl="0" w:tplc="2D4280FE">
      <w:start w:val="1"/>
      <w:numFmt w:val="bullet"/>
      <w:lvlText w:val=""/>
      <w:lvlJc w:val="left"/>
      <w:pPr>
        <w:ind w:left="720" w:hanging="360"/>
      </w:pPr>
      <w:rPr>
        <w:rFonts w:ascii="Symbol" w:hAnsi="Symbol" w:hint="default"/>
      </w:rPr>
    </w:lvl>
    <w:lvl w:ilvl="1" w:tplc="10DE92D0">
      <w:start w:val="1"/>
      <w:numFmt w:val="bullet"/>
      <w:lvlText w:val="o"/>
      <w:lvlJc w:val="left"/>
      <w:pPr>
        <w:ind w:left="1440" w:hanging="360"/>
      </w:pPr>
      <w:rPr>
        <w:rFonts w:ascii="Courier New" w:hAnsi="Courier New" w:hint="default"/>
      </w:rPr>
    </w:lvl>
    <w:lvl w:ilvl="2" w:tplc="CBA89E9C">
      <w:start w:val="1"/>
      <w:numFmt w:val="bullet"/>
      <w:lvlText w:val=""/>
      <w:lvlJc w:val="left"/>
      <w:pPr>
        <w:ind w:left="2160" w:hanging="360"/>
      </w:pPr>
      <w:rPr>
        <w:rFonts w:ascii="Wingdings" w:hAnsi="Wingdings" w:hint="default"/>
      </w:rPr>
    </w:lvl>
    <w:lvl w:ilvl="3" w:tplc="4088EEEA">
      <w:start w:val="1"/>
      <w:numFmt w:val="bullet"/>
      <w:lvlText w:val=""/>
      <w:lvlJc w:val="left"/>
      <w:pPr>
        <w:ind w:left="2880" w:hanging="360"/>
      </w:pPr>
      <w:rPr>
        <w:rFonts w:ascii="Symbol" w:hAnsi="Symbol" w:hint="default"/>
      </w:rPr>
    </w:lvl>
    <w:lvl w:ilvl="4" w:tplc="3BFCAFBE">
      <w:start w:val="1"/>
      <w:numFmt w:val="bullet"/>
      <w:lvlText w:val="o"/>
      <w:lvlJc w:val="left"/>
      <w:pPr>
        <w:ind w:left="3600" w:hanging="360"/>
      </w:pPr>
      <w:rPr>
        <w:rFonts w:ascii="Courier New" w:hAnsi="Courier New" w:hint="default"/>
      </w:rPr>
    </w:lvl>
    <w:lvl w:ilvl="5" w:tplc="79B6AEF8">
      <w:start w:val="1"/>
      <w:numFmt w:val="bullet"/>
      <w:lvlText w:val=""/>
      <w:lvlJc w:val="left"/>
      <w:pPr>
        <w:ind w:left="4320" w:hanging="360"/>
      </w:pPr>
      <w:rPr>
        <w:rFonts w:ascii="Wingdings" w:hAnsi="Wingdings" w:hint="default"/>
      </w:rPr>
    </w:lvl>
    <w:lvl w:ilvl="6" w:tplc="00FC2EDA">
      <w:start w:val="1"/>
      <w:numFmt w:val="bullet"/>
      <w:lvlText w:val=""/>
      <w:lvlJc w:val="left"/>
      <w:pPr>
        <w:ind w:left="5040" w:hanging="360"/>
      </w:pPr>
      <w:rPr>
        <w:rFonts w:ascii="Symbol" w:hAnsi="Symbol" w:hint="default"/>
      </w:rPr>
    </w:lvl>
    <w:lvl w:ilvl="7" w:tplc="F05C8278">
      <w:start w:val="1"/>
      <w:numFmt w:val="bullet"/>
      <w:lvlText w:val="o"/>
      <w:lvlJc w:val="left"/>
      <w:pPr>
        <w:ind w:left="5760" w:hanging="360"/>
      </w:pPr>
      <w:rPr>
        <w:rFonts w:ascii="Courier New" w:hAnsi="Courier New" w:hint="default"/>
      </w:rPr>
    </w:lvl>
    <w:lvl w:ilvl="8" w:tplc="97703D7A">
      <w:start w:val="1"/>
      <w:numFmt w:val="bullet"/>
      <w:lvlText w:val=""/>
      <w:lvlJc w:val="left"/>
      <w:pPr>
        <w:ind w:left="6480" w:hanging="360"/>
      </w:pPr>
      <w:rPr>
        <w:rFonts w:ascii="Wingdings" w:hAnsi="Wingdings" w:hint="default"/>
      </w:rPr>
    </w:lvl>
  </w:abstractNum>
  <w:abstractNum w:abstractNumId="33" w15:restartNumberingAfterBreak="0">
    <w:nsid w:val="734A57C4"/>
    <w:multiLevelType w:val="hybridMultilevel"/>
    <w:tmpl w:val="9BFA32EE"/>
    <w:lvl w:ilvl="0" w:tplc="485A0060">
      <w:start w:val="1"/>
      <w:numFmt w:val="bullet"/>
      <w:lvlText w:val=""/>
      <w:lvlJc w:val="left"/>
      <w:pPr>
        <w:ind w:left="720" w:hanging="360"/>
      </w:pPr>
      <w:rPr>
        <w:rFonts w:ascii="Symbol" w:hAnsi="Symbol" w:hint="default"/>
      </w:rPr>
    </w:lvl>
    <w:lvl w:ilvl="1" w:tplc="BEFC7072">
      <w:start w:val="1"/>
      <w:numFmt w:val="bullet"/>
      <w:lvlText w:val="o"/>
      <w:lvlJc w:val="left"/>
      <w:pPr>
        <w:ind w:left="1440" w:hanging="360"/>
      </w:pPr>
      <w:rPr>
        <w:rFonts w:ascii="Courier New" w:hAnsi="Courier New" w:hint="default"/>
      </w:rPr>
    </w:lvl>
    <w:lvl w:ilvl="2" w:tplc="20967068">
      <w:start w:val="1"/>
      <w:numFmt w:val="bullet"/>
      <w:lvlText w:val=""/>
      <w:lvlJc w:val="left"/>
      <w:pPr>
        <w:ind w:left="2160" w:hanging="360"/>
      </w:pPr>
      <w:rPr>
        <w:rFonts w:ascii="Wingdings" w:hAnsi="Wingdings" w:hint="default"/>
      </w:rPr>
    </w:lvl>
    <w:lvl w:ilvl="3" w:tplc="D5F83AAA">
      <w:start w:val="1"/>
      <w:numFmt w:val="bullet"/>
      <w:lvlText w:val=""/>
      <w:lvlJc w:val="left"/>
      <w:pPr>
        <w:ind w:left="2880" w:hanging="360"/>
      </w:pPr>
      <w:rPr>
        <w:rFonts w:ascii="Symbol" w:hAnsi="Symbol" w:hint="default"/>
      </w:rPr>
    </w:lvl>
    <w:lvl w:ilvl="4" w:tplc="D9203B92">
      <w:start w:val="1"/>
      <w:numFmt w:val="bullet"/>
      <w:lvlText w:val="o"/>
      <w:lvlJc w:val="left"/>
      <w:pPr>
        <w:ind w:left="3600" w:hanging="360"/>
      </w:pPr>
      <w:rPr>
        <w:rFonts w:ascii="Courier New" w:hAnsi="Courier New" w:hint="default"/>
      </w:rPr>
    </w:lvl>
    <w:lvl w:ilvl="5" w:tplc="C5D4E4F6">
      <w:start w:val="1"/>
      <w:numFmt w:val="bullet"/>
      <w:lvlText w:val=""/>
      <w:lvlJc w:val="left"/>
      <w:pPr>
        <w:ind w:left="4320" w:hanging="360"/>
      </w:pPr>
      <w:rPr>
        <w:rFonts w:ascii="Wingdings" w:hAnsi="Wingdings" w:hint="default"/>
      </w:rPr>
    </w:lvl>
    <w:lvl w:ilvl="6" w:tplc="4B3A70F8">
      <w:start w:val="1"/>
      <w:numFmt w:val="bullet"/>
      <w:lvlText w:val=""/>
      <w:lvlJc w:val="left"/>
      <w:pPr>
        <w:ind w:left="5040" w:hanging="360"/>
      </w:pPr>
      <w:rPr>
        <w:rFonts w:ascii="Symbol" w:hAnsi="Symbol" w:hint="default"/>
      </w:rPr>
    </w:lvl>
    <w:lvl w:ilvl="7" w:tplc="32704880">
      <w:start w:val="1"/>
      <w:numFmt w:val="bullet"/>
      <w:lvlText w:val="o"/>
      <w:lvlJc w:val="left"/>
      <w:pPr>
        <w:ind w:left="5760" w:hanging="360"/>
      </w:pPr>
      <w:rPr>
        <w:rFonts w:ascii="Courier New" w:hAnsi="Courier New" w:hint="default"/>
      </w:rPr>
    </w:lvl>
    <w:lvl w:ilvl="8" w:tplc="C5225486">
      <w:start w:val="1"/>
      <w:numFmt w:val="bullet"/>
      <w:lvlText w:val=""/>
      <w:lvlJc w:val="left"/>
      <w:pPr>
        <w:ind w:left="6480" w:hanging="360"/>
      </w:pPr>
      <w:rPr>
        <w:rFonts w:ascii="Wingdings" w:hAnsi="Wingdings" w:hint="default"/>
      </w:rPr>
    </w:lvl>
  </w:abstractNum>
  <w:abstractNum w:abstractNumId="34" w15:restartNumberingAfterBreak="0">
    <w:nsid w:val="744A10F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5F29BF9"/>
    <w:multiLevelType w:val="hybridMultilevel"/>
    <w:tmpl w:val="E6E6C50C"/>
    <w:lvl w:ilvl="0" w:tplc="101E94BE">
      <w:start w:val="1"/>
      <w:numFmt w:val="bullet"/>
      <w:lvlText w:val=""/>
      <w:lvlJc w:val="left"/>
      <w:pPr>
        <w:ind w:left="720" w:hanging="360"/>
      </w:pPr>
      <w:rPr>
        <w:rFonts w:ascii="Symbol" w:hAnsi="Symbol" w:hint="default"/>
      </w:rPr>
    </w:lvl>
    <w:lvl w:ilvl="1" w:tplc="E84C2C3C">
      <w:start w:val="1"/>
      <w:numFmt w:val="bullet"/>
      <w:lvlText w:val="o"/>
      <w:lvlJc w:val="left"/>
      <w:pPr>
        <w:ind w:left="1440" w:hanging="360"/>
      </w:pPr>
      <w:rPr>
        <w:rFonts w:ascii="Courier New" w:hAnsi="Courier New" w:hint="default"/>
      </w:rPr>
    </w:lvl>
    <w:lvl w:ilvl="2" w:tplc="5314B6B6">
      <w:start w:val="1"/>
      <w:numFmt w:val="bullet"/>
      <w:lvlText w:val=""/>
      <w:lvlJc w:val="left"/>
      <w:pPr>
        <w:ind w:left="2160" w:hanging="360"/>
      </w:pPr>
      <w:rPr>
        <w:rFonts w:ascii="Wingdings" w:hAnsi="Wingdings" w:hint="default"/>
      </w:rPr>
    </w:lvl>
    <w:lvl w:ilvl="3" w:tplc="E110DDF4">
      <w:start w:val="1"/>
      <w:numFmt w:val="bullet"/>
      <w:lvlText w:val=""/>
      <w:lvlJc w:val="left"/>
      <w:pPr>
        <w:ind w:left="2880" w:hanging="360"/>
      </w:pPr>
      <w:rPr>
        <w:rFonts w:ascii="Symbol" w:hAnsi="Symbol" w:hint="default"/>
      </w:rPr>
    </w:lvl>
    <w:lvl w:ilvl="4" w:tplc="863AD63C">
      <w:start w:val="1"/>
      <w:numFmt w:val="bullet"/>
      <w:lvlText w:val="o"/>
      <w:lvlJc w:val="left"/>
      <w:pPr>
        <w:ind w:left="3600" w:hanging="360"/>
      </w:pPr>
      <w:rPr>
        <w:rFonts w:ascii="Courier New" w:hAnsi="Courier New" w:hint="default"/>
      </w:rPr>
    </w:lvl>
    <w:lvl w:ilvl="5" w:tplc="74A8DA2A">
      <w:start w:val="1"/>
      <w:numFmt w:val="bullet"/>
      <w:lvlText w:val=""/>
      <w:lvlJc w:val="left"/>
      <w:pPr>
        <w:ind w:left="4320" w:hanging="360"/>
      </w:pPr>
      <w:rPr>
        <w:rFonts w:ascii="Wingdings" w:hAnsi="Wingdings" w:hint="default"/>
      </w:rPr>
    </w:lvl>
    <w:lvl w:ilvl="6" w:tplc="F7669684">
      <w:start w:val="1"/>
      <w:numFmt w:val="bullet"/>
      <w:lvlText w:val=""/>
      <w:lvlJc w:val="left"/>
      <w:pPr>
        <w:ind w:left="5040" w:hanging="360"/>
      </w:pPr>
      <w:rPr>
        <w:rFonts w:ascii="Symbol" w:hAnsi="Symbol" w:hint="default"/>
      </w:rPr>
    </w:lvl>
    <w:lvl w:ilvl="7" w:tplc="ECA07B3C">
      <w:start w:val="1"/>
      <w:numFmt w:val="bullet"/>
      <w:lvlText w:val="o"/>
      <w:lvlJc w:val="left"/>
      <w:pPr>
        <w:ind w:left="5760" w:hanging="360"/>
      </w:pPr>
      <w:rPr>
        <w:rFonts w:ascii="Courier New" w:hAnsi="Courier New" w:hint="default"/>
      </w:rPr>
    </w:lvl>
    <w:lvl w:ilvl="8" w:tplc="0B80AED6">
      <w:start w:val="1"/>
      <w:numFmt w:val="bullet"/>
      <w:lvlText w:val=""/>
      <w:lvlJc w:val="left"/>
      <w:pPr>
        <w:ind w:left="6480" w:hanging="360"/>
      </w:pPr>
      <w:rPr>
        <w:rFonts w:ascii="Wingdings" w:hAnsi="Wingdings" w:hint="default"/>
      </w:rPr>
    </w:lvl>
  </w:abstractNum>
  <w:abstractNum w:abstractNumId="36" w15:restartNumberingAfterBreak="0">
    <w:nsid w:val="76F6E0F1"/>
    <w:multiLevelType w:val="hybridMultilevel"/>
    <w:tmpl w:val="BFDAB26E"/>
    <w:lvl w:ilvl="0" w:tplc="C9F2F4C4">
      <w:start w:val="1"/>
      <w:numFmt w:val="bullet"/>
      <w:lvlText w:val=""/>
      <w:lvlJc w:val="left"/>
      <w:pPr>
        <w:ind w:left="360" w:hanging="360"/>
      </w:pPr>
      <w:rPr>
        <w:rFonts w:ascii="Symbol" w:hAnsi="Symbol" w:hint="default"/>
      </w:rPr>
    </w:lvl>
    <w:lvl w:ilvl="1" w:tplc="9680211E">
      <w:start w:val="1"/>
      <w:numFmt w:val="bullet"/>
      <w:lvlText w:val="o"/>
      <w:lvlJc w:val="left"/>
      <w:pPr>
        <w:ind w:left="1080" w:hanging="360"/>
      </w:pPr>
      <w:rPr>
        <w:rFonts w:ascii="Courier New" w:hAnsi="Courier New" w:hint="default"/>
      </w:rPr>
    </w:lvl>
    <w:lvl w:ilvl="2" w:tplc="F9A4B866">
      <w:start w:val="1"/>
      <w:numFmt w:val="bullet"/>
      <w:lvlText w:val=""/>
      <w:lvlJc w:val="left"/>
      <w:pPr>
        <w:ind w:left="1800" w:hanging="360"/>
      </w:pPr>
      <w:rPr>
        <w:rFonts w:ascii="Wingdings" w:hAnsi="Wingdings" w:hint="default"/>
      </w:rPr>
    </w:lvl>
    <w:lvl w:ilvl="3" w:tplc="AD46F95E">
      <w:start w:val="1"/>
      <w:numFmt w:val="bullet"/>
      <w:lvlText w:val=""/>
      <w:lvlJc w:val="left"/>
      <w:pPr>
        <w:ind w:left="2520" w:hanging="360"/>
      </w:pPr>
      <w:rPr>
        <w:rFonts w:ascii="Symbol" w:hAnsi="Symbol" w:hint="default"/>
      </w:rPr>
    </w:lvl>
    <w:lvl w:ilvl="4" w:tplc="48E4B6A2">
      <w:start w:val="1"/>
      <w:numFmt w:val="bullet"/>
      <w:lvlText w:val="o"/>
      <w:lvlJc w:val="left"/>
      <w:pPr>
        <w:ind w:left="3240" w:hanging="360"/>
      </w:pPr>
      <w:rPr>
        <w:rFonts w:ascii="Courier New" w:hAnsi="Courier New" w:hint="default"/>
      </w:rPr>
    </w:lvl>
    <w:lvl w:ilvl="5" w:tplc="DC7C2F4A">
      <w:start w:val="1"/>
      <w:numFmt w:val="bullet"/>
      <w:lvlText w:val=""/>
      <w:lvlJc w:val="left"/>
      <w:pPr>
        <w:ind w:left="3960" w:hanging="360"/>
      </w:pPr>
      <w:rPr>
        <w:rFonts w:ascii="Wingdings" w:hAnsi="Wingdings" w:hint="default"/>
      </w:rPr>
    </w:lvl>
    <w:lvl w:ilvl="6" w:tplc="7DA22668">
      <w:start w:val="1"/>
      <w:numFmt w:val="bullet"/>
      <w:lvlText w:val=""/>
      <w:lvlJc w:val="left"/>
      <w:pPr>
        <w:ind w:left="4680" w:hanging="360"/>
      </w:pPr>
      <w:rPr>
        <w:rFonts w:ascii="Symbol" w:hAnsi="Symbol" w:hint="default"/>
      </w:rPr>
    </w:lvl>
    <w:lvl w:ilvl="7" w:tplc="D43C9502">
      <w:start w:val="1"/>
      <w:numFmt w:val="bullet"/>
      <w:lvlText w:val="o"/>
      <w:lvlJc w:val="left"/>
      <w:pPr>
        <w:ind w:left="5400" w:hanging="360"/>
      </w:pPr>
      <w:rPr>
        <w:rFonts w:ascii="Courier New" w:hAnsi="Courier New" w:hint="default"/>
      </w:rPr>
    </w:lvl>
    <w:lvl w:ilvl="8" w:tplc="1B724B36">
      <w:start w:val="1"/>
      <w:numFmt w:val="bullet"/>
      <w:lvlText w:val=""/>
      <w:lvlJc w:val="left"/>
      <w:pPr>
        <w:ind w:left="6120" w:hanging="360"/>
      </w:pPr>
      <w:rPr>
        <w:rFonts w:ascii="Wingdings" w:hAnsi="Wingdings" w:hint="default"/>
      </w:rPr>
    </w:lvl>
  </w:abstractNum>
  <w:abstractNum w:abstractNumId="37" w15:restartNumberingAfterBreak="0">
    <w:nsid w:val="7AC11945"/>
    <w:multiLevelType w:val="hybridMultilevel"/>
    <w:tmpl w:val="2E5A9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9328B5"/>
    <w:multiLevelType w:val="hybridMultilevel"/>
    <w:tmpl w:val="DAAEDC68"/>
    <w:lvl w:ilvl="0" w:tplc="272AE14A">
      <w:start w:val="1"/>
      <w:numFmt w:val="bullet"/>
      <w:lvlText w:val=""/>
      <w:lvlJc w:val="left"/>
      <w:pPr>
        <w:ind w:left="360" w:hanging="360"/>
      </w:pPr>
      <w:rPr>
        <w:rFonts w:ascii="Symbol" w:hAnsi="Symbol" w:hint="default"/>
      </w:rPr>
    </w:lvl>
    <w:lvl w:ilvl="1" w:tplc="5DFE774E">
      <w:start w:val="1"/>
      <w:numFmt w:val="bullet"/>
      <w:lvlText w:val="o"/>
      <w:lvlJc w:val="left"/>
      <w:pPr>
        <w:ind w:left="1080" w:hanging="360"/>
      </w:pPr>
      <w:rPr>
        <w:rFonts w:ascii="Courier New" w:hAnsi="Courier New" w:hint="default"/>
      </w:rPr>
    </w:lvl>
    <w:lvl w:ilvl="2" w:tplc="498026A8">
      <w:start w:val="1"/>
      <w:numFmt w:val="bullet"/>
      <w:lvlText w:val=""/>
      <w:lvlJc w:val="left"/>
      <w:pPr>
        <w:ind w:left="1800" w:hanging="360"/>
      </w:pPr>
      <w:rPr>
        <w:rFonts w:ascii="Wingdings" w:hAnsi="Wingdings" w:hint="default"/>
      </w:rPr>
    </w:lvl>
    <w:lvl w:ilvl="3" w:tplc="7ACEB7A6">
      <w:start w:val="1"/>
      <w:numFmt w:val="bullet"/>
      <w:lvlText w:val=""/>
      <w:lvlJc w:val="left"/>
      <w:pPr>
        <w:ind w:left="2520" w:hanging="360"/>
      </w:pPr>
      <w:rPr>
        <w:rFonts w:ascii="Symbol" w:hAnsi="Symbol" w:hint="default"/>
      </w:rPr>
    </w:lvl>
    <w:lvl w:ilvl="4" w:tplc="E0E8AC38">
      <w:start w:val="1"/>
      <w:numFmt w:val="bullet"/>
      <w:lvlText w:val="o"/>
      <w:lvlJc w:val="left"/>
      <w:pPr>
        <w:ind w:left="3240" w:hanging="360"/>
      </w:pPr>
      <w:rPr>
        <w:rFonts w:ascii="Courier New" w:hAnsi="Courier New" w:hint="default"/>
      </w:rPr>
    </w:lvl>
    <w:lvl w:ilvl="5" w:tplc="7016824E">
      <w:start w:val="1"/>
      <w:numFmt w:val="bullet"/>
      <w:lvlText w:val=""/>
      <w:lvlJc w:val="left"/>
      <w:pPr>
        <w:ind w:left="3960" w:hanging="360"/>
      </w:pPr>
      <w:rPr>
        <w:rFonts w:ascii="Wingdings" w:hAnsi="Wingdings" w:hint="default"/>
      </w:rPr>
    </w:lvl>
    <w:lvl w:ilvl="6" w:tplc="929A840C">
      <w:start w:val="1"/>
      <w:numFmt w:val="bullet"/>
      <w:lvlText w:val=""/>
      <w:lvlJc w:val="left"/>
      <w:pPr>
        <w:ind w:left="4680" w:hanging="360"/>
      </w:pPr>
      <w:rPr>
        <w:rFonts w:ascii="Symbol" w:hAnsi="Symbol" w:hint="default"/>
      </w:rPr>
    </w:lvl>
    <w:lvl w:ilvl="7" w:tplc="480C482C">
      <w:start w:val="1"/>
      <w:numFmt w:val="bullet"/>
      <w:lvlText w:val="o"/>
      <w:lvlJc w:val="left"/>
      <w:pPr>
        <w:ind w:left="5400" w:hanging="360"/>
      </w:pPr>
      <w:rPr>
        <w:rFonts w:ascii="Courier New" w:hAnsi="Courier New" w:hint="default"/>
      </w:rPr>
    </w:lvl>
    <w:lvl w:ilvl="8" w:tplc="26108C4E">
      <w:start w:val="1"/>
      <w:numFmt w:val="bullet"/>
      <w:lvlText w:val=""/>
      <w:lvlJc w:val="left"/>
      <w:pPr>
        <w:ind w:left="6120" w:hanging="360"/>
      </w:pPr>
      <w:rPr>
        <w:rFonts w:ascii="Wingdings" w:hAnsi="Wingdings" w:hint="default"/>
      </w:rPr>
    </w:lvl>
  </w:abstractNum>
  <w:abstractNum w:abstractNumId="39" w15:restartNumberingAfterBreak="0">
    <w:nsid w:val="7D0428F2"/>
    <w:multiLevelType w:val="hybridMultilevel"/>
    <w:tmpl w:val="2EEC6EDC"/>
    <w:lvl w:ilvl="0" w:tplc="8DB02E7A">
      <w:start w:val="1"/>
      <w:numFmt w:val="bullet"/>
      <w:lvlText w:val=""/>
      <w:lvlJc w:val="left"/>
      <w:pPr>
        <w:ind w:left="360" w:hanging="360"/>
      </w:pPr>
      <w:rPr>
        <w:rFonts w:ascii="Symbol" w:hAnsi="Symbol" w:hint="default"/>
      </w:rPr>
    </w:lvl>
    <w:lvl w:ilvl="1" w:tplc="5B1A8934">
      <w:start w:val="1"/>
      <w:numFmt w:val="bullet"/>
      <w:lvlText w:val="o"/>
      <w:lvlJc w:val="left"/>
      <w:pPr>
        <w:ind w:left="1080" w:hanging="360"/>
      </w:pPr>
      <w:rPr>
        <w:rFonts w:ascii="Courier New" w:hAnsi="Courier New" w:hint="default"/>
      </w:rPr>
    </w:lvl>
    <w:lvl w:ilvl="2" w:tplc="0F4E9724">
      <w:start w:val="1"/>
      <w:numFmt w:val="bullet"/>
      <w:lvlText w:val=""/>
      <w:lvlJc w:val="left"/>
      <w:pPr>
        <w:ind w:left="1800" w:hanging="360"/>
      </w:pPr>
      <w:rPr>
        <w:rFonts w:ascii="Wingdings" w:hAnsi="Wingdings" w:hint="default"/>
      </w:rPr>
    </w:lvl>
    <w:lvl w:ilvl="3" w:tplc="CB4E1B56">
      <w:start w:val="1"/>
      <w:numFmt w:val="bullet"/>
      <w:lvlText w:val=""/>
      <w:lvlJc w:val="left"/>
      <w:pPr>
        <w:ind w:left="2520" w:hanging="360"/>
      </w:pPr>
      <w:rPr>
        <w:rFonts w:ascii="Symbol" w:hAnsi="Symbol" w:hint="default"/>
      </w:rPr>
    </w:lvl>
    <w:lvl w:ilvl="4" w:tplc="2CAC251E">
      <w:start w:val="1"/>
      <w:numFmt w:val="bullet"/>
      <w:lvlText w:val="o"/>
      <w:lvlJc w:val="left"/>
      <w:pPr>
        <w:ind w:left="3240" w:hanging="360"/>
      </w:pPr>
      <w:rPr>
        <w:rFonts w:ascii="Courier New" w:hAnsi="Courier New" w:hint="default"/>
      </w:rPr>
    </w:lvl>
    <w:lvl w:ilvl="5" w:tplc="33E404DA">
      <w:start w:val="1"/>
      <w:numFmt w:val="bullet"/>
      <w:lvlText w:val=""/>
      <w:lvlJc w:val="left"/>
      <w:pPr>
        <w:ind w:left="3960" w:hanging="360"/>
      </w:pPr>
      <w:rPr>
        <w:rFonts w:ascii="Wingdings" w:hAnsi="Wingdings" w:hint="default"/>
      </w:rPr>
    </w:lvl>
    <w:lvl w:ilvl="6" w:tplc="A35A4790">
      <w:start w:val="1"/>
      <w:numFmt w:val="bullet"/>
      <w:lvlText w:val=""/>
      <w:lvlJc w:val="left"/>
      <w:pPr>
        <w:ind w:left="4680" w:hanging="360"/>
      </w:pPr>
      <w:rPr>
        <w:rFonts w:ascii="Symbol" w:hAnsi="Symbol" w:hint="default"/>
      </w:rPr>
    </w:lvl>
    <w:lvl w:ilvl="7" w:tplc="CBD4FA00">
      <w:start w:val="1"/>
      <w:numFmt w:val="bullet"/>
      <w:lvlText w:val="o"/>
      <w:lvlJc w:val="left"/>
      <w:pPr>
        <w:ind w:left="5400" w:hanging="360"/>
      </w:pPr>
      <w:rPr>
        <w:rFonts w:ascii="Courier New" w:hAnsi="Courier New" w:hint="default"/>
      </w:rPr>
    </w:lvl>
    <w:lvl w:ilvl="8" w:tplc="84400CA2">
      <w:start w:val="1"/>
      <w:numFmt w:val="bullet"/>
      <w:lvlText w:val=""/>
      <w:lvlJc w:val="left"/>
      <w:pPr>
        <w:ind w:left="6120" w:hanging="360"/>
      </w:pPr>
      <w:rPr>
        <w:rFonts w:ascii="Wingdings" w:hAnsi="Wingdings" w:hint="default"/>
      </w:rPr>
    </w:lvl>
  </w:abstractNum>
  <w:abstractNum w:abstractNumId="40" w15:restartNumberingAfterBreak="0">
    <w:nsid w:val="7D07A2E7"/>
    <w:multiLevelType w:val="hybridMultilevel"/>
    <w:tmpl w:val="86B4357A"/>
    <w:lvl w:ilvl="0" w:tplc="F1A87C04">
      <w:start w:val="1"/>
      <w:numFmt w:val="bullet"/>
      <w:lvlText w:val=""/>
      <w:lvlJc w:val="left"/>
      <w:pPr>
        <w:ind w:left="360" w:hanging="360"/>
      </w:pPr>
      <w:rPr>
        <w:rFonts w:ascii="Symbol" w:hAnsi="Symbol" w:hint="default"/>
      </w:rPr>
    </w:lvl>
    <w:lvl w:ilvl="1" w:tplc="4A1EB7F8">
      <w:start w:val="1"/>
      <w:numFmt w:val="bullet"/>
      <w:lvlText w:val="o"/>
      <w:lvlJc w:val="left"/>
      <w:pPr>
        <w:ind w:left="1080" w:hanging="360"/>
      </w:pPr>
      <w:rPr>
        <w:rFonts w:ascii="Courier New" w:hAnsi="Courier New" w:hint="default"/>
      </w:rPr>
    </w:lvl>
    <w:lvl w:ilvl="2" w:tplc="41A4B216">
      <w:start w:val="1"/>
      <w:numFmt w:val="bullet"/>
      <w:lvlText w:val=""/>
      <w:lvlJc w:val="left"/>
      <w:pPr>
        <w:ind w:left="1800" w:hanging="360"/>
      </w:pPr>
      <w:rPr>
        <w:rFonts w:ascii="Wingdings" w:hAnsi="Wingdings" w:hint="default"/>
      </w:rPr>
    </w:lvl>
    <w:lvl w:ilvl="3" w:tplc="9A8EB844">
      <w:start w:val="1"/>
      <w:numFmt w:val="bullet"/>
      <w:lvlText w:val=""/>
      <w:lvlJc w:val="left"/>
      <w:pPr>
        <w:ind w:left="2520" w:hanging="360"/>
      </w:pPr>
      <w:rPr>
        <w:rFonts w:ascii="Symbol" w:hAnsi="Symbol" w:hint="default"/>
      </w:rPr>
    </w:lvl>
    <w:lvl w:ilvl="4" w:tplc="A8D817C4">
      <w:start w:val="1"/>
      <w:numFmt w:val="bullet"/>
      <w:lvlText w:val="o"/>
      <w:lvlJc w:val="left"/>
      <w:pPr>
        <w:ind w:left="3240" w:hanging="360"/>
      </w:pPr>
      <w:rPr>
        <w:rFonts w:ascii="Courier New" w:hAnsi="Courier New" w:hint="default"/>
      </w:rPr>
    </w:lvl>
    <w:lvl w:ilvl="5" w:tplc="35E4C4A0">
      <w:start w:val="1"/>
      <w:numFmt w:val="bullet"/>
      <w:lvlText w:val=""/>
      <w:lvlJc w:val="left"/>
      <w:pPr>
        <w:ind w:left="3960" w:hanging="360"/>
      </w:pPr>
      <w:rPr>
        <w:rFonts w:ascii="Wingdings" w:hAnsi="Wingdings" w:hint="default"/>
      </w:rPr>
    </w:lvl>
    <w:lvl w:ilvl="6" w:tplc="BBD679B8">
      <w:start w:val="1"/>
      <w:numFmt w:val="bullet"/>
      <w:lvlText w:val=""/>
      <w:lvlJc w:val="left"/>
      <w:pPr>
        <w:ind w:left="4680" w:hanging="360"/>
      </w:pPr>
      <w:rPr>
        <w:rFonts w:ascii="Symbol" w:hAnsi="Symbol" w:hint="default"/>
      </w:rPr>
    </w:lvl>
    <w:lvl w:ilvl="7" w:tplc="217046F4">
      <w:start w:val="1"/>
      <w:numFmt w:val="bullet"/>
      <w:lvlText w:val="o"/>
      <w:lvlJc w:val="left"/>
      <w:pPr>
        <w:ind w:left="5400" w:hanging="360"/>
      </w:pPr>
      <w:rPr>
        <w:rFonts w:ascii="Courier New" w:hAnsi="Courier New" w:hint="default"/>
      </w:rPr>
    </w:lvl>
    <w:lvl w:ilvl="8" w:tplc="646E352C">
      <w:start w:val="1"/>
      <w:numFmt w:val="bullet"/>
      <w:lvlText w:val=""/>
      <w:lvlJc w:val="left"/>
      <w:pPr>
        <w:ind w:left="6120" w:hanging="360"/>
      </w:pPr>
      <w:rPr>
        <w:rFonts w:ascii="Wingdings" w:hAnsi="Wingdings" w:hint="default"/>
      </w:rPr>
    </w:lvl>
  </w:abstractNum>
  <w:abstractNum w:abstractNumId="41" w15:restartNumberingAfterBreak="0">
    <w:nsid w:val="7DAE60EF"/>
    <w:multiLevelType w:val="hybridMultilevel"/>
    <w:tmpl w:val="6EC846A0"/>
    <w:lvl w:ilvl="0" w:tplc="E59AD59E">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0">
    <w:lvl w:ilvl="0">
      <w:start w:val="1"/>
      <w:numFmt w:val="bullet"/>
      <w:lvlText w:val="•"/>
      <w:pPr>
        <w:ind w:left="567" w:hanging="284"/>
      </w:pPr>
    </w:lvl>
    <w:lvl w:ilvl="1">
      <w:start w:val="1"/>
      <w:numFmt w:val="bullet"/>
      <w:lvlText w:val="•"/>
      <w:pPr>
        <w:ind w:left="1134" w:hanging="284"/>
      </w:pPr>
    </w:lvl>
  </w:abstractNum>
  <w:abstractNum w:abstractNumId="901">
    <w:lvl w:ilvl="0">
      <w:start w:val="1"/>
      <w:numFmt w:val="decimal"/>
      <w:lvlText w:val="%1."/>
      <w:pPr>
        <w:ind w:left="567" w:hanging="284"/>
      </w:pPr>
    </w:lvl>
    <w:lvl w:ilvl="1">
      <w:start w:val="1"/>
      <w:numFmt w:val="lowerLetter"/>
      <w:lvlText w:val="%2."/>
      <w:pPr>
        <w:ind w:left="1134" w:hanging="284"/>
      </w:pPr>
    </w:lvl>
  </w:abstractNum>
  <w:num w:numId="1">
    <w:abstractNumId w:val="23"/>
  </w:num>
  <w:num w:numId="2">
    <w:abstractNumId w:val="33"/>
  </w:num>
  <w:num w:numId="3">
    <w:abstractNumId w:val="5"/>
  </w:num>
  <w:num w:numId="4">
    <w:abstractNumId w:val="35"/>
  </w:num>
  <w:num w:numId="5">
    <w:abstractNumId w:val="24"/>
  </w:num>
  <w:num w:numId="6">
    <w:abstractNumId w:val="1"/>
  </w:num>
  <w:num w:numId="7">
    <w:abstractNumId w:val="21"/>
  </w:num>
  <w:num w:numId="8">
    <w:abstractNumId w:val="40"/>
  </w:num>
  <w:num w:numId="9">
    <w:abstractNumId w:val="27"/>
  </w:num>
  <w:num w:numId="10">
    <w:abstractNumId w:val="9"/>
  </w:num>
  <w:num w:numId="11">
    <w:abstractNumId w:val="4"/>
  </w:num>
  <w:num w:numId="12">
    <w:abstractNumId w:val="30"/>
  </w:num>
  <w:num w:numId="13">
    <w:abstractNumId w:val="29"/>
  </w:num>
  <w:num w:numId="14">
    <w:abstractNumId w:val="26"/>
  </w:num>
  <w:num w:numId="15">
    <w:abstractNumId w:val="32"/>
  </w:num>
  <w:num w:numId="16">
    <w:abstractNumId w:val="39"/>
  </w:num>
  <w:num w:numId="17">
    <w:abstractNumId w:val="17"/>
  </w:num>
  <w:num w:numId="18">
    <w:abstractNumId w:val="22"/>
  </w:num>
  <w:num w:numId="19">
    <w:abstractNumId w:val="36"/>
  </w:num>
  <w:num w:numId="20">
    <w:abstractNumId w:val="38"/>
  </w:num>
  <w:num w:numId="21">
    <w:abstractNumId w:val="11"/>
  </w:num>
  <w:num w:numId="22">
    <w:abstractNumId w:val="25"/>
  </w:num>
  <w:num w:numId="23">
    <w:abstractNumId w:val="28"/>
  </w:num>
  <w:num w:numId="24">
    <w:abstractNumId w:val="7"/>
  </w:num>
  <w:num w:numId="25">
    <w:abstractNumId w:val="13"/>
  </w:num>
  <w:num w:numId="26">
    <w:abstractNumId w:val="6"/>
  </w:num>
  <w:num w:numId="27">
    <w:abstractNumId w:val="19"/>
  </w:num>
  <w:num w:numId="28">
    <w:abstractNumId w:val="16"/>
    <w:lvlOverride w:ilvl="0">
      <w:startOverride w:val="1"/>
    </w:lvlOverride>
  </w:num>
  <w:num w:numId="29">
    <w:abstractNumId w:val="31"/>
  </w:num>
  <w:num w:numId="30">
    <w:abstractNumId w:val="20"/>
  </w:num>
  <w:num w:numId="31">
    <w:abstractNumId w:val="2"/>
  </w:num>
  <w:num w:numId="32">
    <w:abstractNumId w:val="0"/>
  </w:num>
  <w:num w:numId="33">
    <w:abstractNumId w:val="18"/>
  </w:num>
  <w:num w:numId="34">
    <w:abstractNumId w:val="34"/>
  </w:num>
  <w:num w:numId="35">
    <w:abstractNumId w:val="8"/>
  </w:num>
  <w:num w:numId="36">
    <w:abstractNumId w:val="41"/>
  </w:num>
  <w:num w:numId="37">
    <w:abstractNumId w:val="14"/>
  </w:num>
  <w:num w:numId="38">
    <w:abstractNumId w:val="10"/>
    <w:lvlOverride w:ilvl="0">
      <w:startOverride w:val="1"/>
    </w:lvlOverride>
  </w:num>
  <w:num w:numId="39">
    <w:abstractNumId w:val="3"/>
  </w:num>
  <w:num w:numId="40">
    <w:abstractNumId w:val="12"/>
  </w:num>
  <w:num w:numId="41">
    <w:abstractNumId w:val="37"/>
  </w:num>
  <w:num w:numId="42">
    <w:abstractNumId w:val="15"/>
  </w:num>
  <w:numIdMacAtCleanup w:val="34"/>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 w:numId="905">
    <w:abstractNumId w:val="900"/>
    <w:lvlOverride w:ilvl="0">
      <w:startOverride w:val="1"/>
    </w:lvlOverride>
  </w:num>
  <w:num w:numId="906">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19F403"/>
    <w:rsid w:val="000008F8"/>
    <w:rsid w:val="00003853"/>
    <w:rsid w:val="000061BA"/>
    <w:rsid w:val="000069B6"/>
    <w:rsid w:val="00010333"/>
    <w:rsid w:val="0001033C"/>
    <w:rsid w:val="00013EDD"/>
    <w:rsid w:val="00020D57"/>
    <w:rsid w:val="000217EB"/>
    <w:rsid w:val="0002449C"/>
    <w:rsid w:val="00025EB4"/>
    <w:rsid w:val="000332AE"/>
    <w:rsid w:val="00035616"/>
    <w:rsid w:val="000378BA"/>
    <w:rsid w:val="00037926"/>
    <w:rsid w:val="0004634B"/>
    <w:rsid w:val="00052CD4"/>
    <w:rsid w:val="000537D4"/>
    <w:rsid w:val="00053ABB"/>
    <w:rsid w:val="00056EF2"/>
    <w:rsid w:val="000576F7"/>
    <w:rsid w:val="000627C6"/>
    <w:rsid w:val="0006462E"/>
    <w:rsid w:val="000665D1"/>
    <w:rsid w:val="0006712E"/>
    <w:rsid w:val="0006B6E1"/>
    <w:rsid w:val="00070C00"/>
    <w:rsid w:val="00082D4E"/>
    <w:rsid w:val="00090A18"/>
    <w:rsid w:val="0009146A"/>
    <w:rsid w:val="00091DFC"/>
    <w:rsid w:val="00092CF9"/>
    <w:rsid w:val="000930E1"/>
    <w:rsid w:val="0009683B"/>
    <w:rsid w:val="00096CCF"/>
    <w:rsid w:val="00097754"/>
    <w:rsid w:val="000A2BFF"/>
    <w:rsid w:val="000A468C"/>
    <w:rsid w:val="000A5E08"/>
    <w:rsid w:val="000A7D36"/>
    <w:rsid w:val="000AEB2D"/>
    <w:rsid w:val="000B14D6"/>
    <w:rsid w:val="000B217A"/>
    <w:rsid w:val="000B2A89"/>
    <w:rsid w:val="000B3954"/>
    <w:rsid w:val="000B52D0"/>
    <w:rsid w:val="000B6440"/>
    <w:rsid w:val="000C2847"/>
    <w:rsid w:val="000C334F"/>
    <w:rsid w:val="000C46A0"/>
    <w:rsid w:val="000C6529"/>
    <w:rsid w:val="000D20BE"/>
    <w:rsid w:val="000D47AC"/>
    <w:rsid w:val="000D4BDE"/>
    <w:rsid w:val="000D5C7C"/>
    <w:rsid w:val="000D6DD7"/>
    <w:rsid w:val="000E18A4"/>
    <w:rsid w:val="000E640A"/>
    <w:rsid w:val="000E6C47"/>
    <w:rsid w:val="000F000F"/>
    <w:rsid w:val="000F6004"/>
    <w:rsid w:val="000F7471"/>
    <w:rsid w:val="001024AD"/>
    <w:rsid w:val="00102CBF"/>
    <w:rsid w:val="00103814"/>
    <w:rsid w:val="00104898"/>
    <w:rsid w:val="00107390"/>
    <w:rsid w:val="00107A2E"/>
    <w:rsid w:val="00111D18"/>
    <w:rsid w:val="001136AD"/>
    <w:rsid w:val="00113EFF"/>
    <w:rsid w:val="00120046"/>
    <w:rsid w:val="00120155"/>
    <w:rsid w:val="0012030D"/>
    <w:rsid w:val="00120EAC"/>
    <w:rsid w:val="0012492C"/>
    <w:rsid w:val="00126CCA"/>
    <w:rsid w:val="00132FAE"/>
    <w:rsid w:val="00136697"/>
    <w:rsid w:val="001378F7"/>
    <w:rsid w:val="001442DA"/>
    <w:rsid w:val="00150BE4"/>
    <w:rsid w:val="00152BA9"/>
    <w:rsid w:val="00152EB4"/>
    <w:rsid w:val="00153969"/>
    <w:rsid w:val="0015637F"/>
    <w:rsid w:val="00156C66"/>
    <w:rsid w:val="00157852"/>
    <w:rsid w:val="00157F33"/>
    <w:rsid w:val="001607BA"/>
    <w:rsid w:val="0016254F"/>
    <w:rsid w:val="00167056"/>
    <w:rsid w:val="0017178D"/>
    <w:rsid w:val="001717C0"/>
    <w:rsid w:val="00171EC5"/>
    <w:rsid w:val="0017236C"/>
    <w:rsid w:val="00174A8B"/>
    <w:rsid w:val="001755B3"/>
    <w:rsid w:val="00183965"/>
    <w:rsid w:val="00184C81"/>
    <w:rsid w:val="00186438"/>
    <w:rsid w:val="001938A8"/>
    <w:rsid w:val="0019491B"/>
    <w:rsid w:val="001960F7"/>
    <w:rsid w:val="001A0ADF"/>
    <w:rsid w:val="001A2D2D"/>
    <w:rsid w:val="001A6BB9"/>
    <w:rsid w:val="001B0443"/>
    <w:rsid w:val="001B071E"/>
    <w:rsid w:val="001B0EFB"/>
    <w:rsid w:val="001B2535"/>
    <w:rsid w:val="001B2EE3"/>
    <w:rsid w:val="001B386D"/>
    <w:rsid w:val="001B40BF"/>
    <w:rsid w:val="001B4403"/>
    <w:rsid w:val="001B45E2"/>
    <w:rsid w:val="001C5FA9"/>
    <w:rsid w:val="001D07CF"/>
    <w:rsid w:val="001D1A0B"/>
    <w:rsid w:val="001D1A8C"/>
    <w:rsid w:val="001D25B0"/>
    <w:rsid w:val="001D32A7"/>
    <w:rsid w:val="001D32C5"/>
    <w:rsid w:val="001D3854"/>
    <w:rsid w:val="001D64F0"/>
    <w:rsid w:val="001D6FF6"/>
    <w:rsid w:val="001E0DEF"/>
    <w:rsid w:val="001E1995"/>
    <w:rsid w:val="001E2AFD"/>
    <w:rsid w:val="001E572C"/>
    <w:rsid w:val="001E6261"/>
    <w:rsid w:val="001E725C"/>
    <w:rsid w:val="001E7CB3"/>
    <w:rsid w:val="001F2612"/>
    <w:rsid w:val="001F28BD"/>
    <w:rsid w:val="001F2BE7"/>
    <w:rsid w:val="001F2D6D"/>
    <w:rsid w:val="001F3030"/>
    <w:rsid w:val="001F32DC"/>
    <w:rsid w:val="001F3F84"/>
    <w:rsid w:val="001F408F"/>
    <w:rsid w:val="001F44EF"/>
    <w:rsid w:val="002025C1"/>
    <w:rsid w:val="00203E03"/>
    <w:rsid w:val="002043B8"/>
    <w:rsid w:val="0020566E"/>
    <w:rsid w:val="00210936"/>
    <w:rsid w:val="00210DC3"/>
    <w:rsid w:val="00211A29"/>
    <w:rsid w:val="00213191"/>
    <w:rsid w:val="0021335A"/>
    <w:rsid w:val="00213F96"/>
    <w:rsid w:val="002145EF"/>
    <w:rsid w:val="0021621D"/>
    <w:rsid w:val="002214A9"/>
    <w:rsid w:val="002230CD"/>
    <w:rsid w:val="00224661"/>
    <w:rsid w:val="002248FC"/>
    <w:rsid w:val="002257B6"/>
    <w:rsid w:val="00225E69"/>
    <w:rsid w:val="00226CAF"/>
    <w:rsid w:val="00230724"/>
    <w:rsid w:val="002312BC"/>
    <w:rsid w:val="002316FA"/>
    <w:rsid w:val="00233144"/>
    <w:rsid w:val="00236251"/>
    <w:rsid w:val="002367E2"/>
    <w:rsid w:val="00236B12"/>
    <w:rsid w:val="00237FB0"/>
    <w:rsid w:val="002412F7"/>
    <w:rsid w:val="00241FB1"/>
    <w:rsid w:val="00244941"/>
    <w:rsid w:val="00244DDF"/>
    <w:rsid w:val="002459F9"/>
    <w:rsid w:val="002505F5"/>
    <w:rsid w:val="002513CB"/>
    <w:rsid w:val="00261D6E"/>
    <w:rsid w:val="00272D31"/>
    <w:rsid w:val="00285087"/>
    <w:rsid w:val="00287400"/>
    <w:rsid w:val="00287F41"/>
    <w:rsid w:val="00291005"/>
    <w:rsid w:val="00291790"/>
    <w:rsid w:val="00291FD2"/>
    <w:rsid w:val="00292306"/>
    <w:rsid w:val="00293F60"/>
    <w:rsid w:val="00294ED5"/>
    <w:rsid w:val="00295BCD"/>
    <w:rsid w:val="00297DFF"/>
    <w:rsid w:val="00297F0F"/>
    <w:rsid w:val="002A0DA0"/>
    <w:rsid w:val="002A3807"/>
    <w:rsid w:val="002A5911"/>
    <w:rsid w:val="002B00E7"/>
    <w:rsid w:val="002B045C"/>
    <w:rsid w:val="002B0970"/>
    <w:rsid w:val="002B0E61"/>
    <w:rsid w:val="002B0F5C"/>
    <w:rsid w:val="002B18F2"/>
    <w:rsid w:val="002B1ACF"/>
    <w:rsid w:val="002B2473"/>
    <w:rsid w:val="002B27B9"/>
    <w:rsid w:val="002B2AF3"/>
    <w:rsid w:val="002B5E95"/>
    <w:rsid w:val="002B5FB2"/>
    <w:rsid w:val="002C05CC"/>
    <w:rsid w:val="002C4AFF"/>
    <w:rsid w:val="002C7E22"/>
    <w:rsid w:val="002D0407"/>
    <w:rsid w:val="002D14F9"/>
    <w:rsid w:val="002D1E03"/>
    <w:rsid w:val="002D4739"/>
    <w:rsid w:val="002D64C1"/>
    <w:rsid w:val="002D6A5C"/>
    <w:rsid w:val="002D6AB0"/>
    <w:rsid w:val="002D6D20"/>
    <w:rsid w:val="002E008C"/>
    <w:rsid w:val="002E0C7E"/>
    <w:rsid w:val="002E31B0"/>
    <w:rsid w:val="002E7A56"/>
    <w:rsid w:val="002F1070"/>
    <w:rsid w:val="002F1E74"/>
    <w:rsid w:val="002F1FD7"/>
    <w:rsid w:val="002F2FE1"/>
    <w:rsid w:val="002F39BF"/>
    <w:rsid w:val="002F573F"/>
    <w:rsid w:val="00301378"/>
    <w:rsid w:val="00303BFE"/>
    <w:rsid w:val="0030647F"/>
    <w:rsid w:val="00306759"/>
    <w:rsid w:val="00307078"/>
    <w:rsid w:val="0031128B"/>
    <w:rsid w:val="0031395D"/>
    <w:rsid w:val="00313DE3"/>
    <w:rsid w:val="00316C06"/>
    <w:rsid w:val="00317065"/>
    <w:rsid w:val="00320E26"/>
    <w:rsid w:val="00321D02"/>
    <w:rsid w:val="00322EF5"/>
    <w:rsid w:val="003236CF"/>
    <w:rsid w:val="003238EB"/>
    <w:rsid w:val="00330A1C"/>
    <w:rsid w:val="00334B0F"/>
    <w:rsid w:val="003359AE"/>
    <w:rsid w:val="00335BCB"/>
    <w:rsid w:val="003376F2"/>
    <w:rsid w:val="0033878A"/>
    <w:rsid w:val="00340054"/>
    <w:rsid w:val="003400C6"/>
    <w:rsid w:val="00341AC8"/>
    <w:rsid w:val="003430F9"/>
    <w:rsid w:val="0034321C"/>
    <w:rsid w:val="00346533"/>
    <w:rsid w:val="003524AF"/>
    <w:rsid w:val="00352D4C"/>
    <w:rsid w:val="00355F96"/>
    <w:rsid w:val="0035627B"/>
    <w:rsid w:val="00356F92"/>
    <w:rsid w:val="00357382"/>
    <w:rsid w:val="003637CD"/>
    <w:rsid w:val="003713C4"/>
    <w:rsid w:val="00371A3F"/>
    <w:rsid w:val="003739FD"/>
    <w:rsid w:val="0037413A"/>
    <w:rsid w:val="003748B6"/>
    <w:rsid w:val="00374D3C"/>
    <w:rsid w:val="00380A6B"/>
    <w:rsid w:val="003853E1"/>
    <w:rsid w:val="003854A7"/>
    <w:rsid w:val="00390705"/>
    <w:rsid w:val="00390C75"/>
    <w:rsid w:val="00391466"/>
    <w:rsid w:val="00391528"/>
    <w:rsid w:val="00391772"/>
    <w:rsid w:val="00392258"/>
    <w:rsid w:val="00393618"/>
    <w:rsid w:val="00394942"/>
    <w:rsid w:val="00395866"/>
    <w:rsid w:val="003971B8"/>
    <w:rsid w:val="003A3B2F"/>
    <w:rsid w:val="003A3B78"/>
    <w:rsid w:val="003A484E"/>
    <w:rsid w:val="003A7C6B"/>
    <w:rsid w:val="003B0CC8"/>
    <w:rsid w:val="003B624D"/>
    <w:rsid w:val="003C14F0"/>
    <w:rsid w:val="003C17CC"/>
    <w:rsid w:val="003C2E4A"/>
    <w:rsid w:val="003C3C67"/>
    <w:rsid w:val="003C6A59"/>
    <w:rsid w:val="003D0E7B"/>
    <w:rsid w:val="003D2352"/>
    <w:rsid w:val="003D400E"/>
    <w:rsid w:val="003D4DD1"/>
    <w:rsid w:val="003E16C3"/>
    <w:rsid w:val="003E1912"/>
    <w:rsid w:val="003E1B57"/>
    <w:rsid w:val="003E263E"/>
    <w:rsid w:val="003E47C5"/>
    <w:rsid w:val="003E532D"/>
    <w:rsid w:val="003E5402"/>
    <w:rsid w:val="003E5EB8"/>
    <w:rsid w:val="003E66E0"/>
    <w:rsid w:val="003E6A85"/>
    <w:rsid w:val="003E7AF2"/>
    <w:rsid w:val="003F0F81"/>
    <w:rsid w:val="003F2284"/>
    <w:rsid w:val="003F4004"/>
    <w:rsid w:val="003F4C0A"/>
    <w:rsid w:val="003F4D2D"/>
    <w:rsid w:val="003F741D"/>
    <w:rsid w:val="003F7719"/>
    <w:rsid w:val="004011F2"/>
    <w:rsid w:val="0040193E"/>
    <w:rsid w:val="00402E81"/>
    <w:rsid w:val="00403D9C"/>
    <w:rsid w:val="004054B3"/>
    <w:rsid w:val="0040580F"/>
    <w:rsid w:val="0041021D"/>
    <w:rsid w:val="0041030D"/>
    <w:rsid w:val="00410D0A"/>
    <w:rsid w:val="00414626"/>
    <w:rsid w:val="00416737"/>
    <w:rsid w:val="00416B20"/>
    <w:rsid w:val="00417885"/>
    <w:rsid w:val="0042173A"/>
    <w:rsid w:val="00422FD8"/>
    <w:rsid w:val="00423CD7"/>
    <w:rsid w:val="004261E2"/>
    <w:rsid w:val="00431EFA"/>
    <w:rsid w:val="00441E9E"/>
    <w:rsid w:val="00444967"/>
    <w:rsid w:val="004451BA"/>
    <w:rsid w:val="00445312"/>
    <w:rsid w:val="00445DBE"/>
    <w:rsid w:val="004463BB"/>
    <w:rsid w:val="00446651"/>
    <w:rsid w:val="0044669F"/>
    <w:rsid w:val="004510BE"/>
    <w:rsid w:val="00451AE3"/>
    <w:rsid w:val="00453A81"/>
    <w:rsid w:val="00455DDD"/>
    <w:rsid w:val="004568DB"/>
    <w:rsid w:val="00461FDC"/>
    <w:rsid w:val="00463A6F"/>
    <w:rsid w:val="0046557F"/>
    <w:rsid w:val="00471A52"/>
    <w:rsid w:val="00474494"/>
    <w:rsid w:val="00474FF3"/>
    <w:rsid w:val="004816B9"/>
    <w:rsid w:val="00481AC3"/>
    <w:rsid w:val="00485EF6"/>
    <w:rsid w:val="0049304C"/>
    <w:rsid w:val="00495218"/>
    <w:rsid w:val="00495CF6"/>
    <w:rsid w:val="00496148"/>
    <w:rsid w:val="00496A5E"/>
    <w:rsid w:val="00497054"/>
    <w:rsid w:val="004A28DD"/>
    <w:rsid w:val="004A2C4E"/>
    <w:rsid w:val="004A314C"/>
    <w:rsid w:val="004A65D5"/>
    <w:rsid w:val="004A7F7F"/>
    <w:rsid w:val="004B0569"/>
    <w:rsid w:val="004B3D9F"/>
    <w:rsid w:val="004B445C"/>
    <w:rsid w:val="004B4819"/>
    <w:rsid w:val="004B49D1"/>
    <w:rsid w:val="004B5225"/>
    <w:rsid w:val="004C1274"/>
    <w:rsid w:val="004C15D3"/>
    <w:rsid w:val="004C288B"/>
    <w:rsid w:val="004C481C"/>
    <w:rsid w:val="004C6562"/>
    <w:rsid w:val="004D0407"/>
    <w:rsid w:val="004D0F8A"/>
    <w:rsid w:val="004D1408"/>
    <w:rsid w:val="004D1B31"/>
    <w:rsid w:val="004D21CC"/>
    <w:rsid w:val="004D5FB7"/>
    <w:rsid w:val="004D6E8F"/>
    <w:rsid w:val="004E023C"/>
    <w:rsid w:val="004E0B51"/>
    <w:rsid w:val="004E1DE7"/>
    <w:rsid w:val="004E3BF6"/>
    <w:rsid w:val="004E554F"/>
    <w:rsid w:val="004E584E"/>
    <w:rsid w:val="004E5E79"/>
    <w:rsid w:val="004E5F73"/>
    <w:rsid w:val="004F135A"/>
    <w:rsid w:val="004F44C9"/>
    <w:rsid w:val="004F44FD"/>
    <w:rsid w:val="004F4F41"/>
    <w:rsid w:val="004F738D"/>
    <w:rsid w:val="005002DC"/>
    <w:rsid w:val="00504BBB"/>
    <w:rsid w:val="00506BF0"/>
    <w:rsid w:val="00514027"/>
    <w:rsid w:val="0051683E"/>
    <w:rsid w:val="00520173"/>
    <w:rsid w:val="00521FB4"/>
    <w:rsid w:val="005237C8"/>
    <w:rsid w:val="005255D2"/>
    <w:rsid w:val="00527272"/>
    <w:rsid w:val="00530185"/>
    <w:rsid w:val="005306EF"/>
    <w:rsid w:val="00530A76"/>
    <w:rsid w:val="00531B07"/>
    <w:rsid w:val="00531F3C"/>
    <w:rsid w:val="00536A0F"/>
    <w:rsid w:val="005377C0"/>
    <w:rsid w:val="005438EE"/>
    <w:rsid w:val="005451E4"/>
    <w:rsid w:val="00550F7B"/>
    <w:rsid w:val="005543A1"/>
    <w:rsid w:val="0055505B"/>
    <w:rsid w:val="00555C69"/>
    <w:rsid w:val="00560930"/>
    <w:rsid w:val="00560F70"/>
    <w:rsid w:val="00561371"/>
    <w:rsid w:val="00562683"/>
    <w:rsid w:val="00565003"/>
    <w:rsid w:val="00570B12"/>
    <w:rsid w:val="00574837"/>
    <w:rsid w:val="00574DC0"/>
    <w:rsid w:val="005759FA"/>
    <w:rsid w:val="005768D4"/>
    <w:rsid w:val="00577036"/>
    <w:rsid w:val="005771B1"/>
    <w:rsid w:val="005813BE"/>
    <w:rsid w:val="00582460"/>
    <w:rsid w:val="00582558"/>
    <w:rsid w:val="00583DCC"/>
    <w:rsid w:val="00584D53"/>
    <w:rsid w:val="0059021C"/>
    <w:rsid w:val="00594242"/>
    <w:rsid w:val="0059462D"/>
    <w:rsid w:val="00596362"/>
    <w:rsid w:val="005A4C37"/>
    <w:rsid w:val="005A59FD"/>
    <w:rsid w:val="005A7A6D"/>
    <w:rsid w:val="005B04DE"/>
    <w:rsid w:val="005B25A0"/>
    <w:rsid w:val="005B33C2"/>
    <w:rsid w:val="005B48A1"/>
    <w:rsid w:val="005B52E0"/>
    <w:rsid w:val="005B6D23"/>
    <w:rsid w:val="005C2BD7"/>
    <w:rsid w:val="005C47BC"/>
    <w:rsid w:val="005D3F1B"/>
    <w:rsid w:val="005D4808"/>
    <w:rsid w:val="005E5899"/>
    <w:rsid w:val="005E653B"/>
    <w:rsid w:val="005F06F0"/>
    <w:rsid w:val="005F1374"/>
    <w:rsid w:val="005F168A"/>
    <w:rsid w:val="005F1B32"/>
    <w:rsid w:val="005F44CC"/>
    <w:rsid w:val="005F6362"/>
    <w:rsid w:val="005F6939"/>
    <w:rsid w:val="00601052"/>
    <w:rsid w:val="00602953"/>
    <w:rsid w:val="00602F34"/>
    <w:rsid w:val="006061A5"/>
    <w:rsid w:val="00613153"/>
    <w:rsid w:val="00616B0D"/>
    <w:rsid w:val="006178FE"/>
    <w:rsid w:val="006202F2"/>
    <w:rsid w:val="00621183"/>
    <w:rsid w:val="00622579"/>
    <w:rsid w:val="00631E8C"/>
    <w:rsid w:val="006336A6"/>
    <w:rsid w:val="00633B84"/>
    <w:rsid w:val="00633C4C"/>
    <w:rsid w:val="00635872"/>
    <w:rsid w:val="00635E1F"/>
    <w:rsid w:val="00636BB3"/>
    <w:rsid w:val="00640F1C"/>
    <w:rsid w:val="00642233"/>
    <w:rsid w:val="006449DA"/>
    <w:rsid w:val="006464A9"/>
    <w:rsid w:val="0064654D"/>
    <w:rsid w:val="00646C6E"/>
    <w:rsid w:val="00650601"/>
    <w:rsid w:val="00650ECB"/>
    <w:rsid w:val="00651D25"/>
    <w:rsid w:val="0065405D"/>
    <w:rsid w:val="00655843"/>
    <w:rsid w:val="0066187A"/>
    <w:rsid w:val="006618CF"/>
    <w:rsid w:val="00661D8B"/>
    <w:rsid w:val="006626FA"/>
    <w:rsid w:val="00662F7C"/>
    <w:rsid w:val="00663AE0"/>
    <w:rsid w:val="00664094"/>
    <w:rsid w:val="00665594"/>
    <w:rsid w:val="006659ED"/>
    <w:rsid w:val="0067072C"/>
    <w:rsid w:val="006717DF"/>
    <w:rsid w:val="00672F6C"/>
    <w:rsid w:val="006738C6"/>
    <w:rsid w:val="006772C2"/>
    <w:rsid w:val="0067744C"/>
    <w:rsid w:val="006838CD"/>
    <w:rsid w:val="00683DDA"/>
    <w:rsid w:val="00685263"/>
    <w:rsid w:val="006866A7"/>
    <w:rsid w:val="0069141F"/>
    <w:rsid w:val="00695EA7"/>
    <w:rsid w:val="00696128"/>
    <w:rsid w:val="006A23BC"/>
    <w:rsid w:val="006A248A"/>
    <w:rsid w:val="006A3B22"/>
    <w:rsid w:val="006B5661"/>
    <w:rsid w:val="006B5F03"/>
    <w:rsid w:val="006B6876"/>
    <w:rsid w:val="006B6B22"/>
    <w:rsid w:val="006B71DC"/>
    <w:rsid w:val="006B7CB7"/>
    <w:rsid w:val="006C0823"/>
    <w:rsid w:val="006C1CEA"/>
    <w:rsid w:val="006C2A73"/>
    <w:rsid w:val="006C2D96"/>
    <w:rsid w:val="006C64B2"/>
    <w:rsid w:val="006D0B6B"/>
    <w:rsid w:val="006D3027"/>
    <w:rsid w:val="006D5E7F"/>
    <w:rsid w:val="006D6099"/>
    <w:rsid w:val="006D7709"/>
    <w:rsid w:val="006D7E65"/>
    <w:rsid w:val="006E10F9"/>
    <w:rsid w:val="006E37F4"/>
    <w:rsid w:val="006E3E72"/>
    <w:rsid w:val="006E423A"/>
    <w:rsid w:val="006E4C6F"/>
    <w:rsid w:val="006E4CB5"/>
    <w:rsid w:val="006E4D58"/>
    <w:rsid w:val="006F0E1B"/>
    <w:rsid w:val="006F1F88"/>
    <w:rsid w:val="006F502C"/>
    <w:rsid w:val="006F5FD5"/>
    <w:rsid w:val="006F647E"/>
    <w:rsid w:val="007015CF"/>
    <w:rsid w:val="007037E8"/>
    <w:rsid w:val="00704537"/>
    <w:rsid w:val="007055B6"/>
    <w:rsid w:val="00707751"/>
    <w:rsid w:val="00707D4F"/>
    <w:rsid w:val="007102D3"/>
    <w:rsid w:val="00712019"/>
    <w:rsid w:val="0071256B"/>
    <w:rsid w:val="00712A62"/>
    <w:rsid w:val="00713B8A"/>
    <w:rsid w:val="00714C78"/>
    <w:rsid w:val="0072074B"/>
    <w:rsid w:val="007217DE"/>
    <w:rsid w:val="00723DAA"/>
    <w:rsid w:val="00730EDD"/>
    <w:rsid w:val="00732E65"/>
    <w:rsid w:val="00734B70"/>
    <w:rsid w:val="0073587F"/>
    <w:rsid w:val="00735A6E"/>
    <w:rsid w:val="00736170"/>
    <w:rsid w:val="00737079"/>
    <w:rsid w:val="00737731"/>
    <w:rsid w:val="00737FB9"/>
    <w:rsid w:val="00741AC8"/>
    <w:rsid w:val="00743EC5"/>
    <w:rsid w:val="00744956"/>
    <w:rsid w:val="00747B57"/>
    <w:rsid w:val="00754A98"/>
    <w:rsid w:val="007554EA"/>
    <w:rsid w:val="007579ED"/>
    <w:rsid w:val="007601F4"/>
    <w:rsid w:val="00760D4B"/>
    <w:rsid w:val="007613F4"/>
    <w:rsid w:val="007647BE"/>
    <w:rsid w:val="00764D8F"/>
    <w:rsid w:val="00764FC0"/>
    <w:rsid w:val="00770572"/>
    <w:rsid w:val="0077165F"/>
    <w:rsid w:val="00771A2D"/>
    <w:rsid w:val="00771F58"/>
    <w:rsid w:val="00772386"/>
    <w:rsid w:val="007725EC"/>
    <w:rsid w:val="007727F6"/>
    <w:rsid w:val="007737EF"/>
    <w:rsid w:val="00774C54"/>
    <w:rsid w:val="0078079E"/>
    <w:rsid w:val="0078224B"/>
    <w:rsid w:val="007836B4"/>
    <w:rsid w:val="00785102"/>
    <w:rsid w:val="00785F5A"/>
    <w:rsid w:val="00786A3A"/>
    <w:rsid w:val="007872AC"/>
    <w:rsid w:val="0079181B"/>
    <w:rsid w:val="007955BF"/>
    <w:rsid w:val="0079597B"/>
    <w:rsid w:val="00796E85"/>
    <w:rsid w:val="007A1BA6"/>
    <w:rsid w:val="007A21A6"/>
    <w:rsid w:val="007A44E9"/>
    <w:rsid w:val="007A4CB2"/>
    <w:rsid w:val="007A6180"/>
    <w:rsid w:val="007A7F8C"/>
    <w:rsid w:val="007B01FE"/>
    <w:rsid w:val="007B2642"/>
    <w:rsid w:val="007B28BD"/>
    <w:rsid w:val="007B3D56"/>
    <w:rsid w:val="007B4949"/>
    <w:rsid w:val="007B55D9"/>
    <w:rsid w:val="007B6202"/>
    <w:rsid w:val="007C0D2C"/>
    <w:rsid w:val="007C3ADF"/>
    <w:rsid w:val="007C54B2"/>
    <w:rsid w:val="007D17A3"/>
    <w:rsid w:val="007D41FB"/>
    <w:rsid w:val="007D4AB7"/>
    <w:rsid w:val="007D4B42"/>
    <w:rsid w:val="007D54D2"/>
    <w:rsid w:val="007E2873"/>
    <w:rsid w:val="007E4138"/>
    <w:rsid w:val="007E42B3"/>
    <w:rsid w:val="007E7C94"/>
    <w:rsid w:val="007F00AA"/>
    <w:rsid w:val="007F2B2C"/>
    <w:rsid w:val="00801C80"/>
    <w:rsid w:val="008043CB"/>
    <w:rsid w:val="00811814"/>
    <w:rsid w:val="008126C5"/>
    <w:rsid w:val="00812F13"/>
    <w:rsid w:val="00814C01"/>
    <w:rsid w:val="00815D3F"/>
    <w:rsid w:val="008161F9"/>
    <w:rsid w:val="00821CB5"/>
    <w:rsid w:val="008224A8"/>
    <w:rsid w:val="00822C64"/>
    <w:rsid w:val="00825F96"/>
    <w:rsid w:val="00830C38"/>
    <w:rsid w:val="008319CB"/>
    <w:rsid w:val="00832EDF"/>
    <w:rsid w:val="008341F0"/>
    <w:rsid w:val="00836BDE"/>
    <w:rsid w:val="00837515"/>
    <w:rsid w:val="00842C7C"/>
    <w:rsid w:val="00844C06"/>
    <w:rsid w:val="008479D8"/>
    <w:rsid w:val="008515E0"/>
    <w:rsid w:val="008521E1"/>
    <w:rsid w:val="00852515"/>
    <w:rsid w:val="008526AD"/>
    <w:rsid w:val="008533B7"/>
    <w:rsid w:val="008557DD"/>
    <w:rsid w:val="00856657"/>
    <w:rsid w:val="0085694E"/>
    <w:rsid w:val="00857BBC"/>
    <w:rsid w:val="008623F3"/>
    <w:rsid w:val="0086463B"/>
    <w:rsid w:val="008658E6"/>
    <w:rsid w:val="00873644"/>
    <w:rsid w:val="00874450"/>
    <w:rsid w:val="008747DD"/>
    <w:rsid w:val="008765CC"/>
    <w:rsid w:val="00880926"/>
    <w:rsid w:val="00882DE5"/>
    <w:rsid w:val="008923D6"/>
    <w:rsid w:val="00893AB1"/>
    <w:rsid w:val="00896036"/>
    <w:rsid w:val="00896D6B"/>
    <w:rsid w:val="008A0CCA"/>
    <w:rsid w:val="008A40EB"/>
    <w:rsid w:val="008A49E0"/>
    <w:rsid w:val="008A586F"/>
    <w:rsid w:val="008B24FC"/>
    <w:rsid w:val="008B4896"/>
    <w:rsid w:val="008C1564"/>
    <w:rsid w:val="008C320A"/>
    <w:rsid w:val="008C4423"/>
    <w:rsid w:val="008D0B9B"/>
    <w:rsid w:val="008D0ECB"/>
    <w:rsid w:val="008D2DC1"/>
    <w:rsid w:val="008D354F"/>
    <w:rsid w:val="008D5367"/>
    <w:rsid w:val="008D72BF"/>
    <w:rsid w:val="008E1948"/>
    <w:rsid w:val="008E4640"/>
    <w:rsid w:val="008E4BD8"/>
    <w:rsid w:val="008E5F17"/>
    <w:rsid w:val="008F1EC5"/>
    <w:rsid w:val="008F34C1"/>
    <w:rsid w:val="008F5897"/>
    <w:rsid w:val="008F61B9"/>
    <w:rsid w:val="008F64CA"/>
    <w:rsid w:val="008F6E7C"/>
    <w:rsid w:val="00900451"/>
    <w:rsid w:val="00901051"/>
    <w:rsid w:val="00902853"/>
    <w:rsid w:val="00903ED1"/>
    <w:rsid w:val="0090413E"/>
    <w:rsid w:val="009049E8"/>
    <w:rsid w:val="00904C23"/>
    <w:rsid w:val="00907709"/>
    <w:rsid w:val="009115D5"/>
    <w:rsid w:val="009124B1"/>
    <w:rsid w:val="00921B0B"/>
    <w:rsid w:val="00923272"/>
    <w:rsid w:val="00923B0D"/>
    <w:rsid w:val="0092411E"/>
    <w:rsid w:val="00925745"/>
    <w:rsid w:val="00926A82"/>
    <w:rsid w:val="009278BF"/>
    <w:rsid w:val="00932401"/>
    <w:rsid w:val="00933F5A"/>
    <w:rsid w:val="00936CA1"/>
    <w:rsid w:val="009370B4"/>
    <w:rsid w:val="00943CD6"/>
    <w:rsid w:val="00944648"/>
    <w:rsid w:val="00946565"/>
    <w:rsid w:val="00954105"/>
    <w:rsid w:val="0095708F"/>
    <w:rsid w:val="00958E35"/>
    <w:rsid w:val="00963A1E"/>
    <w:rsid w:val="00970288"/>
    <w:rsid w:val="00974502"/>
    <w:rsid w:val="00975488"/>
    <w:rsid w:val="00976ECF"/>
    <w:rsid w:val="0098137A"/>
    <w:rsid w:val="0098200B"/>
    <w:rsid w:val="00986CD8"/>
    <w:rsid w:val="00991861"/>
    <w:rsid w:val="00993937"/>
    <w:rsid w:val="0099535A"/>
    <w:rsid w:val="0099659F"/>
    <w:rsid w:val="009A1D35"/>
    <w:rsid w:val="009A52D8"/>
    <w:rsid w:val="009A5F6F"/>
    <w:rsid w:val="009A60D0"/>
    <w:rsid w:val="009A759E"/>
    <w:rsid w:val="009B0465"/>
    <w:rsid w:val="009B23B5"/>
    <w:rsid w:val="009B4498"/>
    <w:rsid w:val="009C01B0"/>
    <w:rsid w:val="009C024D"/>
    <w:rsid w:val="009C2CDF"/>
    <w:rsid w:val="009C3440"/>
    <w:rsid w:val="009C3C02"/>
    <w:rsid w:val="009C403F"/>
    <w:rsid w:val="009C6695"/>
    <w:rsid w:val="009C7868"/>
    <w:rsid w:val="009C78E0"/>
    <w:rsid w:val="009C7EB3"/>
    <w:rsid w:val="009D02A3"/>
    <w:rsid w:val="009D05CB"/>
    <w:rsid w:val="009D0724"/>
    <w:rsid w:val="009D15A1"/>
    <w:rsid w:val="009D1A8B"/>
    <w:rsid w:val="009D1B51"/>
    <w:rsid w:val="009D258D"/>
    <w:rsid w:val="009D4DE7"/>
    <w:rsid w:val="009D531B"/>
    <w:rsid w:val="009D770C"/>
    <w:rsid w:val="009D7788"/>
    <w:rsid w:val="009D77C9"/>
    <w:rsid w:val="009D7C80"/>
    <w:rsid w:val="009E6E68"/>
    <w:rsid w:val="009E7CB2"/>
    <w:rsid w:val="009F091B"/>
    <w:rsid w:val="009F10B6"/>
    <w:rsid w:val="009F131E"/>
    <w:rsid w:val="009F133F"/>
    <w:rsid w:val="009F228C"/>
    <w:rsid w:val="009F23BE"/>
    <w:rsid w:val="009F363A"/>
    <w:rsid w:val="009F7054"/>
    <w:rsid w:val="00A05133"/>
    <w:rsid w:val="00A05306"/>
    <w:rsid w:val="00A0685D"/>
    <w:rsid w:val="00A114C4"/>
    <w:rsid w:val="00A14148"/>
    <w:rsid w:val="00A17F56"/>
    <w:rsid w:val="00A2213D"/>
    <w:rsid w:val="00A222FE"/>
    <w:rsid w:val="00A2320F"/>
    <w:rsid w:val="00A2433C"/>
    <w:rsid w:val="00A246BB"/>
    <w:rsid w:val="00A275F1"/>
    <w:rsid w:val="00A31C8F"/>
    <w:rsid w:val="00A325C7"/>
    <w:rsid w:val="00A3424C"/>
    <w:rsid w:val="00A34572"/>
    <w:rsid w:val="00A350DA"/>
    <w:rsid w:val="00A3643D"/>
    <w:rsid w:val="00A4332A"/>
    <w:rsid w:val="00A439A4"/>
    <w:rsid w:val="00A44C28"/>
    <w:rsid w:val="00A44F1B"/>
    <w:rsid w:val="00A4784C"/>
    <w:rsid w:val="00A51E16"/>
    <w:rsid w:val="00A5201D"/>
    <w:rsid w:val="00A53A5B"/>
    <w:rsid w:val="00A5472E"/>
    <w:rsid w:val="00A55F22"/>
    <w:rsid w:val="00A56ABC"/>
    <w:rsid w:val="00A56DBF"/>
    <w:rsid w:val="00A56E10"/>
    <w:rsid w:val="00A60550"/>
    <w:rsid w:val="00A606EA"/>
    <w:rsid w:val="00A62A0C"/>
    <w:rsid w:val="00A66AD8"/>
    <w:rsid w:val="00A6703A"/>
    <w:rsid w:val="00A70A4E"/>
    <w:rsid w:val="00A73615"/>
    <w:rsid w:val="00A9096A"/>
    <w:rsid w:val="00A9146F"/>
    <w:rsid w:val="00A94CAE"/>
    <w:rsid w:val="00A94ED2"/>
    <w:rsid w:val="00A96154"/>
    <w:rsid w:val="00A9646C"/>
    <w:rsid w:val="00A96D68"/>
    <w:rsid w:val="00AA14CE"/>
    <w:rsid w:val="00AA1613"/>
    <w:rsid w:val="00AA2920"/>
    <w:rsid w:val="00AA298B"/>
    <w:rsid w:val="00AA3216"/>
    <w:rsid w:val="00AB3F81"/>
    <w:rsid w:val="00AB5069"/>
    <w:rsid w:val="00AC117D"/>
    <w:rsid w:val="00AC223E"/>
    <w:rsid w:val="00AC2856"/>
    <w:rsid w:val="00AC324D"/>
    <w:rsid w:val="00AC35B7"/>
    <w:rsid w:val="00AC3926"/>
    <w:rsid w:val="00AC7450"/>
    <w:rsid w:val="00AD1E98"/>
    <w:rsid w:val="00AD36CD"/>
    <w:rsid w:val="00AD3CA9"/>
    <w:rsid w:val="00AD5AC3"/>
    <w:rsid w:val="00AD6744"/>
    <w:rsid w:val="00AD7172"/>
    <w:rsid w:val="00AE2255"/>
    <w:rsid w:val="00AE2A10"/>
    <w:rsid w:val="00AE5C99"/>
    <w:rsid w:val="00AE6CFD"/>
    <w:rsid w:val="00AF0F98"/>
    <w:rsid w:val="00AF2F8A"/>
    <w:rsid w:val="00AF3183"/>
    <w:rsid w:val="00AF3D5F"/>
    <w:rsid w:val="00AF3E2F"/>
    <w:rsid w:val="00AF4F9C"/>
    <w:rsid w:val="00AF5AD6"/>
    <w:rsid w:val="00AF6A87"/>
    <w:rsid w:val="00AF6D44"/>
    <w:rsid w:val="00B00C12"/>
    <w:rsid w:val="00B0141E"/>
    <w:rsid w:val="00B01787"/>
    <w:rsid w:val="00B0445F"/>
    <w:rsid w:val="00B064D6"/>
    <w:rsid w:val="00B06D12"/>
    <w:rsid w:val="00B06F74"/>
    <w:rsid w:val="00B07E72"/>
    <w:rsid w:val="00B1696A"/>
    <w:rsid w:val="00B16CE6"/>
    <w:rsid w:val="00B226DA"/>
    <w:rsid w:val="00B232FF"/>
    <w:rsid w:val="00B24309"/>
    <w:rsid w:val="00B24DDC"/>
    <w:rsid w:val="00B279D4"/>
    <w:rsid w:val="00B30FB2"/>
    <w:rsid w:val="00B32E8B"/>
    <w:rsid w:val="00B335DE"/>
    <w:rsid w:val="00B37E0A"/>
    <w:rsid w:val="00B41F2A"/>
    <w:rsid w:val="00B44CC7"/>
    <w:rsid w:val="00B46AD7"/>
    <w:rsid w:val="00B502F6"/>
    <w:rsid w:val="00B53120"/>
    <w:rsid w:val="00B542A4"/>
    <w:rsid w:val="00B56037"/>
    <w:rsid w:val="00B5713D"/>
    <w:rsid w:val="00B61EE8"/>
    <w:rsid w:val="00B627F8"/>
    <w:rsid w:val="00B66261"/>
    <w:rsid w:val="00B670FB"/>
    <w:rsid w:val="00B7178D"/>
    <w:rsid w:val="00B77849"/>
    <w:rsid w:val="00B77D1C"/>
    <w:rsid w:val="00B805BF"/>
    <w:rsid w:val="00B84D1F"/>
    <w:rsid w:val="00B855DB"/>
    <w:rsid w:val="00B865A9"/>
    <w:rsid w:val="00B8741D"/>
    <w:rsid w:val="00B8781B"/>
    <w:rsid w:val="00B910FC"/>
    <w:rsid w:val="00B936AC"/>
    <w:rsid w:val="00B939FF"/>
    <w:rsid w:val="00B96202"/>
    <w:rsid w:val="00B965F3"/>
    <w:rsid w:val="00B96860"/>
    <w:rsid w:val="00BA005B"/>
    <w:rsid w:val="00BA0B51"/>
    <w:rsid w:val="00BA10AE"/>
    <w:rsid w:val="00BA21EE"/>
    <w:rsid w:val="00BA376D"/>
    <w:rsid w:val="00BA5F89"/>
    <w:rsid w:val="00BB00E2"/>
    <w:rsid w:val="00BB42F4"/>
    <w:rsid w:val="00BB4CFC"/>
    <w:rsid w:val="00BB5FA9"/>
    <w:rsid w:val="00BC2212"/>
    <w:rsid w:val="00BC34E1"/>
    <w:rsid w:val="00BC4D44"/>
    <w:rsid w:val="00BC5DBB"/>
    <w:rsid w:val="00BD1294"/>
    <w:rsid w:val="00BD258A"/>
    <w:rsid w:val="00BD3D65"/>
    <w:rsid w:val="00BD68EF"/>
    <w:rsid w:val="00BD6A00"/>
    <w:rsid w:val="00BDFEE8"/>
    <w:rsid w:val="00BE1690"/>
    <w:rsid w:val="00BE6352"/>
    <w:rsid w:val="00BE6EE2"/>
    <w:rsid w:val="00BF46A3"/>
    <w:rsid w:val="00BF6EE4"/>
    <w:rsid w:val="00BF7034"/>
    <w:rsid w:val="00C01646"/>
    <w:rsid w:val="00C04F3F"/>
    <w:rsid w:val="00C05E79"/>
    <w:rsid w:val="00C06974"/>
    <w:rsid w:val="00C07F0C"/>
    <w:rsid w:val="00C120DC"/>
    <w:rsid w:val="00C14E7C"/>
    <w:rsid w:val="00C1548F"/>
    <w:rsid w:val="00C15F42"/>
    <w:rsid w:val="00C17EB9"/>
    <w:rsid w:val="00C20150"/>
    <w:rsid w:val="00C2252F"/>
    <w:rsid w:val="00C234E1"/>
    <w:rsid w:val="00C24306"/>
    <w:rsid w:val="00C26162"/>
    <w:rsid w:val="00C33D88"/>
    <w:rsid w:val="00C40BE9"/>
    <w:rsid w:val="00C41725"/>
    <w:rsid w:val="00C41DD5"/>
    <w:rsid w:val="00C43221"/>
    <w:rsid w:val="00C442F3"/>
    <w:rsid w:val="00C4593D"/>
    <w:rsid w:val="00C50234"/>
    <w:rsid w:val="00C506EB"/>
    <w:rsid w:val="00C53C6B"/>
    <w:rsid w:val="00C53C94"/>
    <w:rsid w:val="00C570AF"/>
    <w:rsid w:val="00C57594"/>
    <w:rsid w:val="00C5794B"/>
    <w:rsid w:val="00C70C04"/>
    <w:rsid w:val="00C71005"/>
    <w:rsid w:val="00C726F7"/>
    <w:rsid w:val="00C751CE"/>
    <w:rsid w:val="00C754E9"/>
    <w:rsid w:val="00C764C2"/>
    <w:rsid w:val="00C77C92"/>
    <w:rsid w:val="00C816A9"/>
    <w:rsid w:val="00C91048"/>
    <w:rsid w:val="00C926C9"/>
    <w:rsid w:val="00C95625"/>
    <w:rsid w:val="00CA0FB4"/>
    <w:rsid w:val="00CA18E9"/>
    <w:rsid w:val="00CA23CE"/>
    <w:rsid w:val="00CA2A3A"/>
    <w:rsid w:val="00CA5893"/>
    <w:rsid w:val="00CB081E"/>
    <w:rsid w:val="00CB3400"/>
    <w:rsid w:val="00CB40EC"/>
    <w:rsid w:val="00CB6033"/>
    <w:rsid w:val="00CB70D4"/>
    <w:rsid w:val="00CB7203"/>
    <w:rsid w:val="00CC11F6"/>
    <w:rsid w:val="00CC227A"/>
    <w:rsid w:val="00CC3A40"/>
    <w:rsid w:val="00CC76E0"/>
    <w:rsid w:val="00CD1A8F"/>
    <w:rsid w:val="00CD75C7"/>
    <w:rsid w:val="00CD7B65"/>
    <w:rsid w:val="00CE03A7"/>
    <w:rsid w:val="00CE4696"/>
    <w:rsid w:val="00CE5EF7"/>
    <w:rsid w:val="00CE5F71"/>
    <w:rsid w:val="00CE684E"/>
    <w:rsid w:val="00CEDD81"/>
    <w:rsid w:val="00CF00AA"/>
    <w:rsid w:val="00CF3E3C"/>
    <w:rsid w:val="00CF4AF0"/>
    <w:rsid w:val="00CF614D"/>
    <w:rsid w:val="00CF7CC0"/>
    <w:rsid w:val="00D012F7"/>
    <w:rsid w:val="00D018BD"/>
    <w:rsid w:val="00D02C96"/>
    <w:rsid w:val="00D02F90"/>
    <w:rsid w:val="00D0329A"/>
    <w:rsid w:val="00D076A0"/>
    <w:rsid w:val="00D13524"/>
    <w:rsid w:val="00D1542D"/>
    <w:rsid w:val="00D15B94"/>
    <w:rsid w:val="00D16B00"/>
    <w:rsid w:val="00D19089"/>
    <w:rsid w:val="00D21EB4"/>
    <w:rsid w:val="00D22979"/>
    <w:rsid w:val="00D26ACE"/>
    <w:rsid w:val="00D27A6D"/>
    <w:rsid w:val="00D30AF3"/>
    <w:rsid w:val="00D35851"/>
    <w:rsid w:val="00D41C56"/>
    <w:rsid w:val="00D4200B"/>
    <w:rsid w:val="00D43AD3"/>
    <w:rsid w:val="00D469DF"/>
    <w:rsid w:val="00D50B80"/>
    <w:rsid w:val="00D5240E"/>
    <w:rsid w:val="00D53333"/>
    <w:rsid w:val="00D53A4F"/>
    <w:rsid w:val="00D53F37"/>
    <w:rsid w:val="00D540D9"/>
    <w:rsid w:val="00D54C4F"/>
    <w:rsid w:val="00D552C8"/>
    <w:rsid w:val="00D57E48"/>
    <w:rsid w:val="00D62D4C"/>
    <w:rsid w:val="00D63E68"/>
    <w:rsid w:val="00D66B3E"/>
    <w:rsid w:val="00D704E8"/>
    <w:rsid w:val="00D7101C"/>
    <w:rsid w:val="00D72ADF"/>
    <w:rsid w:val="00D72F86"/>
    <w:rsid w:val="00D7675E"/>
    <w:rsid w:val="00D8093B"/>
    <w:rsid w:val="00D80BDE"/>
    <w:rsid w:val="00D817A6"/>
    <w:rsid w:val="00D82639"/>
    <w:rsid w:val="00D82DB4"/>
    <w:rsid w:val="00D82FE0"/>
    <w:rsid w:val="00D83620"/>
    <w:rsid w:val="00D83899"/>
    <w:rsid w:val="00D83BE6"/>
    <w:rsid w:val="00D848FC"/>
    <w:rsid w:val="00D908AE"/>
    <w:rsid w:val="00D93D50"/>
    <w:rsid w:val="00D97EAF"/>
    <w:rsid w:val="00DA0438"/>
    <w:rsid w:val="00DA5FD6"/>
    <w:rsid w:val="00DB0950"/>
    <w:rsid w:val="00DB3348"/>
    <w:rsid w:val="00DB76A2"/>
    <w:rsid w:val="00DC213F"/>
    <w:rsid w:val="00DC420A"/>
    <w:rsid w:val="00DD07B2"/>
    <w:rsid w:val="00DD2EDD"/>
    <w:rsid w:val="00DD2FF5"/>
    <w:rsid w:val="00DD3182"/>
    <w:rsid w:val="00DD4748"/>
    <w:rsid w:val="00DD64F5"/>
    <w:rsid w:val="00DD6766"/>
    <w:rsid w:val="00DE176E"/>
    <w:rsid w:val="00DE7D93"/>
    <w:rsid w:val="00DF23B6"/>
    <w:rsid w:val="00DF2611"/>
    <w:rsid w:val="00DF7719"/>
    <w:rsid w:val="00E01101"/>
    <w:rsid w:val="00E07AC8"/>
    <w:rsid w:val="00E104DB"/>
    <w:rsid w:val="00E10790"/>
    <w:rsid w:val="00E11C48"/>
    <w:rsid w:val="00E12095"/>
    <w:rsid w:val="00E13E5E"/>
    <w:rsid w:val="00E16833"/>
    <w:rsid w:val="00E1708C"/>
    <w:rsid w:val="00E218E2"/>
    <w:rsid w:val="00E2284A"/>
    <w:rsid w:val="00E22E73"/>
    <w:rsid w:val="00E230DD"/>
    <w:rsid w:val="00E25136"/>
    <w:rsid w:val="00E274A3"/>
    <w:rsid w:val="00E30193"/>
    <w:rsid w:val="00E32309"/>
    <w:rsid w:val="00E3385C"/>
    <w:rsid w:val="00E34C6F"/>
    <w:rsid w:val="00E34FFD"/>
    <w:rsid w:val="00E3515E"/>
    <w:rsid w:val="00E37490"/>
    <w:rsid w:val="00E37C01"/>
    <w:rsid w:val="00E40D94"/>
    <w:rsid w:val="00E412CF"/>
    <w:rsid w:val="00E423F7"/>
    <w:rsid w:val="00E44C8D"/>
    <w:rsid w:val="00E5071F"/>
    <w:rsid w:val="00E50802"/>
    <w:rsid w:val="00E544DB"/>
    <w:rsid w:val="00E57D3C"/>
    <w:rsid w:val="00E630BD"/>
    <w:rsid w:val="00E646C1"/>
    <w:rsid w:val="00E66976"/>
    <w:rsid w:val="00E66FE4"/>
    <w:rsid w:val="00E66FF5"/>
    <w:rsid w:val="00E672C3"/>
    <w:rsid w:val="00E70285"/>
    <w:rsid w:val="00E74F43"/>
    <w:rsid w:val="00E7667B"/>
    <w:rsid w:val="00E77F42"/>
    <w:rsid w:val="00E838D6"/>
    <w:rsid w:val="00E86F39"/>
    <w:rsid w:val="00E97470"/>
    <w:rsid w:val="00EA0CBC"/>
    <w:rsid w:val="00EA102C"/>
    <w:rsid w:val="00EA235F"/>
    <w:rsid w:val="00EA2AA1"/>
    <w:rsid w:val="00EA2DCA"/>
    <w:rsid w:val="00EA5D7E"/>
    <w:rsid w:val="00EA6AF1"/>
    <w:rsid w:val="00EB0784"/>
    <w:rsid w:val="00EB153D"/>
    <w:rsid w:val="00EB22EC"/>
    <w:rsid w:val="00EB3EE6"/>
    <w:rsid w:val="00EB5951"/>
    <w:rsid w:val="00EC0C59"/>
    <w:rsid w:val="00EC3131"/>
    <w:rsid w:val="00EC542E"/>
    <w:rsid w:val="00EC5902"/>
    <w:rsid w:val="00ED0457"/>
    <w:rsid w:val="00ED0B16"/>
    <w:rsid w:val="00ED1280"/>
    <w:rsid w:val="00ED3999"/>
    <w:rsid w:val="00EE0DC4"/>
    <w:rsid w:val="00EE140E"/>
    <w:rsid w:val="00EE31CE"/>
    <w:rsid w:val="00EE3C76"/>
    <w:rsid w:val="00EE3FBA"/>
    <w:rsid w:val="00EE4CC2"/>
    <w:rsid w:val="00EF12F0"/>
    <w:rsid w:val="00EF272D"/>
    <w:rsid w:val="00EF2B35"/>
    <w:rsid w:val="00EF7474"/>
    <w:rsid w:val="00EF7615"/>
    <w:rsid w:val="00F07625"/>
    <w:rsid w:val="00F11B67"/>
    <w:rsid w:val="00F1287F"/>
    <w:rsid w:val="00F12B6D"/>
    <w:rsid w:val="00F12CA2"/>
    <w:rsid w:val="00F14203"/>
    <w:rsid w:val="00F153C5"/>
    <w:rsid w:val="00F155A0"/>
    <w:rsid w:val="00F1615C"/>
    <w:rsid w:val="00F161FD"/>
    <w:rsid w:val="00F17736"/>
    <w:rsid w:val="00F20C39"/>
    <w:rsid w:val="00F2217D"/>
    <w:rsid w:val="00F24DF5"/>
    <w:rsid w:val="00F252EB"/>
    <w:rsid w:val="00F3060E"/>
    <w:rsid w:val="00F33421"/>
    <w:rsid w:val="00F40FC3"/>
    <w:rsid w:val="00F421BF"/>
    <w:rsid w:val="00F430D1"/>
    <w:rsid w:val="00F44680"/>
    <w:rsid w:val="00F45B7A"/>
    <w:rsid w:val="00F46366"/>
    <w:rsid w:val="00F52C1D"/>
    <w:rsid w:val="00F54098"/>
    <w:rsid w:val="00F564CC"/>
    <w:rsid w:val="00F577A7"/>
    <w:rsid w:val="00F62B16"/>
    <w:rsid w:val="00F65F66"/>
    <w:rsid w:val="00F676EE"/>
    <w:rsid w:val="00F7156B"/>
    <w:rsid w:val="00F7210A"/>
    <w:rsid w:val="00F737DD"/>
    <w:rsid w:val="00F74ECE"/>
    <w:rsid w:val="00F811D5"/>
    <w:rsid w:val="00F83B0E"/>
    <w:rsid w:val="00F878DF"/>
    <w:rsid w:val="00F9138A"/>
    <w:rsid w:val="00F93995"/>
    <w:rsid w:val="00F94A0F"/>
    <w:rsid w:val="00F94EBF"/>
    <w:rsid w:val="00F951EC"/>
    <w:rsid w:val="00F951F2"/>
    <w:rsid w:val="00F95889"/>
    <w:rsid w:val="00F97549"/>
    <w:rsid w:val="00FA4DDA"/>
    <w:rsid w:val="00FA505F"/>
    <w:rsid w:val="00FA778A"/>
    <w:rsid w:val="00FB4FDA"/>
    <w:rsid w:val="00FB5D31"/>
    <w:rsid w:val="00FB5FEF"/>
    <w:rsid w:val="00FB722A"/>
    <w:rsid w:val="00FB7527"/>
    <w:rsid w:val="00FC2B06"/>
    <w:rsid w:val="00FC32CF"/>
    <w:rsid w:val="00FC336A"/>
    <w:rsid w:val="00FC4005"/>
    <w:rsid w:val="00FC40CD"/>
    <w:rsid w:val="00FD3F7A"/>
    <w:rsid w:val="00FE2FB5"/>
    <w:rsid w:val="00FE3845"/>
    <w:rsid w:val="00FE3E58"/>
    <w:rsid w:val="00FE5DBE"/>
    <w:rsid w:val="00FE6A98"/>
    <w:rsid w:val="00FF0233"/>
    <w:rsid w:val="00FF1425"/>
    <w:rsid w:val="00FF2686"/>
    <w:rsid w:val="00FF320E"/>
    <w:rsid w:val="00FF4393"/>
    <w:rsid w:val="00FF5ACA"/>
    <w:rsid w:val="00FF6325"/>
    <w:rsid w:val="00FF740F"/>
    <w:rsid w:val="0115BCDA"/>
    <w:rsid w:val="01223014"/>
    <w:rsid w:val="012798D5"/>
    <w:rsid w:val="012849B9"/>
    <w:rsid w:val="013057E8"/>
    <w:rsid w:val="01446627"/>
    <w:rsid w:val="0147168A"/>
    <w:rsid w:val="015825B4"/>
    <w:rsid w:val="016718E0"/>
    <w:rsid w:val="019856B3"/>
    <w:rsid w:val="01C82554"/>
    <w:rsid w:val="01CE345D"/>
    <w:rsid w:val="01E6AE52"/>
    <w:rsid w:val="02092987"/>
    <w:rsid w:val="021931B9"/>
    <w:rsid w:val="0225A519"/>
    <w:rsid w:val="0229D6C1"/>
    <w:rsid w:val="025A6111"/>
    <w:rsid w:val="0264FED4"/>
    <w:rsid w:val="026E5014"/>
    <w:rsid w:val="0280F6BE"/>
    <w:rsid w:val="0281DBD8"/>
    <w:rsid w:val="02873B62"/>
    <w:rsid w:val="028B5793"/>
    <w:rsid w:val="029260F6"/>
    <w:rsid w:val="02926B9C"/>
    <w:rsid w:val="029D8737"/>
    <w:rsid w:val="02A1A3E4"/>
    <w:rsid w:val="02B9B885"/>
    <w:rsid w:val="02C61220"/>
    <w:rsid w:val="02F59B77"/>
    <w:rsid w:val="02FBDE05"/>
    <w:rsid w:val="032FA9EB"/>
    <w:rsid w:val="033279FB"/>
    <w:rsid w:val="0348CC40"/>
    <w:rsid w:val="0369FD1C"/>
    <w:rsid w:val="0385F7FF"/>
    <w:rsid w:val="03A0E200"/>
    <w:rsid w:val="03B0E83A"/>
    <w:rsid w:val="03BDDAA3"/>
    <w:rsid w:val="03C9ED14"/>
    <w:rsid w:val="03D30253"/>
    <w:rsid w:val="03DBB867"/>
    <w:rsid w:val="03E4B9DF"/>
    <w:rsid w:val="03EF08DF"/>
    <w:rsid w:val="040A93E3"/>
    <w:rsid w:val="041B355E"/>
    <w:rsid w:val="045772BD"/>
    <w:rsid w:val="04619AE8"/>
    <w:rsid w:val="04629C7A"/>
    <w:rsid w:val="04685EFA"/>
    <w:rsid w:val="046DEE27"/>
    <w:rsid w:val="048B37D0"/>
    <w:rsid w:val="049DFA49"/>
    <w:rsid w:val="04B48506"/>
    <w:rsid w:val="04CA4BFA"/>
    <w:rsid w:val="04D67C83"/>
    <w:rsid w:val="04F9AF2E"/>
    <w:rsid w:val="0540D02E"/>
    <w:rsid w:val="05624F3F"/>
    <w:rsid w:val="05859B52"/>
    <w:rsid w:val="05A5C02F"/>
    <w:rsid w:val="05A89062"/>
    <w:rsid w:val="05C04E0B"/>
    <w:rsid w:val="05CF504D"/>
    <w:rsid w:val="05E1C17A"/>
    <w:rsid w:val="05FD8A82"/>
    <w:rsid w:val="061BF551"/>
    <w:rsid w:val="062FFA1A"/>
    <w:rsid w:val="06361CCF"/>
    <w:rsid w:val="0650A141"/>
    <w:rsid w:val="0689A486"/>
    <w:rsid w:val="068A760E"/>
    <w:rsid w:val="06ADD209"/>
    <w:rsid w:val="06B47787"/>
    <w:rsid w:val="06B96C1F"/>
    <w:rsid w:val="06BE7130"/>
    <w:rsid w:val="06DBEA72"/>
    <w:rsid w:val="06EA7931"/>
    <w:rsid w:val="06EC8739"/>
    <w:rsid w:val="0714174F"/>
    <w:rsid w:val="071A8BAC"/>
    <w:rsid w:val="072510F4"/>
    <w:rsid w:val="0730C827"/>
    <w:rsid w:val="07399EA4"/>
    <w:rsid w:val="073DCFF7"/>
    <w:rsid w:val="0740A17D"/>
    <w:rsid w:val="0752AF3A"/>
    <w:rsid w:val="076771E8"/>
    <w:rsid w:val="07798A45"/>
    <w:rsid w:val="0788F19A"/>
    <w:rsid w:val="07A1A690"/>
    <w:rsid w:val="07A9A088"/>
    <w:rsid w:val="07AD020C"/>
    <w:rsid w:val="07AD192A"/>
    <w:rsid w:val="07C6CB71"/>
    <w:rsid w:val="07CCFEAE"/>
    <w:rsid w:val="07D81372"/>
    <w:rsid w:val="07DCCA9F"/>
    <w:rsid w:val="07DDD98C"/>
    <w:rsid w:val="07E05E2A"/>
    <w:rsid w:val="07F2BAC7"/>
    <w:rsid w:val="08104F2A"/>
    <w:rsid w:val="0811AA48"/>
    <w:rsid w:val="081F644B"/>
    <w:rsid w:val="084D3173"/>
    <w:rsid w:val="084D5D62"/>
    <w:rsid w:val="088006AA"/>
    <w:rsid w:val="089642F2"/>
    <w:rsid w:val="08A95B86"/>
    <w:rsid w:val="08ABCABC"/>
    <w:rsid w:val="08E071E9"/>
    <w:rsid w:val="08E89E20"/>
    <w:rsid w:val="08EAA461"/>
    <w:rsid w:val="08F879F7"/>
    <w:rsid w:val="08FA4330"/>
    <w:rsid w:val="0901B9AE"/>
    <w:rsid w:val="0903DCA5"/>
    <w:rsid w:val="0907CE97"/>
    <w:rsid w:val="09186A2D"/>
    <w:rsid w:val="09390224"/>
    <w:rsid w:val="0958C175"/>
    <w:rsid w:val="09731375"/>
    <w:rsid w:val="0981F994"/>
    <w:rsid w:val="098965A7"/>
    <w:rsid w:val="09985258"/>
    <w:rsid w:val="09AAFB09"/>
    <w:rsid w:val="09ED2660"/>
    <w:rsid w:val="09F8294F"/>
    <w:rsid w:val="0A016CFF"/>
    <w:rsid w:val="0A042402"/>
    <w:rsid w:val="0A0C5E43"/>
    <w:rsid w:val="0A0E1998"/>
    <w:rsid w:val="0A150EAB"/>
    <w:rsid w:val="0A3723B2"/>
    <w:rsid w:val="0A396DAA"/>
    <w:rsid w:val="0A4A8C17"/>
    <w:rsid w:val="0A5D5179"/>
    <w:rsid w:val="0A5EFDF4"/>
    <w:rsid w:val="0A67FBBD"/>
    <w:rsid w:val="0A7A4161"/>
    <w:rsid w:val="0A7C0B0C"/>
    <w:rsid w:val="0A842642"/>
    <w:rsid w:val="0A92A6D2"/>
    <w:rsid w:val="0AA5E6AC"/>
    <w:rsid w:val="0AAB8084"/>
    <w:rsid w:val="0AB402EC"/>
    <w:rsid w:val="0ABCF80C"/>
    <w:rsid w:val="0B12FDBD"/>
    <w:rsid w:val="0B255AFC"/>
    <w:rsid w:val="0B2F50EE"/>
    <w:rsid w:val="0B320FFA"/>
    <w:rsid w:val="0B33BA5C"/>
    <w:rsid w:val="0B340F5F"/>
    <w:rsid w:val="0B34A7A8"/>
    <w:rsid w:val="0B376F29"/>
    <w:rsid w:val="0B4131A4"/>
    <w:rsid w:val="0B759D7F"/>
    <w:rsid w:val="0B945258"/>
    <w:rsid w:val="0B991B29"/>
    <w:rsid w:val="0BAA11DF"/>
    <w:rsid w:val="0BB68055"/>
    <w:rsid w:val="0BD48558"/>
    <w:rsid w:val="0BD5B00E"/>
    <w:rsid w:val="0BD785FC"/>
    <w:rsid w:val="0BE04145"/>
    <w:rsid w:val="0BEBC876"/>
    <w:rsid w:val="0BEBD59C"/>
    <w:rsid w:val="0C050B51"/>
    <w:rsid w:val="0C0CDAFB"/>
    <w:rsid w:val="0C23ED5D"/>
    <w:rsid w:val="0C2D5D5D"/>
    <w:rsid w:val="0C3CE3BA"/>
    <w:rsid w:val="0C4EF8D5"/>
    <w:rsid w:val="0C52BEB5"/>
    <w:rsid w:val="0C53C7B2"/>
    <w:rsid w:val="0C973BFA"/>
    <w:rsid w:val="0C9C4CED"/>
    <w:rsid w:val="0CA072A9"/>
    <w:rsid w:val="0CB79D6C"/>
    <w:rsid w:val="0CBDBF3E"/>
    <w:rsid w:val="0CDCF37C"/>
    <w:rsid w:val="0CE78745"/>
    <w:rsid w:val="0CE8F68E"/>
    <w:rsid w:val="0CFBF5F0"/>
    <w:rsid w:val="0D3B2942"/>
    <w:rsid w:val="0D3E6B3D"/>
    <w:rsid w:val="0D446677"/>
    <w:rsid w:val="0D506331"/>
    <w:rsid w:val="0D559706"/>
    <w:rsid w:val="0D5A82EB"/>
    <w:rsid w:val="0D7A1E21"/>
    <w:rsid w:val="0D8C3B50"/>
    <w:rsid w:val="0D9DC53D"/>
    <w:rsid w:val="0DAA4F49"/>
    <w:rsid w:val="0DBE4428"/>
    <w:rsid w:val="0DD39CDB"/>
    <w:rsid w:val="0DEACC4B"/>
    <w:rsid w:val="0DF38434"/>
    <w:rsid w:val="0DF9ADE0"/>
    <w:rsid w:val="0E0A5FB1"/>
    <w:rsid w:val="0E19EA36"/>
    <w:rsid w:val="0E1D588E"/>
    <w:rsid w:val="0E2618D1"/>
    <w:rsid w:val="0E2F257B"/>
    <w:rsid w:val="0E531881"/>
    <w:rsid w:val="0E6D6F2C"/>
    <w:rsid w:val="0E75475B"/>
    <w:rsid w:val="0E8157E9"/>
    <w:rsid w:val="0E9996C8"/>
    <w:rsid w:val="0E99B67C"/>
    <w:rsid w:val="0EA14563"/>
    <w:rsid w:val="0EA81090"/>
    <w:rsid w:val="0EACD483"/>
    <w:rsid w:val="0EAF27E3"/>
    <w:rsid w:val="0EB48CA4"/>
    <w:rsid w:val="0EBFA7E4"/>
    <w:rsid w:val="0ECC1CD3"/>
    <w:rsid w:val="0ED789AC"/>
    <w:rsid w:val="0EE1FEA5"/>
    <w:rsid w:val="0EF57E64"/>
    <w:rsid w:val="0F0DA29A"/>
    <w:rsid w:val="0F2EB501"/>
    <w:rsid w:val="0F30DDA4"/>
    <w:rsid w:val="0F354048"/>
    <w:rsid w:val="0F467A04"/>
    <w:rsid w:val="0F578ED1"/>
    <w:rsid w:val="0F585F03"/>
    <w:rsid w:val="0F5AA38D"/>
    <w:rsid w:val="0F94AFF8"/>
    <w:rsid w:val="0F98CB89"/>
    <w:rsid w:val="0FADED23"/>
    <w:rsid w:val="0FB6023A"/>
    <w:rsid w:val="0FC92035"/>
    <w:rsid w:val="0FCD3B65"/>
    <w:rsid w:val="0FE17333"/>
    <w:rsid w:val="104D2CC8"/>
    <w:rsid w:val="1058521B"/>
    <w:rsid w:val="105A7766"/>
    <w:rsid w:val="105D6EE5"/>
    <w:rsid w:val="10662FA2"/>
    <w:rsid w:val="10698553"/>
    <w:rsid w:val="107406DC"/>
    <w:rsid w:val="1090DD20"/>
    <w:rsid w:val="10A82871"/>
    <w:rsid w:val="10AD6BC1"/>
    <w:rsid w:val="10C02912"/>
    <w:rsid w:val="10C85737"/>
    <w:rsid w:val="10CEA96B"/>
    <w:rsid w:val="10DFA964"/>
    <w:rsid w:val="1107AAB1"/>
    <w:rsid w:val="110E35CC"/>
    <w:rsid w:val="1121910B"/>
    <w:rsid w:val="1139DF1F"/>
    <w:rsid w:val="113D0781"/>
    <w:rsid w:val="1140417C"/>
    <w:rsid w:val="11468219"/>
    <w:rsid w:val="1148B9C9"/>
    <w:rsid w:val="1163767E"/>
    <w:rsid w:val="11719F1D"/>
    <w:rsid w:val="11B26AA5"/>
    <w:rsid w:val="11C080E7"/>
    <w:rsid w:val="11C29162"/>
    <w:rsid w:val="11EEA121"/>
    <w:rsid w:val="120018EB"/>
    <w:rsid w:val="122959A0"/>
    <w:rsid w:val="123051DA"/>
    <w:rsid w:val="1230B415"/>
    <w:rsid w:val="1231611A"/>
    <w:rsid w:val="1232D71D"/>
    <w:rsid w:val="123CE0AD"/>
    <w:rsid w:val="124E5AA3"/>
    <w:rsid w:val="125AA799"/>
    <w:rsid w:val="12660E84"/>
    <w:rsid w:val="126D9C27"/>
    <w:rsid w:val="1273C313"/>
    <w:rsid w:val="127B37EF"/>
    <w:rsid w:val="127E0D20"/>
    <w:rsid w:val="1292F2A3"/>
    <w:rsid w:val="12C79BDF"/>
    <w:rsid w:val="12D33431"/>
    <w:rsid w:val="12D988A0"/>
    <w:rsid w:val="12DDF99A"/>
    <w:rsid w:val="12E42888"/>
    <w:rsid w:val="12E510AF"/>
    <w:rsid w:val="12EA80F7"/>
    <w:rsid w:val="12F15EF8"/>
    <w:rsid w:val="12F5E18E"/>
    <w:rsid w:val="1308B280"/>
    <w:rsid w:val="1313FF23"/>
    <w:rsid w:val="13423D87"/>
    <w:rsid w:val="1343D864"/>
    <w:rsid w:val="13686435"/>
    <w:rsid w:val="136D468C"/>
    <w:rsid w:val="1374017D"/>
    <w:rsid w:val="1386F1AB"/>
    <w:rsid w:val="138AC55F"/>
    <w:rsid w:val="13A23044"/>
    <w:rsid w:val="13B4BE27"/>
    <w:rsid w:val="13C1DE0E"/>
    <w:rsid w:val="13F851C7"/>
    <w:rsid w:val="13F9FF8F"/>
    <w:rsid w:val="13FA820B"/>
    <w:rsid w:val="141372C4"/>
    <w:rsid w:val="14542E3B"/>
    <w:rsid w:val="14776EE4"/>
    <w:rsid w:val="147D13AF"/>
    <w:rsid w:val="14B6C99D"/>
    <w:rsid w:val="14DEB3D0"/>
    <w:rsid w:val="14ED7B9E"/>
    <w:rsid w:val="14EE34F7"/>
    <w:rsid w:val="14F3A884"/>
    <w:rsid w:val="1507EFD4"/>
    <w:rsid w:val="151DDD16"/>
    <w:rsid w:val="153E3A15"/>
    <w:rsid w:val="154708EA"/>
    <w:rsid w:val="155B2133"/>
    <w:rsid w:val="1573D111"/>
    <w:rsid w:val="15894C63"/>
    <w:rsid w:val="159474E1"/>
    <w:rsid w:val="15AC3F04"/>
    <w:rsid w:val="15AEC0D0"/>
    <w:rsid w:val="15C64A96"/>
    <w:rsid w:val="15C9823B"/>
    <w:rsid w:val="15DAD585"/>
    <w:rsid w:val="15DC50CD"/>
    <w:rsid w:val="15F3B16E"/>
    <w:rsid w:val="15F80B25"/>
    <w:rsid w:val="15F977C5"/>
    <w:rsid w:val="15FB5D12"/>
    <w:rsid w:val="1604705D"/>
    <w:rsid w:val="1609480C"/>
    <w:rsid w:val="160AA47B"/>
    <w:rsid w:val="160D3316"/>
    <w:rsid w:val="1619A6EA"/>
    <w:rsid w:val="16227515"/>
    <w:rsid w:val="1622A80B"/>
    <w:rsid w:val="16253221"/>
    <w:rsid w:val="1636E20E"/>
    <w:rsid w:val="16473A8C"/>
    <w:rsid w:val="165E64E4"/>
    <w:rsid w:val="1668BEFD"/>
    <w:rsid w:val="1685BDC0"/>
    <w:rsid w:val="168EFE7B"/>
    <w:rsid w:val="169A080F"/>
    <w:rsid w:val="16BE866B"/>
    <w:rsid w:val="16C45030"/>
    <w:rsid w:val="16C754EF"/>
    <w:rsid w:val="16D2D7C2"/>
    <w:rsid w:val="16E5AD7B"/>
    <w:rsid w:val="16F74BBF"/>
    <w:rsid w:val="16FACD8A"/>
    <w:rsid w:val="17093E04"/>
    <w:rsid w:val="170D18BB"/>
    <w:rsid w:val="17338A66"/>
    <w:rsid w:val="173F59E5"/>
    <w:rsid w:val="1742A328"/>
    <w:rsid w:val="1747368C"/>
    <w:rsid w:val="1757D94C"/>
    <w:rsid w:val="17650336"/>
    <w:rsid w:val="176AD087"/>
    <w:rsid w:val="176D83F5"/>
    <w:rsid w:val="177D8A43"/>
    <w:rsid w:val="177E4881"/>
    <w:rsid w:val="1782A1C9"/>
    <w:rsid w:val="17A51542"/>
    <w:rsid w:val="17A9BCAD"/>
    <w:rsid w:val="17A9EBDB"/>
    <w:rsid w:val="17C76CF0"/>
    <w:rsid w:val="17CC10DB"/>
    <w:rsid w:val="180F3916"/>
    <w:rsid w:val="18288A95"/>
    <w:rsid w:val="182DCE73"/>
    <w:rsid w:val="1845EFA2"/>
    <w:rsid w:val="18480729"/>
    <w:rsid w:val="1849A171"/>
    <w:rsid w:val="184BD3F8"/>
    <w:rsid w:val="1854B402"/>
    <w:rsid w:val="185533E6"/>
    <w:rsid w:val="186308A5"/>
    <w:rsid w:val="1863E033"/>
    <w:rsid w:val="186B60C2"/>
    <w:rsid w:val="18A40C74"/>
    <w:rsid w:val="18B4323C"/>
    <w:rsid w:val="18D78803"/>
    <w:rsid w:val="18D87293"/>
    <w:rsid w:val="18DB0C86"/>
    <w:rsid w:val="18E3BAA8"/>
    <w:rsid w:val="18ED3287"/>
    <w:rsid w:val="18F91427"/>
    <w:rsid w:val="1911F4B9"/>
    <w:rsid w:val="1912E31F"/>
    <w:rsid w:val="1958F19B"/>
    <w:rsid w:val="19666D29"/>
    <w:rsid w:val="19861A4D"/>
    <w:rsid w:val="199EE1D5"/>
    <w:rsid w:val="19A21B13"/>
    <w:rsid w:val="19B5A59A"/>
    <w:rsid w:val="19C90ECD"/>
    <w:rsid w:val="19D66111"/>
    <w:rsid w:val="19DD1064"/>
    <w:rsid w:val="1A150522"/>
    <w:rsid w:val="1A1B0025"/>
    <w:rsid w:val="1A213062"/>
    <w:rsid w:val="1A24A3FA"/>
    <w:rsid w:val="1A25210C"/>
    <w:rsid w:val="1A5F8451"/>
    <w:rsid w:val="1A73685C"/>
    <w:rsid w:val="1A92BAA6"/>
    <w:rsid w:val="1A9E7F85"/>
    <w:rsid w:val="1AA5C78D"/>
    <w:rsid w:val="1AA88B74"/>
    <w:rsid w:val="1AAC6AEF"/>
    <w:rsid w:val="1AB747CA"/>
    <w:rsid w:val="1AC34BB9"/>
    <w:rsid w:val="1ACA599D"/>
    <w:rsid w:val="1ACF029C"/>
    <w:rsid w:val="1AD9D098"/>
    <w:rsid w:val="1ADC9B56"/>
    <w:rsid w:val="1AF2967C"/>
    <w:rsid w:val="1AFF7A0F"/>
    <w:rsid w:val="1B17CB32"/>
    <w:rsid w:val="1B19074A"/>
    <w:rsid w:val="1B1D9C87"/>
    <w:rsid w:val="1B223E60"/>
    <w:rsid w:val="1B2FB249"/>
    <w:rsid w:val="1B36BBCE"/>
    <w:rsid w:val="1B3F6CA8"/>
    <w:rsid w:val="1B4B2FAE"/>
    <w:rsid w:val="1B524BE9"/>
    <w:rsid w:val="1B5E6757"/>
    <w:rsid w:val="1B5F4C68"/>
    <w:rsid w:val="1B7235DE"/>
    <w:rsid w:val="1B7342B9"/>
    <w:rsid w:val="1B7B93E7"/>
    <w:rsid w:val="1B8203A1"/>
    <w:rsid w:val="1B8CE7AA"/>
    <w:rsid w:val="1B8ECDF5"/>
    <w:rsid w:val="1BA27E99"/>
    <w:rsid w:val="1BA9935F"/>
    <w:rsid w:val="1BB43879"/>
    <w:rsid w:val="1BC0CDC1"/>
    <w:rsid w:val="1BCC2383"/>
    <w:rsid w:val="1BCE53A0"/>
    <w:rsid w:val="1BD0E2B7"/>
    <w:rsid w:val="1BD3D5CF"/>
    <w:rsid w:val="1BE58F1D"/>
    <w:rsid w:val="1BF0D5A0"/>
    <w:rsid w:val="1BF60487"/>
    <w:rsid w:val="1C137E52"/>
    <w:rsid w:val="1C1A6E71"/>
    <w:rsid w:val="1C225766"/>
    <w:rsid w:val="1C22E370"/>
    <w:rsid w:val="1C244C25"/>
    <w:rsid w:val="1C2F4B8D"/>
    <w:rsid w:val="1C33408B"/>
    <w:rsid w:val="1C38475C"/>
    <w:rsid w:val="1C5D55E1"/>
    <w:rsid w:val="1C5EAB73"/>
    <w:rsid w:val="1C642033"/>
    <w:rsid w:val="1C688BD5"/>
    <w:rsid w:val="1C6C1AF4"/>
    <w:rsid w:val="1C80FEC6"/>
    <w:rsid w:val="1C8F8542"/>
    <w:rsid w:val="1C978345"/>
    <w:rsid w:val="1CA926AC"/>
    <w:rsid w:val="1CB80732"/>
    <w:rsid w:val="1CC30C3C"/>
    <w:rsid w:val="1CFB04F8"/>
    <w:rsid w:val="1D1C3F62"/>
    <w:rsid w:val="1D35D795"/>
    <w:rsid w:val="1D407C04"/>
    <w:rsid w:val="1D42B0D0"/>
    <w:rsid w:val="1D513866"/>
    <w:rsid w:val="1D606D09"/>
    <w:rsid w:val="1D60EBFA"/>
    <w:rsid w:val="1D632154"/>
    <w:rsid w:val="1D637DE3"/>
    <w:rsid w:val="1D6EAA0D"/>
    <w:rsid w:val="1D779D04"/>
    <w:rsid w:val="1D893E5B"/>
    <w:rsid w:val="1D996AFB"/>
    <w:rsid w:val="1DA64EF3"/>
    <w:rsid w:val="1DAC99DC"/>
    <w:rsid w:val="1DACF954"/>
    <w:rsid w:val="1DC25B13"/>
    <w:rsid w:val="1DC4292C"/>
    <w:rsid w:val="1DCFDCF5"/>
    <w:rsid w:val="1DD2B3A7"/>
    <w:rsid w:val="1DDB81C5"/>
    <w:rsid w:val="1DE72750"/>
    <w:rsid w:val="1DF58B25"/>
    <w:rsid w:val="1DF9600B"/>
    <w:rsid w:val="1DFA84F2"/>
    <w:rsid w:val="1E2BB58F"/>
    <w:rsid w:val="1E33654E"/>
    <w:rsid w:val="1E5D9A12"/>
    <w:rsid w:val="1E63F797"/>
    <w:rsid w:val="1E6DD5D0"/>
    <w:rsid w:val="1E6E578F"/>
    <w:rsid w:val="1E7C9B5F"/>
    <w:rsid w:val="1E82D6BC"/>
    <w:rsid w:val="1E96C3F9"/>
    <w:rsid w:val="1EA2049C"/>
    <w:rsid w:val="1EAA4E19"/>
    <w:rsid w:val="1EAE0FD5"/>
    <w:rsid w:val="1EB2FB95"/>
    <w:rsid w:val="1EB4918A"/>
    <w:rsid w:val="1EB5D4BD"/>
    <w:rsid w:val="1EDC613B"/>
    <w:rsid w:val="1EF0C2D2"/>
    <w:rsid w:val="1EF7F1ED"/>
    <w:rsid w:val="1F0A674B"/>
    <w:rsid w:val="1F13A180"/>
    <w:rsid w:val="1F1AEB12"/>
    <w:rsid w:val="1F2CC6AF"/>
    <w:rsid w:val="1F320504"/>
    <w:rsid w:val="1F5621D5"/>
    <w:rsid w:val="1F5872BE"/>
    <w:rsid w:val="1F5A6C21"/>
    <w:rsid w:val="1F5CCA6F"/>
    <w:rsid w:val="1F702798"/>
    <w:rsid w:val="1F7062A3"/>
    <w:rsid w:val="1F731C7C"/>
    <w:rsid w:val="1F7FDE38"/>
    <w:rsid w:val="1F82BBA8"/>
    <w:rsid w:val="1F87D8B6"/>
    <w:rsid w:val="1F8C1DC7"/>
    <w:rsid w:val="1F9FA0AF"/>
    <w:rsid w:val="1FA7F11A"/>
    <w:rsid w:val="1FDE5895"/>
    <w:rsid w:val="1FE908B0"/>
    <w:rsid w:val="1FE98E1A"/>
    <w:rsid w:val="1FEAF99E"/>
    <w:rsid w:val="1FFBA487"/>
    <w:rsid w:val="1FFD8280"/>
    <w:rsid w:val="202809A8"/>
    <w:rsid w:val="20331A5A"/>
    <w:rsid w:val="2050A1B9"/>
    <w:rsid w:val="20708913"/>
    <w:rsid w:val="20A09C02"/>
    <w:rsid w:val="20A38202"/>
    <w:rsid w:val="20AED3C1"/>
    <w:rsid w:val="20DF02C7"/>
    <w:rsid w:val="20E0537C"/>
    <w:rsid w:val="21070842"/>
    <w:rsid w:val="21269EE1"/>
    <w:rsid w:val="212F94D1"/>
    <w:rsid w:val="21603206"/>
    <w:rsid w:val="216C49FB"/>
    <w:rsid w:val="2182B97E"/>
    <w:rsid w:val="21DB86CF"/>
    <w:rsid w:val="21F37830"/>
    <w:rsid w:val="2216C2CE"/>
    <w:rsid w:val="222F5D15"/>
    <w:rsid w:val="2234E3CB"/>
    <w:rsid w:val="223B3FB1"/>
    <w:rsid w:val="2249640B"/>
    <w:rsid w:val="2251FE92"/>
    <w:rsid w:val="22734183"/>
    <w:rsid w:val="2283AA58"/>
    <w:rsid w:val="228795DA"/>
    <w:rsid w:val="22C1BC1C"/>
    <w:rsid w:val="22CB4FD7"/>
    <w:rsid w:val="22DCFB13"/>
    <w:rsid w:val="22DD0D9F"/>
    <w:rsid w:val="22DD7878"/>
    <w:rsid w:val="22DF8302"/>
    <w:rsid w:val="22E5CE86"/>
    <w:rsid w:val="22E8F2D2"/>
    <w:rsid w:val="22EA82E4"/>
    <w:rsid w:val="22ECAC13"/>
    <w:rsid w:val="22F8EAFA"/>
    <w:rsid w:val="231086AC"/>
    <w:rsid w:val="23124136"/>
    <w:rsid w:val="2331B26A"/>
    <w:rsid w:val="23336925"/>
    <w:rsid w:val="2341B958"/>
    <w:rsid w:val="2353CB8B"/>
    <w:rsid w:val="23656377"/>
    <w:rsid w:val="236CC900"/>
    <w:rsid w:val="23764C8D"/>
    <w:rsid w:val="238E5513"/>
    <w:rsid w:val="23942CE4"/>
    <w:rsid w:val="23A104A9"/>
    <w:rsid w:val="23A1E80E"/>
    <w:rsid w:val="23AAB5FD"/>
    <w:rsid w:val="23BE1D5B"/>
    <w:rsid w:val="23DBBEF2"/>
    <w:rsid w:val="23E61B12"/>
    <w:rsid w:val="23EB0A43"/>
    <w:rsid w:val="24061D87"/>
    <w:rsid w:val="240AA32D"/>
    <w:rsid w:val="241A8B4E"/>
    <w:rsid w:val="242862E8"/>
    <w:rsid w:val="244E6B19"/>
    <w:rsid w:val="2455D6C6"/>
    <w:rsid w:val="246932FA"/>
    <w:rsid w:val="246E1F1E"/>
    <w:rsid w:val="24D7025C"/>
    <w:rsid w:val="24EACEBD"/>
    <w:rsid w:val="24F2F081"/>
    <w:rsid w:val="25040021"/>
    <w:rsid w:val="2504D20C"/>
    <w:rsid w:val="250A8BE1"/>
    <w:rsid w:val="251704DE"/>
    <w:rsid w:val="251A32F4"/>
    <w:rsid w:val="252A51CA"/>
    <w:rsid w:val="253C19E3"/>
    <w:rsid w:val="2547B079"/>
    <w:rsid w:val="254A1E8D"/>
    <w:rsid w:val="255A8EA2"/>
    <w:rsid w:val="256B2707"/>
    <w:rsid w:val="25720E0B"/>
    <w:rsid w:val="2596BC05"/>
    <w:rsid w:val="25AD99CC"/>
    <w:rsid w:val="25B06FD3"/>
    <w:rsid w:val="25C6006F"/>
    <w:rsid w:val="25EBA827"/>
    <w:rsid w:val="2602F85E"/>
    <w:rsid w:val="2608C753"/>
    <w:rsid w:val="260C22EB"/>
    <w:rsid w:val="2622CDF1"/>
    <w:rsid w:val="265247E5"/>
    <w:rsid w:val="2665D559"/>
    <w:rsid w:val="266D448A"/>
    <w:rsid w:val="26789D4B"/>
    <w:rsid w:val="267B880D"/>
    <w:rsid w:val="26A72766"/>
    <w:rsid w:val="26AD01B8"/>
    <w:rsid w:val="26AFDA8E"/>
    <w:rsid w:val="26BBC36E"/>
    <w:rsid w:val="26D555D3"/>
    <w:rsid w:val="2781DD6E"/>
    <w:rsid w:val="27AA206E"/>
    <w:rsid w:val="27F295BB"/>
    <w:rsid w:val="27F7841A"/>
    <w:rsid w:val="28188B66"/>
    <w:rsid w:val="281EE8F3"/>
    <w:rsid w:val="28287456"/>
    <w:rsid w:val="2834BF61"/>
    <w:rsid w:val="2841E01A"/>
    <w:rsid w:val="2852C66C"/>
    <w:rsid w:val="28577558"/>
    <w:rsid w:val="285A77F0"/>
    <w:rsid w:val="2861CAEE"/>
    <w:rsid w:val="287D45F0"/>
    <w:rsid w:val="288DC8FC"/>
    <w:rsid w:val="28989C44"/>
    <w:rsid w:val="289AB9A1"/>
    <w:rsid w:val="28B8E688"/>
    <w:rsid w:val="28C8DC5A"/>
    <w:rsid w:val="28D3E638"/>
    <w:rsid w:val="28E9901A"/>
    <w:rsid w:val="28FE23A3"/>
    <w:rsid w:val="29011CF6"/>
    <w:rsid w:val="29132FAB"/>
    <w:rsid w:val="2915BEBE"/>
    <w:rsid w:val="292D77AC"/>
    <w:rsid w:val="2939990E"/>
    <w:rsid w:val="294190D9"/>
    <w:rsid w:val="2958F764"/>
    <w:rsid w:val="296B43ED"/>
    <w:rsid w:val="29957D3E"/>
    <w:rsid w:val="29AE12DF"/>
    <w:rsid w:val="29B04B9A"/>
    <w:rsid w:val="29B90A4C"/>
    <w:rsid w:val="29C15652"/>
    <w:rsid w:val="29CA62C0"/>
    <w:rsid w:val="29CD1B6A"/>
    <w:rsid w:val="29F6985E"/>
    <w:rsid w:val="29FB6525"/>
    <w:rsid w:val="2A1D16CD"/>
    <w:rsid w:val="2A45E59A"/>
    <w:rsid w:val="2A54FC2F"/>
    <w:rsid w:val="2A570349"/>
    <w:rsid w:val="2A6C198C"/>
    <w:rsid w:val="2A6CC003"/>
    <w:rsid w:val="2A75D153"/>
    <w:rsid w:val="2A7AE36A"/>
    <w:rsid w:val="2AB713DA"/>
    <w:rsid w:val="2AC0B1B5"/>
    <w:rsid w:val="2ACC057D"/>
    <w:rsid w:val="2AD6DAEE"/>
    <w:rsid w:val="2AFC0813"/>
    <w:rsid w:val="2AFE9421"/>
    <w:rsid w:val="2B00C315"/>
    <w:rsid w:val="2B22FDEA"/>
    <w:rsid w:val="2B23E1DA"/>
    <w:rsid w:val="2B43711D"/>
    <w:rsid w:val="2B6963F3"/>
    <w:rsid w:val="2B75215F"/>
    <w:rsid w:val="2BAB5DE2"/>
    <w:rsid w:val="2BB40B11"/>
    <w:rsid w:val="2BC5282B"/>
    <w:rsid w:val="2BDD5976"/>
    <w:rsid w:val="2BE1A685"/>
    <w:rsid w:val="2BE846E2"/>
    <w:rsid w:val="2BF730C6"/>
    <w:rsid w:val="2BFE22D9"/>
    <w:rsid w:val="2C171810"/>
    <w:rsid w:val="2C1F6584"/>
    <w:rsid w:val="2C29098C"/>
    <w:rsid w:val="2C3795D2"/>
    <w:rsid w:val="2C387231"/>
    <w:rsid w:val="2C3D3CFA"/>
    <w:rsid w:val="2C4F2154"/>
    <w:rsid w:val="2C58010F"/>
    <w:rsid w:val="2C5FF1FE"/>
    <w:rsid w:val="2C6259EB"/>
    <w:rsid w:val="2C68B9A5"/>
    <w:rsid w:val="2C73F2F4"/>
    <w:rsid w:val="2C74D347"/>
    <w:rsid w:val="2C7514DC"/>
    <w:rsid w:val="2C775CB8"/>
    <w:rsid w:val="2C7C5741"/>
    <w:rsid w:val="2C7EEE23"/>
    <w:rsid w:val="2C96FCA2"/>
    <w:rsid w:val="2C9A1CC5"/>
    <w:rsid w:val="2CA74F5F"/>
    <w:rsid w:val="2CB652F2"/>
    <w:rsid w:val="2CBA1AF2"/>
    <w:rsid w:val="2CC8CB93"/>
    <w:rsid w:val="2CCF2F90"/>
    <w:rsid w:val="2CDBE528"/>
    <w:rsid w:val="2CDC2CA2"/>
    <w:rsid w:val="2CF96A8A"/>
    <w:rsid w:val="2D005F95"/>
    <w:rsid w:val="2D062850"/>
    <w:rsid w:val="2D17038C"/>
    <w:rsid w:val="2D1FA5C5"/>
    <w:rsid w:val="2D29C6D4"/>
    <w:rsid w:val="2D315E3F"/>
    <w:rsid w:val="2D332AFF"/>
    <w:rsid w:val="2D62CC2E"/>
    <w:rsid w:val="2D8D97B0"/>
    <w:rsid w:val="2D9B8F16"/>
    <w:rsid w:val="2DA402EA"/>
    <w:rsid w:val="2DAAE739"/>
    <w:rsid w:val="2DBFEE7A"/>
    <w:rsid w:val="2DC14A89"/>
    <w:rsid w:val="2DCF435E"/>
    <w:rsid w:val="2DD2CFB5"/>
    <w:rsid w:val="2DD7CE63"/>
    <w:rsid w:val="2DE2D704"/>
    <w:rsid w:val="2DE72B3C"/>
    <w:rsid w:val="2DEEC186"/>
    <w:rsid w:val="2E0F8B85"/>
    <w:rsid w:val="2E1735B9"/>
    <w:rsid w:val="2E32B671"/>
    <w:rsid w:val="2E3DEA3D"/>
    <w:rsid w:val="2E4E3CFF"/>
    <w:rsid w:val="2E5126E5"/>
    <w:rsid w:val="2E63C631"/>
    <w:rsid w:val="2E658A75"/>
    <w:rsid w:val="2E7CD718"/>
    <w:rsid w:val="2E84C73E"/>
    <w:rsid w:val="2E855E89"/>
    <w:rsid w:val="2E89B7B5"/>
    <w:rsid w:val="2ED66FBD"/>
    <w:rsid w:val="2EFCE819"/>
    <w:rsid w:val="2F0D3AE0"/>
    <w:rsid w:val="2F11CCBB"/>
    <w:rsid w:val="2F166BC7"/>
    <w:rsid w:val="2F191F6A"/>
    <w:rsid w:val="2F23D600"/>
    <w:rsid w:val="2F283759"/>
    <w:rsid w:val="2F33E057"/>
    <w:rsid w:val="2F377AE2"/>
    <w:rsid w:val="2F73C81F"/>
    <w:rsid w:val="2F96E4B8"/>
    <w:rsid w:val="2FA56234"/>
    <w:rsid w:val="2FB100BD"/>
    <w:rsid w:val="2FC483A8"/>
    <w:rsid w:val="2FC76368"/>
    <w:rsid w:val="2FCE4D50"/>
    <w:rsid w:val="2FE76FD3"/>
    <w:rsid w:val="301E2C0C"/>
    <w:rsid w:val="30440537"/>
    <w:rsid w:val="3066DEF7"/>
    <w:rsid w:val="307CD1AF"/>
    <w:rsid w:val="3087AB48"/>
    <w:rsid w:val="30A6906E"/>
    <w:rsid w:val="30B2309A"/>
    <w:rsid w:val="30B2C10F"/>
    <w:rsid w:val="30D8B1BE"/>
    <w:rsid w:val="3112719E"/>
    <w:rsid w:val="312602F5"/>
    <w:rsid w:val="31363D64"/>
    <w:rsid w:val="315B30C7"/>
    <w:rsid w:val="315BD6A0"/>
    <w:rsid w:val="316D30EA"/>
    <w:rsid w:val="3199053B"/>
    <w:rsid w:val="31AA8F49"/>
    <w:rsid w:val="31AB5EF9"/>
    <w:rsid w:val="31BE0AAA"/>
    <w:rsid w:val="31C69402"/>
    <w:rsid w:val="31C9D3BF"/>
    <w:rsid w:val="31E99EB4"/>
    <w:rsid w:val="31F78AEF"/>
    <w:rsid w:val="3217CCA2"/>
    <w:rsid w:val="321A551D"/>
    <w:rsid w:val="32447AE9"/>
    <w:rsid w:val="325933B1"/>
    <w:rsid w:val="3260A979"/>
    <w:rsid w:val="326B42BA"/>
    <w:rsid w:val="326F7D86"/>
    <w:rsid w:val="327C2BBF"/>
    <w:rsid w:val="327FA2C2"/>
    <w:rsid w:val="329092C1"/>
    <w:rsid w:val="329B89CC"/>
    <w:rsid w:val="32ACF189"/>
    <w:rsid w:val="32B4F6CA"/>
    <w:rsid w:val="32BD5886"/>
    <w:rsid w:val="32CE3A97"/>
    <w:rsid w:val="32CFFBB7"/>
    <w:rsid w:val="32D6C7BB"/>
    <w:rsid w:val="32D798E8"/>
    <w:rsid w:val="32E7EFE2"/>
    <w:rsid w:val="32EB23A3"/>
    <w:rsid w:val="32F89B21"/>
    <w:rsid w:val="32FB4C00"/>
    <w:rsid w:val="32FCE30F"/>
    <w:rsid w:val="3304C76F"/>
    <w:rsid w:val="330AE22D"/>
    <w:rsid w:val="33338577"/>
    <w:rsid w:val="33366AC8"/>
    <w:rsid w:val="333AF418"/>
    <w:rsid w:val="333C980B"/>
    <w:rsid w:val="3340A43D"/>
    <w:rsid w:val="3340E6E8"/>
    <w:rsid w:val="334B67FE"/>
    <w:rsid w:val="3364B9ED"/>
    <w:rsid w:val="3377078D"/>
    <w:rsid w:val="33C3A0B2"/>
    <w:rsid w:val="33C92DAA"/>
    <w:rsid w:val="33CA1821"/>
    <w:rsid w:val="33E7AA99"/>
    <w:rsid w:val="33F07A80"/>
    <w:rsid w:val="34027C39"/>
    <w:rsid w:val="340DBB6E"/>
    <w:rsid w:val="34141DAA"/>
    <w:rsid w:val="3415A6A6"/>
    <w:rsid w:val="3416EC9B"/>
    <w:rsid w:val="34355DC1"/>
    <w:rsid w:val="3456783A"/>
    <w:rsid w:val="34669F9A"/>
    <w:rsid w:val="3469F4B7"/>
    <w:rsid w:val="346C7074"/>
    <w:rsid w:val="346E6211"/>
    <w:rsid w:val="3478CF3B"/>
    <w:rsid w:val="3482BA85"/>
    <w:rsid w:val="348D6B9F"/>
    <w:rsid w:val="349640A6"/>
    <w:rsid w:val="34A5E485"/>
    <w:rsid w:val="34AD9A54"/>
    <w:rsid w:val="34B5F5C4"/>
    <w:rsid w:val="34BCCBFC"/>
    <w:rsid w:val="34C8CDA4"/>
    <w:rsid w:val="34D35B00"/>
    <w:rsid w:val="34E1CD8F"/>
    <w:rsid w:val="34F98486"/>
    <w:rsid w:val="3507EBCE"/>
    <w:rsid w:val="35172961"/>
    <w:rsid w:val="3517F137"/>
    <w:rsid w:val="3519088A"/>
    <w:rsid w:val="35301BD3"/>
    <w:rsid w:val="35314422"/>
    <w:rsid w:val="35369F15"/>
    <w:rsid w:val="3551A6DF"/>
    <w:rsid w:val="35730253"/>
    <w:rsid w:val="35748755"/>
    <w:rsid w:val="3577AD6D"/>
    <w:rsid w:val="35796B04"/>
    <w:rsid w:val="35930F4A"/>
    <w:rsid w:val="35A9B26D"/>
    <w:rsid w:val="35AABAE3"/>
    <w:rsid w:val="35B66080"/>
    <w:rsid w:val="35D43868"/>
    <w:rsid w:val="35F8CE15"/>
    <w:rsid w:val="35FA80D0"/>
    <w:rsid w:val="36015ADF"/>
    <w:rsid w:val="360205EB"/>
    <w:rsid w:val="36152BEB"/>
    <w:rsid w:val="3626E1AF"/>
    <w:rsid w:val="36642857"/>
    <w:rsid w:val="3678D6E1"/>
    <w:rsid w:val="3680E5AB"/>
    <w:rsid w:val="3687BB34"/>
    <w:rsid w:val="36963763"/>
    <w:rsid w:val="36989967"/>
    <w:rsid w:val="369FBC82"/>
    <w:rsid w:val="36A1D7B3"/>
    <w:rsid w:val="36BA39AF"/>
    <w:rsid w:val="36CA7A0B"/>
    <w:rsid w:val="36DAF299"/>
    <w:rsid w:val="36DB7F9E"/>
    <w:rsid w:val="36EAF199"/>
    <w:rsid w:val="36F56335"/>
    <w:rsid w:val="37339519"/>
    <w:rsid w:val="373D1CFF"/>
    <w:rsid w:val="373E2F22"/>
    <w:rsid w:val="374B7335"/>
    <w:rsid w:val="37588848"/>
    <w:rsid w:val="3758BD61"/>
    <w:rsid w:val="37647F06"/>
    <w:rsid w:val="3765E763"/>
    <w:rsid w:val="376D3E57"/>
    <w:rsid w:val="37915CCB"/>
    <w:rsid w:val="37BBB1C1"/>
    <w:rsid w:val="37BDD41F"/>
    <w:rsid w:val="37C3F9A8"/>
    <w:rsid w:val="37CBF4BF"/>
    <w:rsid w:val="37E54267"/>
    <w:rsid w:val="37EE9055"/>
    <w:rsid w:val="37EF2B70"/>
    <w:rsid w:val="37FBBAFC"/>
    <w:rsid w:val="37FE86CC"/>
    <w:rsid w:val="3809DF6C"/>
    <w:rsid w:val="383AC34E"/>
    <w:rsid w:val="3861E0EB"/>
    <w:rsid w:val="38686685"/>
    <w:rsid w:val="386B66CE"/>
    <w:rsid w:val="38BEDE7C"/>
    <w:rsid w:val="38C12F63"/>
    <w:rsid w:val="38E91CAD"/>
    <w:rsid w:val="3906DD12"/>
    <w:rsid w:val="39088A87"/>
    <w:rsid w:val="391C9A91"/>
    <w:rsid w:val="3921AB45"/>
    <w:rsid w:val="3965ADC1"/>
    <w:rsid w:val="396C6D2A"/>
    <w:rsid w:val="39A2196F"/>
    <w:rsid w:val="39B2466F"/>
    <w:rsid w:val="39B2514F"/>
    <w:rsid w:val="39B7F02D"/>
    <w:rsid w:val="39DD8FE7"/>
    <w:rsid w:val="39EB972A"/>
    <w:rsid w:val="39F3523E"/>
    <w:rsid w:val="3A04F32B"/>
    <w:rsid w:val="3A0814E6"/>
    <w:rsid w:val="3A1752ED"/>
    <w:rsid w:val="3A23BB6B"/>
    <w:rsid w:val="3A2EB1A9"/>
    <w:rsid w:val="3A41EC14"/>
    <w:rsid w:val="3A45FEC2"/>
    <w:rsid w:val="3A551589"/>
    <w:rsid w:val="3A66014C"/>
    <w:rsid w:val="3A72EBC0"/>
    <w:rsid w:val="3A83797B"/>
    <w:rsid w:val="3A9200C3"/>
    <w:rsid w:val="3A92D039"/>
    <w:rsid w:val="3AB20324"/>
    <w:rsid w:val="3AEE25BC"/>
    <w:rsid w:val="3B0E8304"/>
    <w:rsid w:val="3B10CAEA"/>
    <w:rsid w:val="3B1875BC"/>
    <w:rsid w:val="3B1F1BA0"/>
    <w:rsid w:val="3B4E3A9C"/>
    <w:rsid w:val="3B4F7757"/>
    <w:rsid w:val="3B5D3889"/>
    <w:rsid w:val="3B5E3C30"/>
    <w:rsid w:val="3B5E9597"/>
    <w:rsid w:val="3B928E64"/>
    <w:rsid w:val="3B95092C"/>
    <w:rsid w:val="3BB68690"/>
    <w:rsid w:val="3BC32FDA"/>
    <w:rsid w:val="3BCC6ACC"/>
    <w:rsid w:val="3BCD58EE"/>
    <w:rsid w:val="3BD991CA"/>
    <w:rsid w:val="3BE0C5AD"/>
    <w:rsid w:val="3BE3A313"/>
    <w:rsid w:val="3BF74A6F"/>
    <w:rsid w:val="3C025C02"/>
    <w:rsid w:val="3C15B6BE"/>
    <w:rsid w:val="3C1B6BBD"/>
    <w:rsid w:val="3C35B2E5"/>
    <w:rsid w:val="3C3863F4"/>
    <w:rsid w:val="3C3886AD"/>
    <w:rsid w:val="3C48DB5E"/>
    <w:rsid w:val="3C5AB84E"/>
    <w:rsid w:val="3C60EB1E"/>
    <w:rsid w:val="3C88C202"/>
    <w:rsid w:val="3C96DBB0"/>
    <w:rsid w:val="3C9BC427"/>
    <w:rsid w:val="3CB7B42E"/>
    <w:rsid w:val="3CBDC0DA"/>
    <w:rsid w:val="3CCAF039"/>
    <w:rsid w:val="3CCB2A1F"/>
    <w:rsid w:val="3CE75771"/>
    <w:rsid w:val="3CF9B456"/>
    <w:rsid w:val="3D09FC15"/>
    <w:rsid w:val="3D0DAAF0"/>
    <w:rsid w:val="3D18D561"/>
    <w:rsid w:val="3D395412"/>
    <w:rsid w:val="3D4A91A6"/>
    <w:rsid w:val="3D517C6F"/>
    <w:rsid w:val="3D58E09D"/>
    <w:rsid w:val="3D6B6600"/>
    <w:rsid w:val="3D79F39A"/>
    <w:rsid w:val="3D7E449A"/>
    <w:rsid w:val="3D832968"/>
    <w:rsid w:val="3D85500B"/>
    <w:rsid w:val="3D8ADE01"/>
    <w:rsid w:val="3D8F30EF"/>
    <w:rsid w:val="3D9B9BD0"/>
    <w:rsid w:val="3DE29395"/>
    <w:rsid w:val="3DE5AA2A"/>
    <w:rsid w:val="3DF83B83"/>
    <w:rsid w:val="3DFC0860"/>
    <w:rsid w:val="3E003BFC"/>
    <w:rsid w:val="3E159B2F"/>
    <w:rsid w:val="3E24C248"/>
    <w:rsid w:val="3E4D81C6"/>
    <w:rsid w:val="3E57E54E"/>
    <w:rsid w:val="3E70843F"/>
    <w:rsid w:val="3E7CA30E"/>
    <w:rsid w:val="3EBD1E62"/>
    <w:rsid w:val="3ED465FF"/>
    <w:rsid w:val="3ED8B85D"/>
    <w:rsid w:val="3EF21985"/>
    <w:rsid w:val="3F05B68D"/>
    <w:rsid w:val="3F0A24DA"/>
    <w:rsid w:val="3F0D8B81"/>
    <w:rsid w:val="3F0FECC2"/>
    <w:rsid w:val="3F249DD6"/>
    <w:rsid w:val="3F27D5ED"/>
    <w:rsid w:val="3F3E248C"/>
    <w:rsid w:val="3F8E46EB"/>
    <w:rsid w:val="3F99711E"/>
    <w:rsid w:val="3F9D4EDF"/>
    <w:rsid w:val="3FAFB505"/>
    <w:rsid w:val="3FB0E473"/>
    <w:rsid w:val="3FCBE825"/>
    <w:rsid w:val="3FCFC689"/>
    <w:rsid w:val="3FE69958"/>
    <w:rsid w:val="3FE95568"/>
    <w:rsid w:val="3FEDDF04"/>
    <w:rsid w:val="3FF636D9"/>
    <w:rsid w:val="402573A9"/>
    <w:rsid w:val="402C4E85"/>
    <w:rsid w:val="40327AE9"/>
    <w:rsid w:val="403F163F"/>
    <w:rsid w:val="4045FE08"/>
    <w:rsid w:val="406419C4"/>
    <w:rsid w:val="406F737C"/>
    <w:rsid w:val="40D0E881"/>
    <w:rsid w:val="40DC1628"/>
    <w:rsid w:val="40F1FB31"/>
    <w:rsid w:val="41604ACE"/>
    <w:rsid w:val="416AE4BF"/>
    <w:rsid w:val="41A476F9"/>
    <w:rsid w:val="41C802E1"/>
    <w:rsid w:val="41CF5F03"/>
    <w:rsid w:val="41D10831"/>
    <w:rsid w:val="41F9BD22"/>
    <w:rsid w:val="42074788"/>
    <w:rsid w:val="4210FDF1"/>
    <w:rsid w:val="422EDA76"/>
    <w:rsid w:val="42359489"/>
    <w:rsid w:val="4256C1AA"/>
    <w:rsid w:val="425A0D29"/>
    <w:rsid w:val="425B246D"/>
    <w:rsid w:val="425E9124"/>
    <w:rsid w:val="4266A029"/>
    <w:rsid w:val="429BF6DE"/>
    <w:rsid w:val="429E58D9"/>
    <w:rsid w:val="42A979B0"/>
    <w:rsid w:val="42CE47F4"/>
    <w:rsid w:val="42E5F5AD"/>
    <w:rsid w:val="42F3067D"/>
    <w:rsid w:val="42F642C4"/>
    <w:rsid w:val="43062CD1"/>
    <w:rsid w:val="4331D3C3"/>
    <w:rsid w:val="43393AAD"/>
    <w:rsid w:val="434A6169"/>
    <w:rsid w:val="435CC985"/>
    <w:rsid w:val="43634919"/>
    <w:rsid w:val="436D0176"/>
    <w:rsid w:val="436FEA16"/>
    <w:rsid w:val="438FBC49"/>
    <w:rsid w:val="43A4B2E8"/>
    <w:rsid w:val="43CA75C7"/>
    <w:rsid w:val="43CFB99D"/>
    <w:rsid w:val="43E42149"/>
    <w:rsid w:val="43FCE771"/>
    <w:rsid w:val="441F05DE"/>
    <w:rsid w:val="44487366"/>
    <w:rsid w:val="4454061F"/>
    <w:rsid w:val="447678DC"/>
    <w:rsid w:val="447C1484"/>
    <w:rsid w:val="44944D6B"/>
    <w:rsid w:val="449E4895"/>
    <w:rsid w:val="449F1AFD"/>
    <w:rsid w:val="44A0C8B2"/>
    <w:rsid w:val="44A12F9F"/>
    <w:rsid w:val="44AB1145"/>
    <w:rsid w:val="44E46DCC"/>
    <w:rsid w:val="44EE441A"/>
    <w:rsid w:val="44EF45A7"/>
    <w:rsid w:val="45324D45"/>
    <w:rsid w:val="4537C0D0"/>
    <w:rsid w:val="4543D4BB"/>
    <w:rsid w:val="454C67E9"/>
    <w:rsid w:val="45638D8D"/>
    <w:rsid w:val="4574A54C"/>
    <w:rsid w:val="45929C2E"/>
    <w:rsid w:val="459EAF7B"/>
    <w:rsid w:val="459FC0AD"/>
    <w:rsid w:val="45BFB7C1"/>
    <w:rsid w:val="45C8F785"/>
    <w:rsid w:val="45D45E17"/>
    <w:rsid w:val="45D7B3C0"/>
    <w:rsid w:val="45DFD496"/>
    <w:rsid w:val="45EB1336"/>
    <w:rsid w:val="45F01D32"/>
    <w:rsid w:val="45F4A554"/>
    <w:rsid w:val="45F6D349"/>
    <w:rsid w:val="45F6DE39"/>
    <w:rsid w:val="46138630"/>
    <w:rsid w:val="4614B6F0"/>
    <w:rsid w:val="462B211A"/>
    <w:rsid w:val="4647078A"/>
    <w:rsid w:val="4647B35B"/>
    <w:rsid w:val="46491E88"/>
    <w:rsid w:val="464A0493"/>
    <w:rsid w:val="465E7499"/>
    <w:rsid w:val="467A4276"/>
    <w:rsid w:val="467D6F15"/>
    <w:rsid w:val="4684AB7D"/>
    <w:rsid w:val="46910712"/>
    <w:rsid w:val="46A3FF71"/>
    <w:rsid w:val="46AF4FDB"/>
    <w:rsid w:val="46B0D0BD"/>
    <w:rsid w:val="46B12413"/>
    <w:rsid w:val="46BA3AAC"/>
    <w:rsid w:val="46BC21E9"/>
    <w:rsid w:val="46BF0CEC"/>
    <w:rsid w:val="46D4F679"/>
    <w:rsid w:val="46E08035"/>
    <w:rsid w:val="46ED6B94"/>
    <w:rsid w:val="46ED6D78"/>
    <w:rsid w:val="47027B7F"/>
    <w:rsid w:val="4716D09C"/>
    <w:rsid w:val="471CCA61"/>
    <w:rsid w:val="47279117"/>
    <w:rsid w:val="476811E1"/>
    <w:rsid w:val="47756DDE"/>
    <w:rsid w:val="4783928C"/>
    <w:rsid w:val="4786A502"/>
    <w:rsid w:val="4799C583"/>
    <w:rsid w:val="47B18816"/>
    <w:rsid w:val="47C0D5F2"/>
    <w:rsid w:val="47CA352D"/>
    <w:rsid w:val="47D8CC17"/>
    <w:rsid w:val="47EA5EB8"/>
    <w:rsid w:val="47EE6B2F"/>
    <w:rsid w:val="47F478FF"/>
    <w:rsid w:val="47F50716"/>
    <w:rsid w:val="480D54A5"/>
    <w:rsid w:val="482622AE"/>
    <w:rsid w:val="482EDC91"/>
    <w:rsid w:val="4836AE52"/>
    <w:rsid w:val="4840B213"/>
    <w:rsid w:val="48431901"/>
    <w:rsid w:val="484502A6"/>
    <w:rsid w:val="484A7848"/>
    <w:rsid w:val="484C28B3"/>
    <w:rsid w:val="485769BD"/>
    <w:rsid w:val="485D7A0B"/>
    <w:rsid w:val="4861688C"/>
    <w:rsid w:val="4879F129"/>
    <w:rsid w:val="48823983"/>
    <w:rsid w:val="4885C781"/>
    <w:rsid w:val="489DFBD5"/>
    <w:rsid w:val="48A2B389"/>
    <w:rsid w:val="48A4DFE3"/>
    <w:rsid w:val="48A6AEFA"/>
    <w:rsid w:val="48DEFBE0"/>
    <w:rsid w:val="48E4CB05"/>
    <w:rsid w:val="48E9D015"/>
    <w:rsid w:val="490391A3"/>
    <w:rsid w:val="4909D2B2"/>
    <w:rsid w:val="491AFDF7"/>
    <w:rsid w:val="492BBDEC"/>
    <w:rsid w:val="496AC85C"/>
    <w:rsid w:val="49750757"/>
    <w:rsid w:val="4981CB43"/>
    <w:rsid w:val="4981EFF6"/>
    <w:rsid w:val="4988F09D"/>
    <w:rsid w:val="49892D29"/>
    <w:rsid w:val="499387FE"/>
    <w:rsid w:val="49B588C9"/>
    <w:rsid w:val="49B5F823"/>
    <w:rsid w:val="49BCB93A"/>
    <w:rsid w:val="49BD1564"/>
    <w:rsid w:val="4A099793"/>
    <w:rsid w:val="4A1E5033"/>
    <w:rsid w:val="4A2A0AE0"/>
    <w:rsid w:val="4A351463"/>
    <w:rsid w:val="4A362328"/>
    <w:rsid w:val="4A5592D8"/>
    <w:rsid w:val="4A5B39F7"/>
    <w:rsid w:val="4A651734"/>
    <w:rsid w:val="4A7F19FA"/>
    <w:rsid w:val="4AAB0033"/>
    <w:rsid w:val="4ABB2BDC"/>
    <w:rsid w:val="4AD3C6BC"/>
    <w:rsid w:val="4AE4D948"/>
    <w:rsid w:val="4AEA17C8"/>
    <w:rsid w:val="4AF087A4"/>
    <w:rsid w:val="4B05DCB9"/>
    <w:rsid w:val="4B11C77C"/>
    <w:rsid w:val="4B194B45"/>
    <w:rsid w:val="4B2336E8"/>
    <w:rsid w:val="4B241552"/>
    <w:rsid w:val="4B38780F"/>
    <w:rsid w:val="4B440A75"/>
    <w:rsid w:val="4B4AD97C"/>
    <w:rsid w:val="4B6B9DFD"/>
    <w:rsid w:val="4B6D3D29"/>
    <w:rsid w:val="4B76D3C2"/>
    <w:rsid w:val="4B8D5082"/>
    <w:rsid w:val="4B94245E"/>
    <w:rsid w:val="4BC24B6D"/>
    <w:rsid w:val="4BC35C64"/>
    <w:rsid w:val="4BEA07F4"/>
    <w:rsid w:val="4BFED73A"/>
    <w:rsid w:val="4C2C059C"/>
    <w:rsid w:val="4C2CA864"/>
    <w:rsid w:val="4C660A4B"/>
    <w:rsid w:val="4C677265"/>
    <w:rsid w:val="4C866069"/>
    <w:rsid w:val="4C9298B4"/>
    <w:rsid w:val="4C99C4F2"/>
    <w:rsid w:val="4C9CE14B"/>
    <w:rsid w:val="4CCBF57F"/>
    <w:rsid w:val="4CE08E41"/>
    <w:rsid w:val="4CFEA6D0"/>
    <w:rsid w:val="4D1CE3BC"/>
    <w:rsid w:val="4D2F3C0D"/>
    <w:rsid w:val="4D3BE413"/>
    <w:rsid w:val="4D434947"/>
    <w:rsid w:val="4D54BE65"/>
    <w:rsid w:val="4D6D2D55"/>
    <w:rsid w:val="4D85BFE7"/>
    <w:rsid w:val="4D92A33B"/>
    <w:rsid w:val="4D989F16"/>
    <w:rsid w:val="4DC80FC6"/>
    <w:rsid w:val="4DD73ED4"/>
    <w:rsid w:val="4DD7E3D9"/>
    <w:rsid w:val="4DDE4FAA"/>
    <w:rsid w:val="4E07F927"/>
    <w:rsid w:val="4E14D421"/>
    <w:rsid w:val="4E17E24D"/>
    <w:rsid w:val="4E2AE59B"/>
    <w:rsid w:val="4E2DDCAC"/>
    <w:rsid w:val="4E5A7E2E"/>
    <w:rsid w:val="4E5D6A2A"/>
    <w:rsid w:val="4E604786"/>
    <w:rsid w:val="4E74F03C"/>
    <w:rsid w:val="4E8FA52D"/>
    <w:rsid w:val="4E9675A0"/>
    <w:rsid w:val="4E9C6AFD"/>
    <w:rsid w:val="4EA6488B"/>
    <w:rsid w:val="4EBD2838"/>
    <w:rsid w:val="4EEF7250"/>
    <w:rsid w:val="4F2669A3"/>
    <w:rsid w:val="4F2F2574"/>
    <w:rsid w:val="4F32AFB0"/>
    <w:rsid w:val="4F6EA7D6"/>
    <w:rsid w:val="4F740C6D"/>
    <w:rsid w:val="4F7D9614"/>
    <w:rsid w:val="4F825BBE"/>
    <w:rsid w:val="4F8F0596"/>
    <w:rsid w:val="4FB13BAC"/>
    <w:rsid w:val="4FBB189F"/>
    <w:rsid w:val="4FC52EF2"/>
    <w:rsid w:val="4FC58CA2"/>
    <w:rsid w:val="4FC7F283"/>
    <w:rsid w:val="4FCA531E"/>
    <w:rsid w:val="4FD7D504"/>
    <w:rsid w:val="4FF06B32"/>
    <w:rsid w:val="500B9166"/>
    <w:rsid w:val="50199E56"/>
    <w:rsid w:val="502A6D7C"/>
    <w:rsid w:val="50452772"/>
    <w:rsid w:val="504A4432"/>
    <w:rsid w:val="504C5029"/>
    <w:rsid w:val="50599BAA"/>
    <w:rsid w:val="50684C01"/>
    <w:rsid w:val="508FDE28"/>
    <w:rsid w:val="509B656B"/>
    <w:rsid w:val="50A9A9FB"/>
    <w:rsid w:val="50C25D4F"/>
    <w:rsid w:val="50C3BD27"/>
    <w:rsid w:val="50F0D39C"/>
    <w:rsid w:val="50F19AA4"/>
    <w:rsid w:val="50FC846D"/>
    <w:rsid w:val="5114C35B"/>
    <w:rsid w:val="513D74BC"/>
    <w:rsid w:val="5142C551"/>
    <w:rsid w:val="5146F0F5"/>
    <w:rsid w:val="5152EB92"/>
    <w:rsid w:val="515CA8A4"/>
    <w:rsid w:val="51645A16"/>
    <w:rsid w:val="51719081"/>
    <w:rsid w:val="51983C93"/>
    <w:rsid w:val="51B02A85"/>
    <w:rsid w:val="51BA670D"/>
    <w:rsid w:val="51D095B2"/>
    <w:rsid w:val="51E249C3"/>
    <w:rsid w:val="521D5235"/>
    <w:rsid w:val="522DF389"/>
    <w:rsid w:val="5234906F"/>
    <w:rsid w:val="526554BD"/>
    <w:rsid w:val="5284E3F8"/>
    <w:rsid w:val="52B4E84A"/>
    <w:rsid w:val="52C078B3"/>
    <w:rsid w:val="52C8CD82"/>
    <w:rsid w:val="52CC625C"/>
    <w:rsid w:val="52E66056"/>
    <w:rsid w:val="53019D16"/>
    <w:rsid w:val="5303451E"/>
    <w:rsid w:val="5315D1B4"/>
    <w:rsid w:val="5330FB0C"/>
    <w:rsid w:val="533450BD"/>
    <w:rsid w:val="5334FC31"/>
    <w:rsid w:val="533D8840"/>
    <w:rsid w:val="53475502"/>
    <w:rsid w:val="53675219"/>
    <w:rsid w:val="53713866"/>
    <w:rsid w:val="537917DD"/>
    <w:rsid w:val="537AFF35"/>
    <w:rsid w:val="538524AB"/>
    <w:rsid w:val="5385F454"/>
    <w:rsid w:val="5396C50A"/>
    <w:rsid w:val="539A9436"/>
    <w:rsid w:val="53AC211B"/>
    <w:rsid w:val="53AF3B36"/>
    <w:rsid w:val="53BB659B"/>
    <w:rsid w:val="53F49F5C"/>
    <w:rsid w:val="53F56D1F"/>
    <w:rsid w:val="53FA64E3"/>
    <w:rsid w:val="53FD4948"/>
    <w:rsid w:val="54224066"/>
    <w:rsid w:val="54421A02"/>
    <w:rsid w:val="54442420"/>
    <w:rsid w:val="545E3F0A"/>
    <w:rsid w:val="547FB484"/>
    <w:rsid w:val="548003F7"/>
    <w:rsid w:val="5491476F"/>
    <w:rsid w:val="54944036"/>
    <w:rsid w:val="549F202E"/>
    <w:rsid w:val="54B5F135"/>
    <w:rsid w:val="54C51ACF"/>
    <w:rsid w:val="54C8D953"/>
    <w:rsid w:val="54C9943A"/>
    <w:rsid w:val="54EFBC22"/>
    <w:rsid w:val="54F8213F"/>
    <w:rsid w:val="55291CBC"/>
    <w:rsid w:val="553650C8"/>
    <w:rsid w:val="553B1AAC"/>
    <w:rsid w:val="553D4ECE"/>
    <w:rsid w:val="553F9D1D"/>
    <w:rsid w:val="554A0009"/>
    <w:rsid w:val="554A0244"/>
    <w:rsid w:val="5556BDA0"/>
    <w:rsid w:val="555A32C7"/>
    <w:rsid w:val="55680C1B"/>
    <w:rsid w:val="557380B1"/>
    <w:rsid w:val="5581AFBF"/>
    <w:rsid w:val="5593418D"/>
    <w:rsid w:val="55934801"/>
    <w:rsid w:val="55B4E450"/>
    <w:rsid w:val="55BD53E4"/>
    <w:rsid w:val="55CDC16C"/>
    <w:rsid w:val="55E25BB6"/>
    <w:rsid w:val="565B06C8"/>
    <w:rsid w:val="565F5B4C"/>
    <w:rsid w:val="567BACB2"/>
    <w:rsid w:val="567D5B9B"/>
    <w:rsid w:val="56838CF2"/>
    <w:rsid w:val="5685D51B"/>
    <w:rsid w:val="568BA1A8"/>
    <w:rsid w:val="568DBE6C"/>
    <w:rsid w:val="56972710"/>
    <w:rsid w:val="56BEE2C7"/>
    <w:rsid w:val="56C115D6"/>
    <w:rsid w:val="56CAED3D"/>
    <w:rsid w:val="56D2AFCA"/>
    <w:rsid w:val="56DE3265"/>
    <w:rsid w:val="56E1D664"/>
    <w:rsid w:val="56F5DFE0"/>
    <w:rsid w:val="56FA1D7E"/>
    <w:rsid w:val="5705393F"/>
    <w:rsid w:val="5705966B"/>
    <w:rsid w:val="570B9AEF"/>
    <w:rsid w:val="571469D8"/>
    <w:rsid w:val="57290264"/>
    <w:rsid w:val="574393A6"/>
    <w:rsid w:val="578CC13E"/>
    <w:rsid w:val="57B72218"/>
    <w:rsid w:val="57DF97C6"/>
    <w:rsid w:val="57E4B3D6"/>
    <w:rsid w:val="57E7CF19"/>
    <w:rsid w:val="582AA803"/>
    <w:rsid w:val="586FC5E6"/>
    <w:rsid w:val="58758C01"/>
    <w:rsid w:val="58A0A85C"/>
    <w:rsid w:val="58A457DF"/>
    <w:rsid w:val="58B61A33"/>
    <w:rsid w:val="58B67440"/>
    <w:rsid w:val="58BE89CB"/>
    <w:rsid w:val="58C67907"/>
    <w:rsid w:val="58D81905"/>
    <w:rsid w:val="58E58B21"/>
    <w:rsid w:val="58FBC2DD"/>
    <w:rsid w:val="58FDEB66"/>
    <w:rsid w:val="590D4D8B"/>
    <w:rsid w:val="59198C5E"/>
    <w:rsid w:val="5932B18A"/>
    <w:rsid w:val="594A39D6"/>
    <w:rsid w:val="598707F7"/>
    <w:rsid w:val="5991DE39"/>
    <w:rsid w:val="5991F733"/>
    <w:rsid w:val="5993EE42"/>
    <w:rsid w:val="59BF1371"/>
    <w:rsid w:val="59C7C53F"/>
    <w:rsid w:val="59CBCF98"/>
    <w:rsid w:val="59D4E43E"/>
    <w:rsid w:val="59EBC3A9"/>
    <w:rsid w:val="59F1C173"/>
    <w:rsid w:val="5A01FDD8"/>
    <w:rsid w:val="5A0DE7C6"/>
    <w:rsid w:val="5A13CDFD"/>
    <w:rsid w:val="5A143423"/>
    <w:rsid w:val="5A296A44"/>
    <w:rsid w:val="5A48FE84"/>
    <w:rsid w:val="5A494C02"/>
    <w:rsid w:val="5A522E92"/>
    <w:rsid w:val="5A554794"/>
    <w:rsid w:val="5A971499"/>
    <w:rsid w:val="5A99812D"/>
    <w:rsid w:val="5A9F4FD9"/>
    <w:rsid w:val="5AADCA3A"/>
    <w:rsid w:val="5AC200AD"/>
    <w:rsid w:val="5AC84F5D"/>
    <w:rsid w:val="5B19F403"/>
    <w:rsid w:val="5B26EACA"/>
    <w:rsid w:val="5B30208C"/>
    <w:rsid w:val="5B440164"/>
    <w:rsid w:val="5B6A8AFC"/>
    <w:rsid w:val="5B6BB353"/>
    <w:rsid w:val="5B6C26B8"/>
    <w:rsid w:val="5B834DB4"/>
    <w:rsid w:val="5B85A63E"/>
    <w:rsid w:val="5B8C0C52"/>
    <w:rsid w:val="5B8FF93E"/>
    <w:rsid w:val="5B98474A"/>
    <w:rsid w:val="5B9A8FD6"/>
    <w:rsid w:val="5BB162E4"/>
    <w:rsid w:val="5BC778DB"/>
    <w:rsid w:val="5BD97D02"/>
    <w:rsid w:val="5BDF75D6"/>
    <w:rsid w:val="5BE08C3F"/>
    <w:rsid w:val="5BE5F60F"/>
    <w:rsid w:val="5BF507E5"/>
    <w:rsid w:val="5BF7C23C"/>
    <w:rsid w:val="5BFD30C6"/>
    <w:rsid w:val="5BFEAED3"/>
    <w:rsid w:val="5C05D807"/>
    <w:rsid w:val="5C24E4ED"/>
    <w:rsid w:val="5C3F2526"/>
    <w:rsid w:val="5C4CF2BC"/>
    <w:rsid w:val="5C598999"/>
    <w:rsid w:val="5C8008A1"/>
    <w:rsid w:val="5C94958E"/>
    <w:rsid w:val="5C976E9A"/>
    <w:rsid w:val="5CB75905"/>
    <w:rsid w:val="5CDA29F7"/>
    <w:rsid w:val="5CE02329"/>
    <w:rsid w:val="5CEE5100"/>
    <w:rsid w:val="5CF2B619"/>
    <w:rsid w:val="5D0DD57F"/>
    <w:rsid w:val="5D204963"/>
    <w:rsid w:val="5D2FC195"/>
    <w:rsid w:val="5D2FF93A"/>
    <w:rsid w:val="5D38B02B"/>
    <w:rsid w:val="5D4A3214"/>
    <w:rsid w:val="5D4B9392"/>
    <w:rsid w:val="5D6AC752"/>
    <w:rsid w:val="5D6D8C39"/>
    <w:rsid w:val="5D6E8CAE"/>
    <w:rsid w:val="5D817306"/>
    <w:rsid w:val="5D81BB61"/>
    <w:rsid w:val="5D936C54"/>
    <w:rsid w:val="5D9F4598"/>
    <w:rsid w:val="5DB30F8A"/>
    <w:rsid w:val="5DBD0B6C"/>
    <w:rsid w:val="5DE263ED"/>
    <w:rsid w:val="5DF84C8B"/>
    <w:rsid w:val="5E1E76A5"/>
    <w:rsid w:val="5E2830A3"/>
    <w:rsid w:val="5E30F4DC"/>
    <w:rsid w:val="5E35316E"/>
    <w:rsid w:val="5E389152"/>
    <w:rsid w:val="5E6A1518"/>
    <w:rsid w:val="5E6A20CE"/>
    <w:rsid w:val="5E737225"/>
    <w:rsid w:val="5EA403D7"/>
    <w:rsid w:val="5EBAEE02"/>
    <w:rsid w:val="5EC25DFF"/>
    <w:rsid w:val="5ED88326"/>
    <w:rsid w:val="5EDBCF68"/>
    <w:rsid w:val="5EFE6993"/>
    <w:rsid w:val="5F0897B5"/>
    <w:rsid w:val="5F095C7F"/>
    <w:rsid w:val="5F0FE1AE"/>
    <w:rsid w:val="5F171D4A"/>
    <w:rsid w:val="5F1BAF9B"/>
    <w:rsid w:val="5F35B13C"/>
    <w:rsid w:val="5F41C3DD"/>
    <w:rsid w:val="5F489EBF"/>
    <w:rsid w:val="5F5864E1"/>
    <w:rsid w:val="5F5B8A9A"/>
    <w:rsid w:val="5F937E01"/>
    <w:rsid w:val="5F9E7666"/>
    <w:rsid w:val="5FCD23AF"/>
    <w:rsid w:val="5FD20400"/>
    <w:rsid w:val="5FDEAA08"/>
    <w:rsid w:val="5FFA3DD9"/>
    <w:rsid w:val="600339A6"/>
    <w:rsid w:val="60042A3C"/>
    <w:rsid w:val="60059D05"/>
    <w:rsid w:val="600626C6"/>
    <w:rsid w:val="601594FB"/>
    <w:rsid w:val="60279BB9"/>
    <w:rsid w:val="60312E40"/>
    <w:rsid w:val="603534E2"/>
    <w:rsid w:val="603C202D"/>
    <w:rsid w:val="603D0696"/>
    <w:rsid w:val="6042B53A"/>
    <w:rsid w:val="60501E5E"/>
    <w:rsid w:val="606A112E"/>
    <w:rsid w:val="607AC09A"/>
    <w:rsid w:val="60896E31"/>
    <w:rsid w:val="60C8B7D2"/>
    <w:rsid w:val="60CC798F"/>
    <w:rsid w:val="60CDF0FF"/>
    <w:rsid w:val="60D5431E"/>
    <w:rsid w:val="60DFC33C"/>
    <w:rsid w:val="60FA61DC"/>
    <w:rsid w:val="6109DD09"/>
    <w:rsid w:val="6135DF0A"/>
    <w:rsid w:val="6136145A"/>
    <w:rsid w:val="613BDDC1"/>
    <w:rsid w:val="61444E36"/>
    <w:rsid w:val="61836A9A"/>
    <w:rsid w:val="618E2518"/>
    <w:rsid w:val="61900EE4"/>
    <w:rsid w:val="61956E85"/>
    <w:rsid w:val="61A28D7A"/>
    <w:rsid w:val="61A2B859"/>
    <w:rsid w:val="61B89370"/>
    <w:rsid w:val="61BF434C"/>
    <w:rsid w:val="61F6E43A"/>
    <w:rsid w:val="62099190"/>
    <w:rsid w:val="62191C5E"/>
    <w:rsid w:val="621E7B31"/>
    <w:rsid w:val="62262C20"/>
    <w:rsid w:val="622C6212"/>
    <w:rsid w:val="6235F6D2"/>
    <w:rsid w:val="623B6512"/>
    <w:rsid w:val="624A7F7A"/>
    <w:rsid w:val="624B3807"/>
    <w:rsid w:val="625A03C2"/>
    <w:rsid w:val="626D964C"/>
    <w:rsid w:val="62712BB2"/>
    <w:rsid w:val="6277681A"/>
    <w:rsid w:val="628D76E3"/>
    <w:rsid w:val="629F2250"/>
    <w:rsid w:val="62D30558"/>
    <w:rsid w:val="630B7B10"/>
    <w:rsid w:val="631A3977"/>
    <w:rsid w:val="631DC453"/>
    <w:rsid w:val="631FE3DB"/>
    <w:rsid w:val="632C713A"/>
    <w:rsid w:val="6332F982"/>
    <w:rsid w:val="633DB9C2"/>
    <w:rsid w:val="6377AA86"/>
    <w:rsid w:val="63918609"/>
    <w:rsid w:val="6391BF9B"/>
    <w:rsid w:val="6395A746"/>
    <w:rsid w:val="63D9868D"/>
    <w:rsid w:val="63E0DF31"/>
    <w:rsid w:val="63E5ADAC"/>
    <w:rsid w:val="63F8F54B"/>
    <w:rsid w:val="640AF7DC"/>
    <w:rsid w:val="64106CD2"/>
    <w:rsid w:val="641C9C66"/>
    <w:rsid w:val="645D0DC2"/>
    <w:rsid w:val="6486B26B"/>
    <w:rsid w:val="648E7583"/>
    <w:rsid w:val="64908718"/>
    <w:rsid w:val="64CEFFEC"/>
    <w:rsid w:val="64DCAAED"/>
    <w:rsid w:val="64F2522E"/>
    <w:rsid w:val="64F2BED4"/>
    <w:rsid w:val="652884E2"/>
    <w:rsid w:val="65477A4D"/>
    <w:rsid w:val="6559A63B"/>
    <w:rsid w:val="6563C17F"/>
    <w:rsid w:val="6564BE7F"/>
    <w:rsid w:val="657CF698"/>
    <w:rsid w:val="6586C3FE"/>
    <w:rsid w:val="659F0ABD"/>
    <w:rsid w:val="65AD27C6"/>
    <w:rsid w:val="65B17B1F"/>
    <w:rsid w:val="65DF924B"/>
    <w:rsid w:val="65DFBC62"/>
    <w:rsid w:val="65E58011"/>
    <w:rsid w:val="65F91D9B"/>
    <w:rsid w:val="65FF1749"/>
    <w:rsid w:val="661CD8F4"/>
    <w:rsid w:val="6625A249"/>
    <w:rsid w:val="668B71F3"/>
    <w:rsid w:val="669A1C22"/>
    <w:rsid w:val="669FF602"/>
    <w:rsid w:val="66B4AAB5"/>
    <w:rsid w:val="66C8D52D"/>
    <w:rsid w:val="66EE799D"/>
    <w:rsid w:val="6707F126"/>
    <w:rsid w:val="670F7916"/>
    <w:rsid w:val="6715F171"/>
    <w:rsid w:val="671AA4FE"/>
    <w:rsid w:val="67208785"/>
    <w:rsid w:val="6736D472"/>
    <w:rsid w:val="673A85DA"/>
    <w:rsid w:val="673B8662"/>
    <w:rsid w:val="6758299E"/>
    <w:rsid w:val="676325B8"/>
    <w:rsid w:val="677265B9"/>
    <w:rsid w:val="679CD062"/>
    <w:rsid w:val="67E4E6FD"/>
    <w:rsid w:val="67E5DD9F"/>
    <w:rsid w:val="67F4ED32"/>
    <w:rsid w:val="6812ED8F"/>
    <w:rsid w:val="6830E4B1"/>
    <w:rsid w:val="683A0FD2"/>
    <w:rsid w:val="683B954D"/>
    <w:rsid w:val="684C1880"/>
    <w:rsid w:val="6857EF0A"/>
    <w:rsid w:val="686420C5"/>
    <w:rsid w:val="6880EA3E"/>
    <w:rsid w:val="68840763"/>
    <w:rsid w:val="689AF095"/>
    <w:rsid w:val="68A5F078"/>
    <w:rsid w:val="68AA7BC6"/>
    <w:rsid w:val="68ADB760"/>
    <w:rsid w:val="68AE52E6"/>
    <w:rsid w:val="68AFD983"/>
    <w:rsid w:val="68C55A74"/>
    <w:rsid w:val="68C81435"/>
    <w:rsid w:val="68CDCFBF"/>
    <w:rsid w:val="68D16C93"/>
    <w:rsid w:val="68EA7413"/>
    <w:rsid w:val="691FD4E5"/>
    <w:rsid w:val="6931352B"/>
    <w:rsid w:val="694A7B31"/>
    <w:rsid w:val="6963569D"/>
    <w:rsid w:val="69722008"/>
    <w:rsid w:val="69867D79"/>
    <w:rsid w:val="69988BD7"/>
    <w:rsid w:val="69A2330C"/>
    <w:rsid w:val="69B304BD"/>
    <w:rsid w:val="69BFBD7C"/>
    <w:rsid w:val="69C5D599"/>
    <w:rsid w:val="69C6142E"/>
    <w:rsid w:val="69DFC2DD"/>
    <w:rsid w:val="69FCB1DA"/>
    <w:rsid w:val="6A07A86B"/>
    <w:rsid w:val="6A07F9D2"/>
    <w:rsid w:val="6A15742D"/>
    <w:rsid w:val="6A163B23"/>
    <w:rsid w:val="6A16DD1E"/>
    <w:rsid w:val="6A1C5C37"/>
    <w:rsid w:val="6A2AB7DB"/>
    <w:rsid w:val="6A3486F0"/>
    <w:rsid w:val="6A593947"/>
    <w:rsid w:val="6A5ED0BA"/>
    <w:rsid w:val="6A6A8CC8"/>
    <w:rsid w:val="6A6D781F"/>
    <w:rsid w:val="6A7BCA90"/>
    <w:rsid w:val="6A9BD22A"/>
    <w:rsid w:val="6A9D62A6"/>
    <w:rsid w:val="6AA6640A"/>
    <w:rsid w:val="6AAA5FE8"/>
    <w:rsid w:val="6AB7538E"/>
    <w:rsid w:val="6AC15E62"/>
    <w:rsid w:val="6ADA3847"/>
    <w:rsid w:val="6AFA37FD"/>
    <w:rsid w:val="6B563505"/>
    <w:rsid w:val="6B5C7856"/>
    <w:rsid w:val="6B614B55"/>
    <w:rsid w:val="6B701499"/>
    <w:rsid w:val="6B7B3929"/>
    <w:rsid w:val="6B880961"/>
    <w:rsid w:val="6BA374B3"/>
    <w:rsid w:val="6BC073C4"/>
    <w:rsid w:val="6BCFA383"/>
    <w:rsid w:val="6BDC6AB3"/>
    <w:rsid w:val="6BEFD514"/>
    <w:rsid w:val="6BF8FACF"/>
    <w:rsid w:val="6BFFBF01"/>
    <w:rsid w:val="6C275309"/>
    <w:rsid w:val="6C371AD3"/>
    <w:rsid w:val="6C3AB989"/>
    <w:rsid w:val="6C3D189F"/>
    <w:rsid w:val="6C464559"/>
    <w:rsid w:val="6C6363A2"/>
    <w:rsid w:val="6C6EF072"/>
    <w:rsid w:val="6C75FD00"/>
    <w:rsid w:val="6C78D697"/>
    <w:rsid w:val="6C8A5771"/>
    <w:rsid w:val="6C8EEA00"/>
    <w:rsid w:val="6CA3E6ED"/>
    <w:rsid w:val="6CACFD6E"/>
    <w:rsid w:val="6CB3F4B7"/>
    <w:rsid w:val="6CC2B276"/>
    <w:rsid w:val="6CD46EE1"/>
    <w:rsid w:val="6CE51CB1"/>
    <w:rsid w:val="6D07873A"/>
    <w:rsid w:val="6D0FCD6C"/>
    <w:rsid w:val="6D103146"/>
    <w:rsid w:val="6D1072FE"/>
    <w:rsid w:val="6D176F77"/>
    <w:rsid w:val="6D1A28C0"/>
    <w:rsid w:val="6D283F79"/>
    <w:rsid w:val="6D418135"/>
    <w:rsid w:val="6D4E3179"/>
    <w:rsid w:val="6D528495"/>
    <w:rsid w:val="6D5B3DA0"/>
    <w:rsid w:val="6D621E7F"/>
    <w:rsid w:val="6D662DB6"/>
    <w:rsid w:val="6D87BCE5"/>
    <w:rsid w:val="6D8C2419"/>
    <w:rsid w:val="6D9A8DF3"/>
    <w:rsid w:val="6D9B7F10"/>
    <w:rsid w:val="6D9E760B"/>
    <w:rsid w:val="6DADD365"/>
    <w:rsid w:val="6DAE4CA0"/>
    <w:rsid w:val="6DCF26D3"/>
    <w:rsid w:val="6DD74A26"/>
    <w:rsid w:val="6DE76F2C"/>
    <w:rsid w:val="6E0B9FA9"/>
    <w:rsid w:val="6E187D67"/>
    <w:rsid w:val="6E257337"/>
    <w:rsid w:val="6E2992BD"/>
    <w:rsid w:val="6E30D91B"/>
    <w:rsid w:val="6E37520D"/>
    <w:rsid w:val="6E3D6FBA"/>
    <w:rsid w:val="6E426284"/>
    <w:rsid w:val="6E5A78DD"/>
    <w:rsid w:val="6E68AB7E"/>
    <w:rsid w:val="6E6F4D60"/>
    <w:rsid w:val="6E77CCF9"/>
    <w:rsid w:val="6E8C0948"/>
    <w:rsid w:val="6E92C46D"/>
    <w:rsid w:val="6EC93EBF"/>
    <w:rsid w:val="6EEB7A45"/>
    <w:rsid w:val="6EFB43E7"/>
    <w:rsid w:val="6F02E424"/>
    <w:rsid w:val="6F17079F"/>
    <w:rsid w:val="6F1F72BD"/>
    <w:rsid w:val="6F25CE85"/>
    <w:rsid w:val="6F37830A"/>
    <w:rsid w:val="6F38D46E"/>
    <w:rsid w:val="6F46A808"/>
    <w:rsid w:val="6F569CE0"/>
    <w:rsid w:val="6F666D84"/>
    <w:rsid w:val="6F691D02"/>
    <w:rsid w:val="6F7A2E74"/>
    <w:rsid w:val="6F94C1EB"/>
    <w:rsid w:val="6F9A27F0"/>
    <w:rsid w:val="6FB3C0B8"/>
    <w:rsid w:val="6FB4484F"/>
    <w:rsid w:val="6FD7D8D0"/>
    <w:rsid w:val="6FE88428"/>
    <w:rsid w:val="6FF4F293"/>
    <w:rsid w:val="6FF685D3"/>
    <w:rsid w:val="701B4E09"/>
    <w:rsid w:val="7021CC80"/>
    <w:rsid w:val="7024797B"/>
    <w:rsid w:val="702D5F38"/>
    <w:rsid w:val="70399600"/>
    <w:rsid w:val="704BDAD3"/>
    <w:rsid w:val="7054F926"/>
    <w:rsid w:val="7058E738"/>
    <w:rsid w:val="70611432"/>
    <w:rsid w:val="706FE880"/>
    <w:rsid w:val="70820935"/>
    <w:rsid w:val="7090D34F"/>
    <w:rsid w:val="70AA6D57"/>
    <w:rsid w:val="70CE2A8C"/>
    <w:rsid w:val="70E7DACA"/>
    <w:rsid w:val="710832D8"/>
    <w:rsid w:val="710E99B4"/>
    <w:rsid w:val="712BC7DF"/>
    <w:rsid w:val="71416FF4"/>
    <w:rsid w:val="71533709"/>
    <w:rsid w:val="715908CD"/>
    <w:rsid w:val="7174EB52"/>
    <w:rsid w:val="7177D7A5"/>
    <w:rsid w:val="719919E6"/>
    <w:rsid w:val="71A557C1"/>
    <w:rsid w:val="71E19D11"/>
    <w:rsid w:val="7230CDC7"/>
    <w:rsid w:val="723875FF"/>
    <w:rsid w:val="72420F59"/>
    <w:rsid w:val="727783AD"/>
    <w:rsid w:val="72AFDC66"/>
    <w:rsid w:val="72D41BD6"/>
    <w:rsid w:val="72E24DBD"/>
    <w:rsid w:val="72E3E5C3"/>
    <w:rsid w:val="7314A861"/>
    <w:rsid w:val="7317B8EB"/>
    <w:rsid w:val="731BCFE4"/>
    <w:rsid w:val="73258170"/>
    <w:rsid w:val="73272BF1"/>
    <w:rsid w:val="733F2EE0"/>
    <w:rsid w:val="734CBFAC"/>
    <w:rsid w:val="73782617"/>
    <w:rsid w:val="737B1AD6"/>
    <w:rsid w:val="73A1B29E"/>
    <w:rsid w:val="73B24FAA"/>
    <w:rsid w:val="73B9BF85"/>
    <w:rsid w:val="73C92E31"/>
    <w:rsid w:val="742D6EC2"/>
    <w:rsid w:val="744406DD"/>
    <w:rsid w:val="748483E0"/>
    <w:rsid w:val="748EC203"/>
    <w:rsid w:val="7491E6C2"/>
    <w:rsid w:val="7492A770"/>
    <w:rsid w:val="74C8CB57"/>
    <w:rsid w:val="74DE9FBB"/>
    <w:rsid w:val="74EB619F"/>
    <w:rsid w:val="74F02062"/>
    <w:rsid w:val="74FC9949"/>
    <w:rsid w:val="750D09DE"/>
    <w:rsid w:val="750EAA5C"/>
    <w:rsid w:val="7518C1EF"/>
    <w:rsid w:val="7525232F"/>
    <w:rsid w:val="752BE587"/>
    <w:rsid w:val="753E0495"/>
    <w:rsid w:val="7541682F"/>
    <w:rsid w:val="7549CE55"/>
    <w:rsid w:val="754B091E"/>
    <w:rsid w:val="755D0A7C"/>
    <w:rsid w:val="75B6EA5C"/>
    <w:rsid w:val="75BA8E56"/>
    <w:rsid w:val="75BAF2C8"/>
    <w:rsid w:val="75BD038B"/>
    <w:rsid w:val="75BDFDA7"/>
    <w:rsid w:val="75D225DF"/>
    <w:rsid w:val="75F492F5"/>
    <w:rsid w:val="75F7CD8C"/>
    <w:rsid w:val="7606DE9E"/>
    <w:rsid w:val="76085117"/>
    <w:rsid w:val="760ED254"/>
    <w:rsid w:val="7632C9E2"/>
    <w:rsid w:val="76402F21"/>
    <w:rsid w:val="766474D8"/>
    <w:rsid w:val="7676BC95"/>
    <w:rsid w:val="76886F7A"/>
    <w:rsid w:val="768D3BCA"/>
    <w:rsid w:val="76AC4E18"/>
    <w:rsid w:val="76D572E2"/>
    <w:rsid w:val="76E119BD"/>
    <w:rsid w:val="76E52D22"/>
    <w:rsid w:val="76E5AA56"/>
    <w:rsid w:val="76F08080"/>
    <w:rsid w:val="770882E9"/>
    <w:rsid w:val="771AAC28"/>
    <w:rsid w:val="7728B6E6"/>
    <w:rsid w:val="772ADC9D"/>
    <w:rsid w:val="772EB621"/>
    <w:rsid w:val="773EE2AD"/>
    <w:rsid w:val="775484AC"/>
    <w:rsid w:val="775B9FB2"/>
    <w:rsid w:val="77814C1A"/>
    <w:rsid w:val="77A33549"/>
    <w:rsid w:val="77BD36C2"/>
    <w:rsid w:val="77C94DF6"/>
    <w:rsid w:val="77CB1F94"/>
    <w:rsid w:val="77D248BD"/>
    <w:rsid w:val="77DF6AF9"/>
    <w:rsid w:val="77DFF971"/>
    <w:rsid w:val="77E40654"/>
    <w:rsid w:val="780A5FE9"/>
    <w:rsid w:val="78109ECF"/>
    <w:rsid w:val="782A7886"/>
    <w:rsid w:val="784C59BB"/>
    <w:rsid w:val="78752A7A"/>
    <w:rsid w:val="7877E862"/>
    <w:rsid w:val="78888A32"/>
    <w:rsid w:val="78A725F2"/>
    <w:rsid w:val="78B025F5"/>
    <w:rsid w:val="78B079B6"/>
    <w:rsid w:val="78C00BC1"/>
    <w:rsid w:val="790C3245"/>
    <w:rsid w:val="790E02CF"/>
    <w:rsid w:val="791DB1F8"/>
    <w:rsid w:val="792FB6C3"/>
    <w:rsid w:val="79333869"/>
    <w:rsid w:val="7948D9DA"/>
    <w:rsid w:val="797F6DE4"/>
    <w:rsid w:val="7995CAAC"/>
    <w:rsid w:val="79AB5389"/>
    <w:rsid w:val="79BB32BE"/>
    <w:rsid w:val="79BB4129"/>
    <w:rsid w:val="79C3B065"/>
    <w:rsid w:val="79E03A88"/>
    <w:rsid w:val="79E0B9F7"/>
    <w:rsid w:val="7A09A4FC"/>
    <w:rsid w:val="7A3170D6"/>
    <w:rsid w:val="7A34FFC6"/>
    <w:rsid w:val="7A3E5E6B"/>
    <w:rsid w:val="7A55F78C"/>
    <w:rsid w:val="7AB692C0"/>
    <w:rsid w:val="7AB75F16"/>
    <w:rsid w:val="7AB8468A"/>
    <w:rsid w:val="7ACE99FD"/>
    <w:rsid w:val="7AD06EB1"/>
    <w:rsid w:val="7ADED25A"/>
    <w:rsid w:val="7B10CC32"/>
    <w:rsid w:val="7B14A935"/>
    <w:rsid w:val="7B1DC55E"/>
    <w:rsid w:val="7B257CAF"/>
    <w:rsid w:val="7B2B9E54"/>
    <w:rsid w:val="7B3AD805"/>
    <w:rsid w:val="7B43882A"/>
    <w:rsid w:val="7B46A2BE"/>
    <w:rsid w:val="7B5F33E8"/>
    <w:rsid w:val="7B6B4A5B"/>
    <w:rsid w:val="7B6C2E8F"/>
    <w:rsid w:val="7B7D84DA"/>
    <w:rsid w:val="7B8139D6"/>
    <w:rsid w:val="7B86D205"/>
    <w:rsid w:val="7B8A186D"/>
    <w:rsid w:val="7B95BB95"/>
    <w:rsid w:val="7BA2A9CF"/>
    <w:rsid w:val="7BBBC6EF"/>
    <w:rsid w:val="7BCC352C"/>
    <w:rsid w:val="7BE384C3"/>
    <w:rsid w:val="7BFBF614"/>
    <w:rsid w:val="7C00C9C0"/>
    <w:rsid w:val="7C147D04"/>
    <w:rsid w:val="7C606425"/>
    <w:rsid w:val="7C7169FA"/>
    <w:rsid w:val="7C8CFDB5"/>
    <w:rsid w:val="7C8D45C1"/>
    <w:rsid w:val="7CA2535A"/>
    <w:rsid w:val="7CAD3218"/>
    <w:rsid w:val="7CAE27E0"/>
    <w:rsid w:val="7CB26EC4"/>
    <w:rsid w:val="7CC34E13"/>
    <w:rsid w:val="7CD7286A"/>
    <w:rsid w:val="7CE80B25"/>
    <w:rsid w:val="7D069F06"/>
    <w:rsid w:val="7D1B23A2"/>
    <w:rsid w:val="7D3BB252"/>
    <w:rsid w:val="7D582570"/>
    <w:rsid w:val="7D6DE777"/>
    <w:rsid w:val="7D7399C9"/>
    <w:rsid w:val="7D7D6224"/>
    <w:rsid w:val="7D8448D9"/>
    <w:rsid w:val="7D898E59"/>
    <w:rsid w:val="7D8EF4D5"/>
    <w:rsid w:val="7DA1206D"/>
    <w:rsid w:val="7DA3DD70"/>
    <w:rsid w:val="7DA61A96"/>
    <w:rsid w:val="7DB16B1A"/>
    <w:rsid w:val="7DC1BACA"/>
    <w:rsid w:val="7DC2E164"/>
    <w:rsid w:val="7DED9A89"/>
    <w:rsid w:val="7DF4CB74"/>
    <w:rsid w:val="7DF9EF69"/>
    <w:rsid w:val="7E0434AA"/>
    <w:rsid w:val="7E0846D0"/>
    <w:rsid w:val="7E09FB93"/>
    <w:rsid w:val="7E3B73B2"/>
    <w:rsid w:val="7E449282"/>
    <w:rsid w:val="7E4B5606"/>
    <w:rsid w:val="7E4E0CC5"/>
    <w:rsid w:val="7E855835"/>
    <w:rsid w:val="7EA432D3"/>
    <w:rsid w:val="7EB10875"/>
    <w:rsid w:val="7EBB3CF8"/>
    <w:rsid w:val="7ED3B488"/>
    <w:rsid w:val="7EDBC904"/>
    <w:rsid w:val="7F02FEF0"/>
    <w:rsid w:val="7F08DC11"/>
    <w:rsid w:val="7F143F89"/>
    <w:rsid w:val="7F189430"/>
    <w:rsid w:val="7F18B3AE"/>
    <w:rsid w:val="7F35B50D"/>
    <w:rsid w:val="7F486C33"/>
    <w:rsid w:val="7F550757"/>
    <w:rsid w:val="7F5A164F"/>
    <w:rsid w:val="7F66AC7A"/>
    <w:rsid w:val="7F72831B"/>
    <w:rsid w:val="7F73D6DB"/>
    <w:rsid w:val="7F780A97"/>
    <w:rsid w:val="7F8E7C2C"/>
    <w:rsid w:val="7FA8F16C"/>
    <w:rsid w:val="7FAA90F3"/>
    <w:rsid w:val="7FAD572C"/>
    <w:rsid w:val="7FC5E24F"/>
    <w:rsid w:val="7FC83F38"/>
    <w:rsid w:val="7FCB710D"/>
    <w:rsid w:val="7FE53628"/>
    <w:rsid w:val="7FE61D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50C9"/>
  <w15:docId w15:val="{652C2FAC-3AE4-414B-A297-961867542A5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ar-SA"/>
      </w:rPr>
    </w:rPrDefault>
    <w:pPrDefault>
      <w:pPr>
        <w:spacing w:line="360"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635872"/>
    <w:rPr>
      <w:rFonts w:ascii="Bookman Old Style" w:eastAsia="Bookman Old Style" w:hAnsi="Bookman Old Style" w:cs="Bookman Old Style"/>
    </w:rPr>
  </w:style>
  <w:style w:type="paragraph" w:styleId="Heading1">
    <w:name w:val="heading 1"/>
    <w:link w:val="Heading1Char"/>
    <w:uiPriority w:val="9"/>
    <w:qFormat/>
    <w:rsid w:val="007B6202"/>
    <w:pPr>
      <w:spacing w:before="120" w:after="120"/>
      <w:outlineLvl w:val="0"/>
    </w:pPr>
    <w:rPr>
      <w:rFonts w:ascii="Bookman Old Style" w:eastAsia="Bookman Old Style" w:hAnsi="Bookman Old Style" w:cs="Bookman Old Style"/>
      <w:b/>
      <w:color w:val="2F5496" w:themeColor="accent1" w:themeShade="BF"/>
      <w:sz w:val="34"/>
      <w:szCs w:val="32"/>
    </w:rPr>
  </w:style>
  <w:style w:type="paragraph" w:styleId="Heading2">
    <w:name w:val="heading 2"/>
    <w:next w:val="Normal"/>
    <w:link w:val="Heading2Char"/>
    <w:uiPriority w:val="9"/>
    <w:unhideWhenUsed/>
    <w:qFormat/>
    <w:rsid w:val="00774C54"/>
    <w:pPr>
      <w:spacing w:before="120" w:after="120"/>
      <w:outlineLvl w:val="1"/>
    </w:pPr>
    <w:rPr>
      <w:rFonts w:ascii="Bookman Old Style" w:eastAsia="Bookman Old Style" w:hAnsi="Bookman Old Style" w:cs="Bookman Old Style"/>
      <w:b/>
      <w:color w:val="2F5496" w:themeColor="accent1" w:themeShade="BF"/>
      <w:sz w:val="28"/>
      <w:szCs w:val="26"/>
    </w:rPr>
  </w:style>
  <w:style w:type="paragraph" w:styleId="Heading3">
    <w:name w:val="heading 3"/>
    <w:link w:val="Heading3Char"/>
    <w:uiPriority w:val="9"/>
    <w:unhideWhenUsed/>
    <w:qFormat/>
    <w:rsid w:val="008E4640"/>
    <w:pPr>
      <w:spacing w:before="240" w:after="240"/>
      <w:outlineLvl w:val="2"/>
    </w:pPr>
    <w:rPr>
      <w:rFonts w:ascii="Bookman Old Style" w:eastAsia="Bookman Old Style" w:hAnsi="Bookman Old Style" w:cs="Bookman Old Style"/>
      <w:b/>
      <w:color w:val="2F5496" w:themeColor="accent1" w:themeShade="BF"/>
      <w:sz w:val="26"/>
      <w:szCs w:val="24"/>
    </w:rPr>
  </w:style>
  <w:style w:type="paragraph" w:styleId="Heading4">
    <w:name w:val="heading 4"/>
    <w:uiPriority w:val="9"/>
    <w:unhideWhenUsed/>
    <w:qFormat/>
    <w:rsid w:val="00EC0C59"/>
    <w:pPr>
      <w:spacing w:before="240" w:after="240"/>
      <w:outlineLvl w:val="3"/>
    </w:pPr>
    <w:rPr>
      <w:rFonts w:ascii="Bookman Old Style" w:eastAsia="Bookman Old Style" w:hAnsi="Bookman Old Style" w:cs="Bookman Old Style"/>
      <w:b/>
      <w:iCs/>
      <w:color w:val="000000" w:themeColor="text1"/>
      <w:u w:val="single"/>
    </w:rPr>
  </w:style>
  <w:style w:type="paragraph" w:styleId="Heading5">
    <w:name w:val="heading 5"/>
    <w:uiPriority w:val="9"/>
    <w:semiHidden/>
    <w:unhideWhenUsed/>
    <w:qFormat/>
    <w:pPr>
      <w:outlineLvl w:val="4"/>
    </w:pPr>
    <w:rPr>
      <w:rFonts w:ascii="Bookman Old Style" w:eastAsia="Bookman Old Style" w:hAnsi="Bookman Old Style" w:cs="Bookman Old Style"/>
      <w:color w:val="2E74B5"/>
    </w:rPr>
  </w:style>
  <w:style w:type="paragraph" w:styleId="Heading6">
    <w:name w:val="heading 6"/>
    <w:uiPriority w:val="9"/>
    <w:semiHidden/>
    <w:unhideWhenUsed/>
    <w:qFormat/>
    <w:pPr>
      <w:outlineLvl w:val="5"/>
    </w:pPr>
    <w:rPr>
      <w:rFonts w:ascii="Bookman Old Style" w:eastAsia="Bookman Old Style" w:hAnsi="Bookman Old Style" w:cs="Bookman Old Style"/>
      <w:color w:val="1F4D78"/>
    </w:rPr>
  </w:style>
  <w:style w:type="paragraph" w:styleId="Heading9">
    <w:name w:val="heading 9"/>
    <w:basedOn w:val="Normal"/>
    <w:next w:val="Normal"/>
    <w:uiPriority w:val="9"/>
    <w:unhideWhenUsed/>
    <w:qFormat/>
    <w:rsid w:val="11C080E7"/>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Bookman Old Style" w:eastAsia="Bookman Old Style" w:hAnsi="Bookman Old Style" w:cs="Bookman Old Style"/>
      <w:sz w:val="56"/>
      <w:szCs w:val="56"/>
    </w:rPr>
  </w:style>
  <w:style w:type="paragraph" w:customStyle="1" w:styleId="Strong1">
    <w:name w:val="Strong1"/>
    <w:qFormat/>
    <w:rPr>
      <w:rFonts w:ascii="Bookman Old Style" w:eastAsia="Bookman Old Style" w:hAnsi="Bookman Old Style" w:cs="Bookman Old Style"/>
      <w:b/>
      <w:bCs/>
    </w:rPr>
  </w:style>
  <w:style w:type="paragraph" w:styleId="ListParagraph">
    <w:name w:val="List Paragraph"/>
    <w:qFormat/>
    <w:rPr>
      <w:rFonts w:ascii="Bookman Old Style" w:eastAsia="Bookman Old Style" w:hAnsi="Bookman Old Style" w:cs="Bookman Old Style"/>
    </w:rPr>
  </w:style>
  <w:style w:type="character" w:styleId="Hyperlink">
    <w:name w:val="Hyperlink"/>
    <w:uiPriority w:val="99"/>
    <w:unhideWhenUsed/>
    <w:rPr>
      <w:rFonts w:ascii="Bookman Old Style" w:eastAsia="Bookman Old Style" w:hAnsi="Bookman Old Style" w:cs="Bookman Old Style"/>
      <w:color w:val="0563C1"/>
      <w:u w:val="single"/>
    </w:rPr>
  </w:style>
  <w:style w:type="character" w:styleId="FootnoteReference">
    <w:name w:val="footnote reference"/>
    <w:uiPriority w:val="99"/>
    <w:semiHidden/>
    <w:unhideWhenUsed/>
    <w:rPr>
      <w:rFonts w:ascii="Bookman Old Style" w:eastAsia="Bookman Old Style" w:hAnsi="Bookman Old Style" w:cs="Bookman Old Style"/>
      <w:vertAlign w:val="superscript"/>
    </w:rPr>
  </w:style>
  <w:style w:type="paragraph" w:styleId="FootnoteText">
    <w:name w:val="footnote text"/>
    <w:link w:val="FootnoteTextChar"/>
    <w:uiPriority w:val="99"/>
    <w:semiHidden/>
    <w:unhideWhenUsed/>
    <w:rPr>
      <w:rFonts w:ascii="Bookman Old Style" w:eastAsia="Bookman Old Style" w:hAnsi="Bookman Old Style" w:cs="Bookman Old Style"/>
      <w:sz w:val="20"/>
      <w:szCs w:val="20"/>
    </w:rPr>
  </w:style>
  <w:style w:type="character" w:customStyle="1" w:styleId="FootnoteTextChar">
    <w:name w:val="Footnote Text Char"/>
    <w:link w:val="FootnoteText"/>
    <w:uiPriority w:val="99"/>
    <w:semiHidden/>
    <w:unhideWhenUsed/>
    <w:rPr>
      <w:rFonts w:ascii="Bookman Old Style" w:eastAsia="Bookman Old Style" w:hAnsi="Bookman Old Style" w:cs="Bookman Old Style"/>
      <w:sz w:val="20"/>
      <w:szCs w:val="20"/>
    </w:rPr>
  </w:style>
  <w:style w:type="paragraph" w:customStyle="1" w:styleId="heading10">
    <w:name w:val="heading 10"/>
    <w:qFormat/>
    <w:pPr>
      <w:spacing w:before="360" w:after="180"/>
      <w:outlineLvl w:val="0"/>
    </w:pPr>
    <w:rPr>
      <w:rFonts w:ascii="Bookman Old Style" w:eastAsia="Bookman Old Style" w:hAnsi="Bookman Old Style" w:cs="Bookman Old Style"/>
      <w:b/>
      <w:bCs/>
      <w:color w:val="1F4E79"/>
      <w:sz w:val="30"/>
      <w:szCs w:val="30"/>
    </w:rPr>
  </w:style>
  <w:style w:type="paragraph" w:customStyle="1" w:styleId="heading20">
    <w:name w:val="heading 20"/>
    <w:qFormat/>
    <w:pPr>
      <w:spacing w:before="260" w:after="120"/>
      <w:outlineLvl w:val="1"/>
    </w:pPr>
    <w:rPr>
      <w:rFonts w:ascii="Bookman Old Style" w:eastAsia="Bookman Old Style" w:hAnsi="Bookman Old Style" w:cs="Bookman Old Style"/>
      <w:b/>
      <w:bCs/>
      <w:color w:val="2E75B6"/>
      <w:sz w:val="24"/>
      <w:szCs w:val="24"/>
    </w:rPr>
  </w:style>
  <w:style w:type="paragraph" w:styleId="TOC1">
    <w:name w:val="toc 1"/>
    <w:basedOn w:val="Normal"/>
    <w:next w:val="Normal"/>
    <w:uiPriority w:val="39"/>
    <w:unhideWhenUsed/>
    <w:rsid w:val="005237C8"/>
    <w:pPr>
      <w:spacing w:before="240" w:after="240"/>
    </w:pPr>
    <w:rPr>
      <w:rFonts w:cstheme="minorHAnsi"/>
      <w:b/>
      <w:bCs/>
      <w:caps/>
      <w:sz w:val="20"/>
      <w:szCs w:val="20"/>
    </w:rPr>
  </w:style>
  <w:style w:type="paragraph" w:styleId="TOC2">
    <w:name w:val="toc 2"/>
    <w:basedOn w:val="Normal"/>
    <w:next w:val="Normal"/>
    <w:uiPriority w:val="39"/>
    <w:unhideWhenUsed/>
    <w:rsid w:val="005237C8"/>
    <w:pPr>
      <w:spacing w:before="120" w:after="120"/>
      <w:ind w:left="220"/>
    </w:pPr>
    <w:rPr>
      <w:rFonts w:cstheme="minorHAnsi"/>
      <w:smallCaps/>
      <w:sz w:val="20"/>
      <w:szCs w:val="20"/>
    </w:rPr>
  </w:style>
  <w:style w:type="table" w:styleId="TableGrid">
    <w:name w:val="Table Grid"/>
    <w:basedOn w:val="TableNormal"/>
    <w:uiPriority w:val="59"/>
    <w:rsid w:val="00FB4123"/>
    <w:rPr>
      <w:rFonts w:ascii="Bookman Old Style" w:eastAsia="Bookman Old Style" w:hAnsi="Bookman Old Style" w:cs="Bookman Old Styl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rPr>
      <w:rFonts w:ascii="Bookman Old Style" w:eastAsia="Bookman Old Style" w:hAnsi="Bookman Old Style" w:cs="Bookman Old Styl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uiPriority w:val="99"/>
    <w:semiHidden/>
    <w:unhideWhenUsed/>
    <w:rsid w:val="29CD1B6A"/>
    <w:rPr>
      <w:sz w:val="20"/>
      <w:szCs w:val="20"/>
    </w:rPr>
  </w:style>
  <w:style w:type="character" w:styleId="EndnoteReference">
    <w:name w:val="endnote reference"/>
    <w:basedOn w:val="DefaultParagraphFont"/>
    <w:uiPriority w:val="99"/>
    <w:semiHidden/>
    <w:unhideWhenUsed/>
    <w:rsid w:val="29CD1B6A"/>
    <w:rPr>
      <w:rFonts w:ascii="Bookman Old Style" w:eastAsia="Bookman Old Style" w:hAnsi="Bookman Old Style" w:cs="Bookman Old Style"/>
      <w:vertAlign w:val="superscript"/>
    </w:rPr>
  </w:style>
  <w:style w:type="paragraph" w:styleId="TOC3">
    <w:name w:val="toc 3"/>
    <w:basedOn w:val="Normal"/>
    <w:next w:val="Normal"/>
    <w:uiPriority w:val="39"/>
    <w:unhideWhenUsed/>
    <w:rsid w:val="000B52D0"/>
    <w:pPr>
      <w:ind w:left="440"/>
    </w:pPr>
    <w:rPr>
      <w:rFonts w:cstheme="minorHAnsi"/>
      <w:i/>
      <w:i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Bookman Old Style" w:eastAsia="Bookman Old Style" w:hAnsi="Bookman Old Style" w:cs="Bookman Old Style"/>
      <w:sz w:val="20"/>
      <w:szCs w:val="20"/>
    </w:rPr>
  </w:style>
  <w:style w:type="character" w:styleId="CommentReference">
    <w:name w:val="annotation reference"/>
    <w:basedOn w:val="DefaultParagraphFont"/>
    <w:uiPriority w:val="99"/>
    <w:semiHidden/>
    <w:unhideWhenUsed/>
    <w:rPr>
      <w:rFonts w:ascii="Bookman Old Style" w:eastAsia="Bookman Old Style" w:hAnsi="Bookman Old Style" w:cs="Bookman Old Style"/>
      <w:sz w:val="16"/>
      <w:szCs w:val="16"/>
    </w:rPr>
  </w:style>
  <w:style w:type="paragraph" w:styleId="BalloonText">
    <w:name w:val="Balloon Text"/>
    <w:basedOn w:val="Normal"/>
    <w:link w:val="BalloonTextChar"/>
    <w:uiPriority w:val="99"/>
    <w:semiHidden/>
    <w:unhideWhenUsed/>
    <w:rsid w:val="006618CF"/>
    <w:rPr>
      <w:sz w:val="18"/>
      <w:szCs w:val="18"/>
    </w:rPr>
  </w:style>
  <w:style w:type="character" w:customStyle="1" w:styleId="BalloonTextChar">
    <w:name w:val="Balloon Text Char"/>
    <w:basedOn w:val="DefaultParagraphFont"/>
    <w:link w:val="BalloonText"/>
    <w:uiPriority w:val="99"/>
    <w:semiHidden/>
    <w:rsid w:val="006618CF"/>
    <w:rPr>
      <w:rFonts w:ascii="Bookman Old Style" w:eastAsia="Bookman Old Style" w:hAnsi="Bookman Old Style" w:cs="Bookman Old Style"/>
      <w:sz w:val="18"/>
      <w:szCs w:val="18"/>
    </w:rPr>
  </w:style>
  <w:style w:type="paragraph" w:styleId="CommentSubject">
    <w:name w:val="annotation subject"/>
    <w:basedOn w:val="CommentText"/>
    <w:next w:val="CommentText"/>
    <w:link w:val="CommentSubjectChar"/>
    <w:uiPriority w:val="99"/>
    <w:semiHidden/>
    <w:unhideWhenUsed/>
    <w:rsid w:val="0035627B"/>
    <w:rPr>
      <w:b/>
      <w:bCs/>
    </w:rPr>
  </w:style>
  <w:style w:type="character" w:customStyle="1" w:styleId="CommentSubjectChar">
    <w:name w:val="Comment Subject Char"/>
    <w:basedOn w:val="CommentTextChar"/>
    <w:link w:val="CommentSubject"/>
    <w:uiPriority w:val="99"/>
    <w:semiHidden/>
    <w:rsid w:val="0035627B"/>
    <w:rPr>
      <w:rFonts w:ascii="Bookman Old Style" w:eastAsia="Bookman Old Style" w:hAnsi="Bookman Old Style" w:cs="Bookman Old Style"/>
      <w:b/>
      <w:bCs/>
      <w:sz w:val="20"/>
      <w:szCs w:val="20"/>
    </w:rPr>
  </w:style>
  <w:style w:type="character" w:styleId="Emphasis">
    <w:name w:val="Emphasis"/>
    <w:basedOn w:val="DefaultParagraphFont"/>
    <w:uiPriority w:val="20"/>
    <w:qFormat/>
    <w:rsid w:val="00D62D4C"/>
    <w:rPr>
      <w:rFonts w:ascii="Bookman Old Style" w:eastAsia="Bookman Old Style" w:hAnsi="Bookman Old Style" w:cs="Bookman Old Style"/>
      <w:i/>
      <w:iCs/>
    </w:rPr>
  </w:style>
  <w:style w:type="paragraph" w:customStyle="1" w:styleId="font-claude-response-body">
    <w:name w:val="font-claude-response-body"/>
    <w:basedOn w:val="Normal"/>
    <w:rsid w:val="00EA235F"/>
    <w:pPr>
      <w:spacing w:before="100" w:beforeAutospacing="1" w:after="100" w:afterAutospacing="1"/>
    </w:pPr>
    <w:rPr>
      <w:sz w:val="24"/>
      <w:szCs w:val="24"/>
      <w:lang w:val="en-GB" w:eastAsia="en-GB"/>
    </w:rPr>
  </w:style>
  <w:style w:type="character" w:styleId="Strong">
    <w:name w:val="Strong"/>
    <w:basedOn w:val="DefaultParagraphFont"/>
    <w:uiPriority w:val="22"/>
    <w:qFormat/>
    <w:rsid w:val="00EA235F"/>
    <w:rPr>
      <w:rFonts w:ascii="Bookman Old Style" w:eastAsia="Bookman Old Style" w:hAnsi="Bookman Old Style" w:cs="Bookman Old Style"/>
      <w:b/>
      <w:bCs/>
    </w:rPr>
  </w:style>
  <w:style w:type="character" w:styleId="HTMLCode">
    <w:name w:val="HTML Code"/>
    <w:basedOn w:val="DefaultParagraphFont"/>
    <w:uiPriority w:val="99"/>
    <w:semiHidden/>
    <w:unhideWhenUsed/>
    <w:rsid w:val="00EA235F"/>
    <w:rPr>
      <w:rFonts w:ascii="Bookman Old Style" w:eastAsia="Bookman Old Style" w:hAnsi="Bookman Old Style" w:cs="Bookman Old Style"/>
      <w:sz w:val="20"/>
      <w:szCs w:val="20"/>
    </w:rPr>
  </w:style>
  <w:style w:type="paragraph" w:styleId="Header">
    <w:name w:val="header"/>
    <w:basedOn w:val="Normal"/>
    <w:uiPriority w:val="99"/>
    <w:unhideWhenUsed/>
    <w:rsid w:val="7D3BB252"/>
    <w:pPr>
      <w:tabs>
        <w:tab w:val="center" w:pos="4680"/>
        <w:tab w:val="right" w:pos="9360"/>
      </w:tabs>
    </w:pPr>
  </w:style>
  <w:style w:type="paragraph" w:styleId="Footer">
    <w:name w:val="footer"/>
    <w:basedOn w:val="Normal"/>
    <w:link w:val="FooterChar"/>
    <w:uiPriority w:val="99"/>
    <w:unhideWhenUsed/>
    <w:rsid w:val="7D3BB252"/>
    <w:pPr>
      <w:tabs>
        <w:tab w:val="center" w:pos="4680"/>
        <w:tab w:val="right" w:pos="9360"/>
      </w:tabs>
    </w:pPr>
  </w:style>
  <w:style w:type="character" w:customStyle="1" w:styleId="Heading3Char">
    <w:name w:val="Heading 3 Char"/>
    <w:basedOn w:val="DefaultParagraphFont"/>
    <w:link w:val="Heading3"/>
    <w:uiPriority w:val="9"/>
    <w:rsid w:val="008E4640"/>
    <w:rPr>
      <w:rFonts w:ascii="Bookman Old Style" w:eastAsia="Bookman Old Style" w:hAnsi="Bookman Old Style" w:cs="Bookman Old Style"/>
      <w:b/>
      <w:color w:val="2F5496" w:themeColor="accent1" w:themeShade="BF"/>
      <w:sz w:val="26"/>
      <w:szCs w:val="24"/>
    </w:rPr>
  </w:style>
  <w:style w:type="table" w:styleId="PlainTable1">
    <w:name w:val="Plain Table 1"/>
    <w:basedOn w:val="TableNormal"/>
    <w:uiPriority w:val="41"/>
    <w:rsid w:val="00C234E1"/>
    <w:rPr>
      <w:rFonts w:ascii="Bookman Old Style" w:eastAsia="Bookman Old Style" w:hAnsi="Bookman Old Style" w:cs="Bookman Old Styl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qFormat/>
    <w:rsid w:val="00481AC3"/>
    <w:pPr>
      <w:widowControl w:val="0"/>
      <w:autoSpaceDE w:val="0"/>
      <w:autoSpaceDN w:val="0"/>
      <w:spacing w:before="35"/>
    </w:pPr>
    <w:rPr>
      <w:sz w:val="20"/>
      <w:szCs w:val="20"/>
      <w:lang w:eastAsia="en-US"/>
    </w:rPr>
  </w:style>
  <w:style w:type="character" w:styleId="PageNumber">
    <w:name w:val="page number"/>
    <w:basedOn w:val="DefaultParagraphFont"/>
    <w:uiPriority w:val="99"/>
    <w:semiHidden/>
    <w:unhideWhenUsed/>
    <w:rsid w:val="003E5402"/>
    <w:rPr>
      <w:rFonts w:ascii="Bookman Old Style" w:eastAsia="Bookman Old Style" w:hAnsi="Bookman Old Style" w:cs="Bookman Old Style"/>
    </w:rPr>
  </w:style>
  <w:style w:type="character" w:customStyle="1" w:styleId="FooterChar">
    <w:name w:val="Footer Char"/>
    <w:basedOn w:val="DefaultParagraphFont"/>
    <w:link w:val="Footer"/>
    <w:uiPriority w:val="99"/>
    <w:rsid w:val="003E5402"/>
    <w:rPr>
      <w:rFonts w:ascii="Bookman Old Style" w:eastAsia="Bookman Old Style" w:hAnsi="Bookman Old Style" w:cs="Bookman Old Style"/>
    </w:rPr>
  </w:style>
  <w:style w:type="paragraph" w:styleId="TOCHeading">
    <w:name w:val="TOC Heading"/>
    <w:next w:val="Normal"/>
    <w:uiPriority w:val="39"/>
    <w:unhideWhenUsed/>
    <w:qFormat/>
    <w:rsid w:val="004A28DD"/>
    <w:pPr>
      <w:spacing w:before="120" w:after="120"/>
    </w:pPr>
    <w:rPr>
      <w:rFonts w:ascii="Bookman Old Style" w:eastAsia="Bookman Old Style" w:hAnsi="Bookman Old Style" w:cs="Bookman Old Style"/>
      <w:b/>
      <w:color w:val="2F5496" w:themeColor="accent1" w:themeShade="BF"/>
      <w:sz w:val="34"/>
      <w:szCs w:val="32"/>
    </w:rPr>
  </w:style>
  <w:style w:type="paragraph" w:styleId="TOC4">
    <w:name w:val="toc 4"/>
    <w:basedOn w:val="Normal"/>
    <w:next w:val="Normal"/>
    <w:autoRedefine/>
    <w:uiPriority w:val="39"/>
    <w:semiHidden/>
    <w:unhideWhenUsed/>
    <w:rsid w:val="008C320A"/>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C320A"/>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C320A"/>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C320A"/>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C320A"/>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C320A"/>
    <w:pPr>
      <w:ind w:left="1760"/>
    </w:pPr>
    <w:rPr>
      <w:rFonts w:asciiTheme="minorHAnsi" w:hAnsiTheme="minorHAnsi" w:cstheme="minorHAnsi"/>
      <w:sz w:val="18"/>
      <w:szCs w:val="18"/>
    </w:rPr>
  </w:style>
  <w:style w:type="paragraph" w:customStyle="1" w:styleId="Paragraph">
    <w:name w:val="Paragraph"/>
    <w:qFormat/>
    <w:rsid w:val="00F737DD"/>
    <w:pPr>
      <w:spacing w:before="1" w:after="240"/>
      <w:jc w:val="both"/>
    </w:pPr>
    <w:rPr>
      <w:rFonts w:ascii="Bookman Old Style" w:eastAsia="Bookman Old Style" w:hAnsi="Bookman Old Style" w:cs="Bookman Old Style"/>
      <w:sz w:val="24"/>
      <w:szCs w:val="24"/>
      <w:lang w:val="en-MY"/>
    </w:rPr>
  </w:style>
  <w:style w:type="character" w:customStyle="1" w:styleId="Heading1Char">
    <w:name w:val="Heading 1 Char"/>
    <w:basedOn w:val="DefaultParagraphFont"/>
    <w:link w:val="Heading1"/>
    <w:uiPriority w:val="9"/>
    <w:rsid w:val="00993937"/>
    <w:rPr>
      <w:rFonts w:ascii="Bookman Old Style" w:eastAsia="Bookman Old Style" w:hAnsi="Bookman Old Style" w:cs="Bookman Old Style"/>
      <w:b/>
      <w:color w:val="2F5496" w:themeColor="accent1" w:themeShade="BF"/>
      <w:sz w:val="34"/>
      <w:szCs w:val="32"/>
    </w:rPr>
  </w:style>
  <w:style w:type="paragraph" w:styleId="Caption">
    <w:name w:val="caption"/>
    <w:basedOn w:val="Normal"/>
    <w:next w:val="Normal"/>
    <w:uiPriority w:val="35"/>
    <w:unhideWhenUsed/>
    <w:qFormat/>
    <w:rsid w:val="00B84D1F"/>
    <w:pPr>
      <w:keepNext/>
      <w:spacing w:after="200"/>
    </w:pPr>
    <w:rPr>
      <w:i/>
      <w:iCs/>
      <w:color w:val="2F5496" w:themeColor="accent1" w:themeShade="BF"/>
      <w:sz w:val="20"/>
      <w:szCs w:val="18"/>
    </w:rPr>
  </w:style>
  <w:style w:type="paragraph" w:styleId="TableofFigures">
    <w:name w:val="table of figures"/>
    <w:basedOn w:val="Normal"/>
    <w:next w:val="Normal"/>
    <w:uiPriority w:val="99"/>
    <w:unhideWhenUsed/>
    <w:rsid w:val="00CA18E9"/>
    <w:pPr>
      <w:spacing w:before="120" w:after="120"/>
    </w:pPr>
  </w:style>
  <w:style w:type="character" w:customStyle="1" w:styleId="Heading2Char">
    <w:name w:val="Heading 2 Char"/>
    <w:basedOn w:val="DefaultParagraphFont"/>
    <w:link w:val="Heading2"/>
    <w:uiPriority w:val="9"/>
    <w:rsid w:val="00635872"/>
    <w:rPr>
      <w:rFonts w:ascii="Bookman Old Style" w:eastAsia="Bookman Old Style" w:hAnsi="Bookman Old Style" w:cs="Bookman Old Style"/>
      <w:b/>
      <w:color w:val="2F5496" w:themeColor="accent1" w:themeShade="BF"/>
      <w:sz w:val="28"/>
      <w:szCs w:val="26"/>
    </w:rPr>
  </w:style>
  <w:style w:type="table" w:styleId="GridTable1Light-Accent1">
    <w:name w:val="Grid Table 1 Light Accent 1"/>
    <w:basedOn w:val="TableNormal"/>
    <w:uiPriority w:val="46"/>
    <w:rsid w:val="003F4D2D"/>
    <w:rPr>
      <w:rFonts w:ascii="Bookman Old Style" w:eastAsia="Bookman Old Style" w:hAnsi="Bookman Old Style" w:cs="Bookman Old Styl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2D6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szCs w:val="20"/>
      <w:lang w:eastAsia="en-US"/>
    </w:rPr>
  </w:style>
  <w:style w:type="character" w:customStyle="1" w:styleId="HTMLPreformattedChar">
    <w:name w:val="HTML Preformatted Char"/>
    <w:basedOn w:val="DefaultParagraphFont"/>
    <w:link w:val="HTMLPreformatted"/>
    <w:uiPriority w:val="99"/>
    <w:semiHidden/>
    <w:rsid w:val="002D6A5C"/>
    <w:rPr>
      <w:rFonts w:ascii="Bookman Old Style" w:eastAsia="Bookman Old Style" w:hAnsi="Bookman Old Style" w:cs="Bookman Old Style"/>
      <w:sz w:val="20"/>
      <w:szCs w:val="20"/>
      <w:lang w:eastAsia="en-US"/>
    </w:rPr>
  </w:style>
  <w:style w:type="character" w:customStyle="1" w:styleId="linewrapper">
    <w:name w:val="line_wrapper"/>
    <w:basedOn w:val="DefaultParagraphFont"/>
    <w:rsid w:val="002D6A5C"/>
    <w:rPr>
      <w:rFonts w:ascii="Bookman Old Style" w:eastAsia="Bookman Old Style" w:hAnsi="Bookman Old Style" w:cs="Bookman Old Style"/>
    </w:rPr>
  </w:style>
  <w:style w:type="paragraph" w:styleId="NormalWeb">
    <w:name w:val="Normal (Web)"/>
    <w:basedOn w:val="Normal"/>
    <w:uiPriority w:val="99"/>
    <w:semiHidden/>
    <w:unhideWhenUsed/>
    <w:rsid w:val="00AD6744"/>
    <w:pPr>
      <w:spacing w:before="100" w:beforeAutospacing="1" w:after="100" w:afterAutospacing="1"/>
    </w:pPr>
    <w:rPr>
      <w:sz w:val="24"/>
      <w:szCs w:val="24"/>
      <w:lang w:eastAsia="en-US"/>
    </w:rPr>
  </w:style>
  <w:style w:type="paragraph" w:styleId="Revision">
    <w:name w:val="Revision"/>
    <w:hidden/>
    <w:uiPriority w:val="99"/>
    <w:semiHidden/>
    <w:rsid w:val="00B226DA"/>
    <w:rPr>
      <w:rFonts w:ascii="Bookman Old Style" w:eastAsia="Bookman Old Style" w:hAnsi="Bookman Old Style" w:cs="Bookman Old 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795120">
      <w:bodyDiv w:val="1"/>
      <w:marLeft w:val="0"/>
      <w:marRight w:val="0"/>
      <w:marTop w:val="0"/>
      <w:marBottom w:val="0"/>
      <w:divBdr>
        <w:top w:val="none" w:sz="0" w:space="0" w:color="auto"/>
        <w:left w:val="none" w:sz="0" w:space="0" w:color="auto"/>
        <w:bottom w:val="none" w:sz="0" w:space="0" w:color="auto"/>
        <w:right w:val="none" w:sz="0" w:space="0" w:color="auto"/>
      </w:divBdr>
    </w:div>
    <w:div w:id="436562406">
      <w:bodyDiv w:val="1"/>
      <w:marLeft w:val="0"/>
      <w:marRight w:val="0"/>
      <w:marTop w:val="0"/>
      <w:marBottom w:val="0"/>
      <w:divBdr>
        <w:top w:val="none" w:sz="0" w:space="0" w:color="auto"/>
        <w:left w:val="none" w:sz="0" w:space="0" w:color="auto"/>
        <w:bottom w:val="none" w:sz="0" w:space="0" w:color="auto"/>
        <w:right w:val="none" w:sz="0" w:space="0" w:color="auto"/>
      </w:divBdr>
    </w:div>
    <w:div w:id="650528229">
      <w:bodyDiv w:val="1"/>
      <w:marLeft w:val="0"/>
      <w:marRight w:val="0"/>
      <w:marTop w:val="0"/>
      <w:marBottom w:val="0"/>
      <w:divBdr>
        <w:top w:val="none" w:sz="0" w:space="0" w:color="auto"/>
        <w:left w:val="none" w:sz="0" w:space="0" w:color="auto"/>
        <w:bottom w:val="none" w:sz="0" w:space="0" w:color="auto"/>
        <w:right w:val="none" w:sz="0" w:space="0" w:color="auto"/>
      </w:divBdr>
    </w:div>
    <w:div w:id="779490794">
      <w:bodyDiv w:val="1"/>
      <w:marLeft w:val="0"/>
      <w:marRight w:val="0"/>
      <w:marTop w:val="0"/>
      <w:marBottom w:val="0"/>
      <w:divBdr>
        <w:top w:val="none" w:sz="0" w:space="0" w:color="auto"/>
        <w:left w:val="none" w:sz="0" w:space="0" w:color="auto"/>
        <w:bottom w:val="none" w:sz="0" w:space="0" w:color="auto"/>
        <w:right w:val="none" w:sz="0" w:space="0" w:color="auto"/>
      </w:divBdr>
    </w:div>
    <w:div w:id="856425180">
      <w:bodyDiv w:val="1"/>
      <w:marLeft w:val="0"/>
      <w:marRight w:val="0"/>
      <w:marTop w:val="0"/>
      <w:marBottom w:val="0"/>
      <w:divBdr>
        <w:top w:val="none" w:sz="0" w:space="0" w:color="auto"/>
        <w:left w:val="none" w:sz="0" w:space="0" w:color="auto"/>
        <w:bottom w:val="none" w:sz="0" w:space="0" w:color="auto"/>
        <w:right w:val="none" w:sz="0" w:space="0" w:color="auto"/>
      </w:divBdr>
    </w:div>
    <w:div w:id="877010906">
      <w:bodyDiv w:val="1"/>
      <w:marLeft w:val="0"/>
      <w:marRight w:val="0"/>
      <w:marTop w:val="0"/>
      <w:marBottom w:val="0"/>
      <w:divBdr>
        <w:top w:val="none" w:sz="0" w:space="0" w:color="auto"/>
        <w:left w:val="none" w:sz="0" w:space="0" w:color="auto"/>
        <w:bottom w:val="none" w:sz="0" w:space="0" w:color="auto"/>
        <w:right w:val="none" w:sz="0" w:space="0" w:color="auto"/>
      </w:divBdr>
    </w:div>
    <w:div w:id="892817112">
      <w:bodyDiv w:val="1"/>
      <w:marLeft w:val="0"/>
      <w:marRight w:val="0"/>
      <w:marTop w:val="0"/>
      <w:marBottom w:val="0"/>
      <w:divBdr>
        <w:top w:val="none" w:sz="0" w:space="0" w:color="auto"/>
        <w:left w:val="none" w:sz="0" w:space="0" w:color="auto"/>
        <w:bottom w:val="none" w:sz="0" w:space="0" w:color="auto"/>
        <w:right w:val="none" w:sz="0" w:space="0" w:color="auto"/>
      </w:divBdr>
    </w:div>
    <w:div w:id="1282879601">
      <w:bodyDiv w:val="1"/>
      <w:marLeft w:val="0"/>
      <w:marRight w:val="0"/>
      <w:marTop w:val="0"/>
      <w:marBottom w:val="0"/>
      <w:divBdr>
        <w:top w:val="none" w:sz="0" w:space="0" w:color="auto"/>
        <w:left w:val="none" w:sz="0" w:space="0" w:color="auto"/>
        <w:bottom w:val="none" w:sz="0" w:space="0" w:color="auto"/>
        <w:right w:val="none" w:sz="0" w:space="0" w:color="auto"/>
      </w:divBdr>
    </w:div>
    <w:div w:id="1425691765">
      <w:bodyDiv w:val="1"/>
      <w:marLeft w:val="0"/>
      <w:marRight w:val="0"/>
      <w:marTop w:val="0"/>
      <w:marBottom w:val="0"/>
      <w:divBdr>
        <w:top w:val="none" w:sz="0" w:space="0" w:color="auto"/>
        <w:left w:val="none" w:sz="0" w:space="0" w:color="auto"/>
        <w:bottom w:val="none" w:sz="0" w:space="0" w:color="auto"/>
        <w:right w:val="none" w:sz="0" w:space="0" w:color="auto"/>
      </w:divBdr>
    </w:div>
    <w:div w:id="1692760867">
      <w:bodyDiv w:val="1"/>
      <w:marLeft w:val="0"/>
      <w:marRight w:val="0"/>
      <w:marTop w:val="0"/>
      <w:marBottom w:val="0"/>
      <w:divBdr>
        <w:top w:val="none" w:sz="0" w:space="0" w:color="auto"/>
        <w:left w:val="none" w:sz="0" w:space="0" w:color="auto"/>
        <w:bottom w:val="none" w:sz="0" w:space="0" w:color="auto"/>
        <w:right w:val="none" w:sz="0" w:space="0" w:color="auto"/>
      </w:divBdr>
    </w:div>
    <w:div w:id="1774278522">
      <w:bodyDiv w:val="1"/>
      <w:marLeft w:val="0"/>
      <w:marRight w:val="0"/>
      <w:marTop w:val="0"/>
      <w:marBottom w:val="0"/>
      <w:divBdr>
        <w:top w:val="none" w:sz="0" w:space="0" w:color="auto"/>
        <w:left w:val="none" w:sz="0" w:space="0" w:color="auto"/>
        <w:bottom w:val="none" w:sz="0" w:space="0" w:color="auto"/>
        <w:right w:val="none" w:sz="0" w:space="0" w:color="auto"/>
      </w:divBdr>
    </w:div>
    <w:div w:id="1878279213">
      <w:bodyDiv w:val="1"/>
      <w:marLeft w:val="0"/>
      <w:marRight w:val="0"/>
      <w:marTop w:val="0"/>
      <w:marBottom w:val="0"/>
      <w:divBdr>
        <w:top w:val="none" w:sz="0" w:space="0" w:color="auto"/>
        <w:left w:val="none" w:sz="0" w:space="0" w:color="auto"/>
        <w:bottom w:val="none" w:sz="0" w:space="0" w:color="auto"/>
        <w:right w:val="none" w:sz="0" w:space="0" w:color="auto"/>
      </w:divBdr>
    </w:div>
    <w:div w:id="1932228800">
      <w:bodyDiv w:val="1"/>
      <w:marLeft w:val="0"/>
      <w:marRight w:val="0"/>
      <w:marTop w:val="0"/>
      <w:marBottom w:val="0"/>
      <w:divBdr>
        <w:top w:val="none" w:sz="0" w:space="0" w:color="auto"/>
        <w:left w:val="none" w:sz="0" w:space="0" w:color="auto"/>
        <w:bottom w:val="none" w:sz="0" w:space="0" w:color="auto"/>
        <w:right w:val="none" w:sz="0" w:space="0" w:color="auto"/>
      </w:divBdr>
    </w:div>
    <w:div w:id="2005739856">
      <w:bodyDiv w:val="1"/>
      <w:marLeft w:val="0"/>
      <w:marRight w:val="0"/>
      <w:marTop w:val="0"/>
      <w:marBottom w:val="0"/>
      <w:divBdr>
        <w:top w:val="none" w:sz="0" w:space="0" w:color="auto"/>
        <w:left w:val="none" w:sz="0" w:space="0" w:color="auto"/>
        <w:bottom w:val="none" w:sz="0" w:space="0" w:color="auto"/>
        <w:right w:val="none" w:sz="0" w:space="0" w:color="auto"/>
      </w:divBdr>
    </w:div>
    <w:div w:id="2075816947">
      <w:bodyDiv w:val="1"/>
      <w:marLeft w:val="0"/>
      <w:marRight w:val="0"/>
      <w:marTop w:val="0"/>
      <w:marBottom w:val="0"/>
      <w:divBdr>
        <w:top w:val="none" w:sz="0" w:space="0" w:color="auto"/>
        <w:left w:val="none" w:sz="0" w:space="0" w:color="auto"/>
        <w:bottom w:val="none" w:sz="0" w:space="0" w:color="auto"/>
        <w:right w:val="none" w:sz="0" w:space="0" w:color="auto"/>
      </w:divBdr>
    </w:div>
    <w:div w:id="2129660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11" Type="http://schemas.openxmlformats.org/officeDocument/2006/relationships/footer" Target="footer5.xml"/><Relationship Id="rId18" Type="http://schemas.openxmlformats.org/officeDocument/2006/relationships/header" Target="header3.xml"/><Relationship Id="rId19" Type="http://schemas.openxmlformats.org/officeDocument/2006/relationships/image" Target="media/image1.png"/><Relationship Id="rId21" Type="http://schemas.openxmlformats.org/officeDocument/2006/relationships/footer" Target="footer6.xml"/><Relationship Id="rId24" Type="http://schemas.openxmlformats.org/officeDocument/2006/relationships/header" Target="header4.xml"/><Relationship Id="rId25" Type="http://schemas.openxmlformats.org/officeDocument/2006/relationships/footer" Target="footer7.xml"/><Relationship Id="rId26" Type="http://schemas.openxmlformats.org/officeDocument/2006/relationships/header" Target="header5.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Bookman Old Style"/>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ookman Old Style"/>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bb675e6-5cdc-4ec3-887e-cce341d2c644">
      <Terms xmlns="http://schemas.microsoft.com/office/infopath/2007/PartnerControls"/>
    </lcf76f155ced4ddcb4097134ff3c332f>
    <TaxCatchAll xmlns="271f0a6e-7570-4ec4-b0a6-bb08bdd325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5C911938B8104EAF7D536C7AC491FF" ma:contentTypeVersion="13" ma:contentTypeDescription="Create a new document." ma:contentTypeScope="" ma:versionID="4346f776a97e773bb1545585e241ee47">
  <xsd:schema xmlns:xsd="http://www.w3.org/2001/XMLSchema" xmlns:xs="http://www.w3.org/2001/XMLSchema" xmlns:p="http://schemas.microsoft.com/office/2006/metadata/properties" xmlns:ns1="http://schemas.microsoft.com/sharepoint/v3" xmlns:ns2="ebb675e6-5cdc-4ec3-887e-cce341d2c644" xmlns:ns3="271f0a6e-7570-4ec4-b0a6-bb08bdd32529" targetNamespace="http://schemas.microsoft.com/office/2006/metadata/properties" ma:root="true" ma:fieldsID="bb0b3a2430b723da69e279d06b1f13dc" ns1:_="" ns2:_="" ns3:_="">
    <xsd:import namespace="http://schemas.microsoft.com/sharepoint/v3"/>
    <xsd:import namespace="ebb675e6-5cdc-4ec3-887e-cce341d2c644"/>
    <xsd:import namespace="271f0a6e-7570-4ec4-b0a6-bb08bdd325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b675e6-5cdc-4ec3-887e-cce341d2c6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d3fd136-2241-4aa2-b44a-6d1f559fe3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1f0a6e-7570-4ec4-b0a6-bb08bdd325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30ce7f-5168-4b68-9bdf-537e0dab33d7}" ma:internalName="TaxCatchAll" ma:showField="CatchAllData" ma:web="271f0a6e-7570-4ec4-b0a6-bb08bdd32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B13B174-CE2D-4E3B-BAB7-C322D57FFC9D}">
  <ds:schemaRefs>
    <ds:schemaRef ds:uri="http://schemas.microsoft.com/office/2006/metadata/properties"/>
    <ds:schemaRef ds:uri="http://schemas.microsoft.com/office/infopath/2007/PartnerControls"/>
    <ds:schemaRef ds:uri="http://schemas.microsoft.com/sharepoint/v3"/>
    <ds:schemaRef ds:uri="ebb675e6-5cdc-4ec3-887e-cce341d2c644"/>
    <ds:schemaRef ds:uri="271f0a6e-7570-4ec4-b0a6-bb08bdd32529"/>
  </ds:schemaRefs>
</ds:datastoreItem>
</file>

<file path=customXml/itemProps2.xml><?xml version="1.0" encoding="utf-8"?>
<ds:datastoreItem xmlns:ds="http://schemas.openxmlformats.org/officeDocument/2006/customXml" ds:itemID="{257AA997-03F8-4EA9-9AD9-9AD3D680AEE7}">
  <ds:schemaRefs>
    <ds:schemaRef ds:uri="http://schemas.microsoft.com/sharepoint/v3/contenttype/forms"/>
  </ds:schemaRefs>
</ds:datastoreItem>
</file>

<file path=customXml/itemProps3.xml><?xml version="1.0" encoding="utf-8"?>
<ds:datastoreItem xmlns:ds="http://schemas.openxmlformats.org/officeDocument/2006/customXml" ds:itemID="{02487380-A9A9-44AB-9B9F-65DDB4E09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b675e6-5cdc-4ec3-887e-cce341d2c644"/>
    <ds:schemaRef ds:uri="271f0a6e-7570-4ec4-b0a6-bb08bdd325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B94C88-4D53-4496-A896-EF452AE24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10148</Words>
  <Characters>57849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URA document template</dc:title>
  <dc:subject/>
  <dc:creator>Data Science</dc:creator>
  <cp:keywords/>
  <cp:lastModifiedBy>Ethan Kawamara Mugire</cp:lastModifiedBy>
  <cp:revision>2</cp:revision>
  <cp:lastPrinted>2026-08-09T16:42:00Z</cp:lastPrinted>
  <dcterms:created xsi:type="dcterms:W3CDTF">2026-08-10T06:02:00Z</dcterms:created>
  <dcterms:modified xsi:type="dcterms:W3CDTF">2026-08-10T06:02:00Z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1d4df2-78d1-4025-b4f3-390f587087e3_Enabled">
    <vt:lpwstr>true</vt:lpwstr>
  </property>
  <property fmtid="{D5CDD505-2E9C-101B-9397-08002B2CF9AE}" pid="3" name="MSIP_Label_0a1d4df2-78d1-4025-b4f3-390f587087e3_SetDate">
    <vt:lpwstr>2026-02-25T09:50:16Z</vt:lpwstr>
  </property>
  <property fmtid="{D5CDD505-2E9C-101B-9397-08002B2CF9AE}" pid="4" name="MSIP_Label_0a1d4df2-78d1-4025-b4f3-390f587087e3_Method">
    <vt:lpwstr>Standard</vt:lpwstr>
  </property>
  <property fmtid="{D5CDD505-2E9C-101B-9397-08002B2CF9AE}" pid="5" name="MSIP_Label_0a1d4df2-78d1-4025-b4f3-390f587087e3_Name">
    <vt:lpwstr>URA OFFICIAL LABEL</vt:lpwstr>
  </property>
  <property fmtid="{D5CDD505-2E9C-101B-9397-08002B2CF9AE}" pid="6" name="MSIP_Label_0a1d4df2-78d1-4025-b4f3-390f587087e3_SiteId">
    <vt:lpwstr>2010a227-d6b7-4ace-b38b-02444d74b904</vt:lpwstr>
  </property>
  <property fmtid="{D5CDD505-2E9C-101B-9397-08002B2CF9AE}" pid="7" name="MSIP_Label_0a1d4df2-78d1-4025-b4f3-390f587087e3_ActionId">
    <vt:lpwstr>a632c54e-c736-4a27-b4ec-72eff2ffc745</vt:lpwstr>
  </property>
  <property fmtid="{D5CDD505-2E9C-101B-9397-08002B2CF9AE}" pid="8" name="MSIP_Label_0a1d4df2-78d1-4025-b4f3-390f587087e3_ContentBits">
    <vt:lpwstr>0</vt:lpwstr>
  </property>
  <property fmtid="{D5CDD505-2E9C-101B-9397-08002B2CF9AE}" pid="9" name="MSIP_Label_0a1d4df2-78d1-4025-b4f3-390f587087e3_Tag">
    <vt:lpwstr>10, 3, 0, 2</vt:lpwstr>
  </property>
  <property fmtid="{D5CDD505-2E9C-101B-9397-08002B2CF9AE}" pid="10" name="MediaServiceImageTags">
    <vt:lpwstr/>
  </property>
  <property fmtid="{D5CDD505-2E9C-101B-9397-08002B2CF9AE}" pid="11" name="ContentTypeId">
    <vt:lpwstr>0x010100CC5C911938B8104EAF7D536C7AC491FF</vt:lpwstr>
  </property>
  <property fmtid="{D5CDD505-2E9C-101B-9397-08002B2CF9AE}" pid="12" name="ComplianceAssetId">
    <vt:lpwstr/>
  </property>
  <property fmtid="{D5CDD505-2E9C-101B-9397-08002B2CF9AE}" pid="13" name="_ExtendedDescription">
    <vt:lpwstr/>
  </property>
  <property fmtid="{D5CDD505-2E9C-101B-9397-08002B2CF9AE}" pid="14" name="_activity">
    <vt:lpwstr>{"FileActivityType":"9","FileActivityTimeStamp":"2026-03-03T10:55:19.527Z","FileActivityUsersOnPage":[{"DisplayName":"Ethan Kawamara Mugire","Id":"emugire@ura.go.ug"}],"FileActivityNavigationId":null}</vt:lpwstr>
  </property>
  <property fmtid="{D5CDD505-2E9C-101B-9397-08002B2CF9AE}" pid="15" name="TriggerFlowInfo">
    <vt:lpwstr/>
  </property>
  <property fmtid="{D5CDD505-2E9C-101B-9397-08002B2CF9AE}" pid="16" name="GrammarlyDocumentId">
    <vt:lpwstr>4dc63219-7958-4000-a47a-f92408aee2a1</vt:lpwstr>
  </property>
  <property fmtid="{D5CDD505-2E9C-101B-9397-08002B2CF9AE}" pid="17" name="docLang">
    <vt:lpwstr>en</vt:lpwstr>
  </property>
</Properties>
</file>