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jc w:val="center"/>
      </w:pPr>
      <w:r>
        <w:rPr>
          <w:b/>
          <w:color w:val="2F5496"/>
          <w:sz w:val="16"/>
        </w:rPr>
        <w:t>CLASSIFICATION: CONFIDENTIAL</w:t>
      </w:r>
    </w:p>
    <w:p/>
    <w:p/>
    <w:p/>
    <w:p>
      <w:pPr>
        <w:jc w:val="center"/>
      </w:pPr>
      <w:r>
        <w:drawing>
          <wp:inline xmlns:a="http://schemas.openxmlformats.org/drawingml/2006/main" xmlns:pic="http://schemas.openxmlformats.org/drawingml/2006/picture">
            <wp:extent cx="1800000" cy="1800000"/>
            <wp:docPr id="1" name="Picture 1"/>
            <wp:cNvGraphicFramePr>
              <a:graphicFrameLocks noChangeAspect="1"/>
            </wp:cNvGraphicFramePr>
            <a:graphic>
              <a:graphicData uri="http://schemas.openxmlformats.org/drawingml/2006/picture">
                <pic:pic>
                  <pic:nvPicPr>
                    <pic:cNvPr id="0" name="ura_logo.png"/>
                    <pic:cNvPicPr/>
                  </pic:nvPicPr>
                  <pic:blipFill>
                    <a:blip r:embed="rId19"/>
                    <a:stretch>
                      <a:fillRect/>
                    </a:stretch>
                  </pic:blipFill>
                  <pic:spPr>
                    <a:xfrm>
                      <a:off x="0" y="0"/>
                      <a:ext cx="1800000" cy="1800000"/>
                    </a:xfrm>
                    <a:prstGeom prst="rect"/>
                  </pic:spPr>
                </pic:pic>
              </a:graphicData>
            </a:graphic>
          </wp:inline>
        </w:drawing>
      </w:r>
    </w:p>
    <w:p/>
    <w:p>
      <w:pPr>
        <w:spacing w:after="120"/>
        <w:jc w:val="center"/>
      </w:pPr>
      <w:r>
        <w:t>Information Technology and Innovation Department</w:t>
      </w:r>
    </w:p>
    <w:p/>
    <w:p/>
    <w:p>
      <w:pPr>
        <w:jc w:val="center"/>
      </w:pPr>
      <w:r>
        <w:rPr>
          <w:b/>
          <w:color w:val="2F5496"/>
          <w:sz w:val="30"/>
        </w:rPr>
        <w:t>CUSTOMS TAXPAYER RISK PROFILING MODEL</w:t>
      </w:r>
    </w:p>
    <w:p>
      <w:pPr>
        <w:spacing w:after="120"/>
        <w:jc w:val="center"/>
      </w:pPr>
      <w:r>
        <w:t>Data Exploration Report: Missing Data, Duplicates and Data Issues</w:t>
      </w:r>
    </w:p>
    <w:p/>
    <w:p>
      <w:pPr>
        <w:jc w:val="center"/>
      </w:pPr>
      <w:r>
        <w:rPr>
          <w:b/>
          <w:sz w:val="18"/>
        </w:rPr>
        <w:t>VERSION 1.0, OCTOBER 2026</w:t>
      </w:r>
    </w:p>
    <w:p>
      <w:pPr>
        <w:sectPr>
          <w:footerReference w:type="default" r:id="rId11"/>
          <w:headerReference w:type="default" r:id="rId18"/>
          <w:pgSz w:w="11906" w:h="16838" w:code="9"/>
          <w:pgMar w:top="1440" w:right="1077" w:bottom="1440" w:left="1077" w:header="706" w:footer="706" w:gutter="0"/>
          <w:cols w:space="720"/>
          <w:docGrid w:linePitch="360"/>
        </w:sectPr>
      </w:pPr>
    </w:p>
    <w:p>
      <w:pPr>
        <w:pStyle w:val="Heading1"/>
      </w:pPr>
      <w:r>
        <w:t>Document Control &amp; Authority</w:t>
      </w:r>
    </w:p>
    <w:p>
      <w:pPr>
        <w:pStyle w:val="Caption"/>
      </w:pPr>
      <w:r>
        <w:t xml:space="preserve">Table </w:t>
      </w:r>
      <w:r>
        <w:fldChar w:fldCharType="begin"/>
      </w:r>
      <w:r>
        <w:instrText xml:space="preserve"> SEQ Table \* ARABIC </w:instrText>
      </w:r>
      <w:r>
        <w:fldChar w:fldCharType="separate"/>
      </w:r>
      <w:r>
        <w:t>1</w:t>
      </w:r>
      <w:r>
        <w:fldChar w:fldCharType="end"/>
      </w:r>
      <w:r>
        <w:t>: Document Information</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4876"/>
        <w:gridCol w:w="4876"/>
      </w:tblGrid>
      <w:tr>
        <w:trPr>
          <w:tblHeader w:val="true"/>
        </w:trPr>
        <w:tc>
          <w:tcPr>
            <w:tcW w:type="dxa" w:w="2294"/>
            <w:shd w:val="clear" w:color="auto" w:fill="D9E2F3"/>
          </w:tcPr>
          <w:p>
            <w:pPr>
              <w:spacing w:after="20" w:before="20" w:line="240" w:lineRule="auto"/>
            </w:pPr>
            <w:r/>
            <w:r>
              <w:rPr>
                <w:b/>
                <w:sz w:val="18"/>
              </w:rPr>
              <w:t>Field</w:t>
            </w:r>
          </w:p>
        </w:tc>
        <w:tc>
          <w:tcPr>
            <w:tcW w:type="dxa" w:w="7457"/>
            <w:shd w:val="clear" w:color="auto" w:fill="D9E2F3"/>
          </w:tcPr>
          <w:p>
            <w:pPr>
              <w:spacing w:after="20" w:before="20" w:line="240" w:lineRule="auto"/>
            </w:pPr>
            <w:r/>
            <w:r>
              <w:rPr>
                <w:b/>
                <w:sz w:val="18"/>
              </w:rPr>
              <w:t>Details</w:t>
            </w:r>
          </w:p>
        </w:tc>
      </w:tr>
      <w:tr>
        <w:tc>
          <w:tcPr>
            <w:tcW w:type="dxa" w:w="2294"/>
          </w:tcPr>
          <w:p>
            <w:pPr>
              <w:spacing w:after="20" w:before="20" w:line="240" w:lineRule="auto"/>
            </w:pPr>
            <w:r/>
            <w:r>
              <w:rPr>
                <w:sz w:val="18"/>
              </w:rPr>
              <w:t>Document Title</w:t>
            </w:r>
          </w:p>
        </w:tc>
        <w:tc>
          <w:tcPr>
            <w:tcW w:type="dxa" w:w="7457"/>
          </w:tcPr>
          <w:p>
            <w:pPr>
              <w:spacing w:after="20" w:before="20" w:line="240" w:lineRule="auto"/>
            </w:pPr>
            <w:r/>
            <w:r>
              <w:rPr>
                <w:sz w:val="18"/>
              </w:rPr>
              <w:t>Customs Taxpayer Risk Profiling Model: Data Exploration Report</w:t>
            </w:r>
          </w:p>
        </w:tc>
      </w:tr>
      <w:tr>
        <w:tc>
          <w:tcPr>
            <w:tcW w:type="dxa" w:w="2294"/>
          </w:tcPr>
          <w:p>
            <w:pPr>
              <w:spacing w:after="20" w:before="20" w:line="240" w:lineRule="auto"/>
            </w:pPr>
            <w:r/>
            <w:r>
              <w:rPr>
                <w:sz w:val="18"/>
              </w:rPr>
              <w:t>Version</w:t>
            </w:r>
          </w:p>
        </w:tc>
        <w:tc>
          <w:tcPr>
            <w:tcW w:type="dxa" w:w="7457"/>
          </w:tcPr>
          <w:p>
            <w:pPr>
              <w:spacing w:after="20" w:before="20" w:line="240" w:lineRule="auto"/>
            </w:pPr>
            <w:r/>
            <w:r>
              <w:rPr>
                <w:sz w:val="18"/>
              </w:rPr>
              <w:t>1.0</w:t>
            </w:r>
          </w:p>
        </w:tc>
      </w:tr>
      <w:tr>
        <w:tc>
          <w:tcPr>
            <w:tcW w:type="dxa" w:w="2294"/>
          </w:tcPr>
          <w:p>
            <w:pPr>
              <w:spacing w:after="20" w:before="20" w:line="240" w:lineRule="auto"/>
            </w:pPr>
            <w:r/>
            <w:r>
              <w:rPr>
                <w:sz w:val="18"/>
              </w:rPr>
              <w:t>Classification</w:t>
            </w:r>
          </w:p>
        </w:tc>
        <w:tc>
          <w:tcPr>
            <w:tcW w:type="dxa" w:w="7457"/>
          </w:tcPr>
          <w:p>
            <w:pPr>
              <w:spacing w:after="20" w:before="20" w:line="240" w:lineRule="auto"/>
            </w:pPr>
            <w:r/>
            <w:r>
              <w:rPr>
                <w:sz w:val="18"/>
              </w:rPr>
              <w:t>Confidential (the attached workbooks contain TINs and taxpayer names)</w:t>
            </w:r>
          </w:p>
        </w:tc>
      </w:tr>
      <w:tr>
        <w:tc>
          <w:tcPr>
            <w:tcW w:type="dxa" w:w="2294"/>
          </w:tcPr>
          <w:p>
            <w:pPr>
              <w:spacing w:after="20" w:before="20" w:line="240" w:lineRule="auto"/>
            </w:pPr>
            <w:r/>
            <w:r>
              <w:rPr>
                <w:sz w:val="18"/>
              </w:rPr>
              <w:t>Owner</w:t>
            </w:r>
          </w:p>
        </w:tc>
        <w:tc>
          <w:tcPr>
            <w:tcW w:type="dxa" w:w="7457"/>
          </w:tcPr>
          <w:p>
            <w:pPr>
              <w:spacing w:after="20" w:before="20" w:line="240" w:lineRule="auto"/>
            </w:pPr>
            <w:r/>
            <w:r>
              <w:rPr>
                <w:sz w:val="18"/>
              </w:rPr>
              <w:t>Data Science Section, Data, Innovations and Projects Division, ITID</w:t>
            </w:r>
          </w:p>
        </w:tc>
      </w:tr>
      <w:tr>
        <w:tc>
          <w:tcPr>
            <w:tcW w:type="dxa" w:w="2294"/>
          </w:tcPr>
          <w:p>
            <w:pPr>
              <w:spacing w:after="20" w:before="20" w:line="240" w:lineRule="auto"/>
            </w:pPr>
            <w:r/>
            <w:r>
              <w:rPr>
                <w:sz w:val="18"/>
              </w:rPr>
              <w:t>Data</w:t>
            </w:r>
          </w:p>
        </w:tc>
        <w:tc>
          <w:tcPr>
            <w:tcW w:type="dxa" w:w="7457"/>
          </w:tcPr>
          <w:p>
            <w:pPr>
              <w:spacing w:after="20" w:before="20" w:line="240" w:lineRule="auto"/>
            </w:pPr>
            <w:r/>
            <w:r>
              <w:rPr>
                <w:sz w:val="18"/>
              </w:rPr>
              <w:t>dm_modeled_ura_datascience.vw_cstm_AEO_model, IM4 and IM7, 24 months to 30 September 2026</w:t>
            </w:r>
          </w:p>
        </w:tc>
      </w:tr>
    </w:tbl>
    <w:p>
      <w:pPr>
        <w:spacing w:after="40"/>
      </w:pPr>
    </w:p>
    <w:p>
      <w:pPr>
        <w:pStyle w:val="Caption"/>
      </w:pPr>
      <w:r>
        <w:t xml:space="preserve">Table </w:t>
      </w:r>
      <w:r>
        <w:fldChar w:fldCharType="begin"/>
      </w:r>
      <w:r>
        <w:instrText xml:space="preserve"> SEQ Table \* ARABIC </w:instrText>
      </w:r>
      <w:r>
        <w:fldChar w:fldCharType="separate"/>
      </w:r>
      <w:r>
        <w:t>2</w:t>
      </w:r>
      <w:r>
        <w:fldChar w:fldCharType="end"/>
      </w:r>
      <w:r>
        <w:t>: Document Version History</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1950"/>
        <w:gridCol w:w="1950"/>
        <w:gridCol w:w="1950"/>
        <w:gridCol w:w="1950"/>
        <w:gridCol w:w="1950"/>
      </w:tblGrid>
      <w:tr>
        <w:trPr>
          <w:tblHeader w:val="true"/>
        </w:trPr>
        <w:tc>
          <w:tcPr>
            <w:tcW w:type="dxa" w:w="860"/>
            <w:shd w:val="clear" w:color="auto" w:fill="D9E2F3"/>
          </w:tcPr>
          <w:p>
            <w:pPr>
              <w:spacing w:after="20" w:before="20" w:line="240" w:lineRule="auto"/>
            </w:pPr>
            <w:r/>
            <w:r>
              <w:rPr>
                <w:b/>
                <w:sz w:val="18"/>
              </w:rPr>
              <w:t>Version</w:t>
            </w:r>
          </w:p>
        </w:tc>
        <w:tc>
          <w:tcPr>
            <w:tcW w:type="dxa" w:w="1434"/>
            <w:shd w:val="clear" w:color="auto" w:fill="D9E2F3"/>
          </w:tcPr>
          <w:p>
            <w:pPr>
              <w:spacing w:after="20" w:before="20" w:line="240" w:lineRule="auto"/>
            </w:pPr>
            <w:r/>
            <w:r>
              <w:rPr>
                <w:b/>
                <w:sz w:val="18"/>
              </w:rPr>
              <w:t>Date</w:t>
            </w:r>
          </w:p>
        </w:tc>
        <w:tc>
          <w:tcPr>
            <w:tcW w:type="dxa" w:w="1721"/>
            <w:shd w:val="clear" w:color="auto" w:fill="D9E2F3"/>
          </w:tcPr>
          <w:p>
            <w:pPr>
              <w:spacing w:after="20" w:before="20" w:line="240" w:lineRule="auto"/>
            </w:pPr>
            <w:r/>
            <w:r>
              <w:rPr>
                <w:b/>
                <w:sz w:val="18"/>
              </w:rPr>
              <w:t>Author(s)</w:t>
            </w:r>
          </w:p>
        </w:tc>
        <w:tc>
          <w:tcPr>
            <w:tcW w:type="dxa" w:w="1721"/>
            <w:shd w:val="clear" w:color="auto" w:fill="D9E2F3"/>
          </w:tcPr>
          <w:p>
            <w:pPr>
              <w:spacing w:after="20" w:before="20" w:line="240" w:lineRule="auto"/>
            </w:pPr>
            <w:r/>
            <w:r>
              <w:rPr>
                <w:b/>
                <w:sz w:val="18"/>
              </w:rPr>
              <w:t>Role</w:t>
            </w:r>
          </w:p>
        </w:tc>
        <w:tc>
          <w:tcPr>
            <w:tcW w:type="dxa" w:w="4015"/>
            <w:shd w:val="clear" w:color="auto" w:fill="D9E2F3"/>
          </w:tcPr>
          <w:p>
            <w:pPr>
              <w:spacing w:after="20" w:before="20" w:line="240" w:lineRule="auto"/>
            </w:pPr>
            <w:r/>
            <w:r>
              <w:rPr>
                <w:b/>
                <w:sz w:val="18"/>
              </w:rPr>
              <w:t>Changes</w:t>
            </w:r>
          </w:p>
        </w:tc>
      </w:tr>
      <w:tr>
        <w:tc>
          <w:tcPr>
            <w:tcW w:type="dxa" w:w="860"/>
          </w:tcPr>
          <w:p>
            <w:pPr>
              <w:spacing w:after="20" w:before="20" w:line="240" w:lineRule="auto"/>
            </w:pPr>
            <w:r/>
            <w:r>
              <w:rPr>
                <w:sz w:val="18"/>
              </w:rPr>
              <w:t>1.0</w:t>
            </w:r>
          </w:p>
        </w:tc>
        <w:tc>
          <w:tcPr>
            <w:tcW w:type="dxa" w:w="1434"/>
          </w:tcPr>
          <w:p>
            <w:pPr>
              <w:spacing w:after="20" w:before="20" w:line="240" w:lineRule="auto"/>
            </w:pPr>
            <w:r/>
            <w:r>
              <w:rPr>
                <w:sz w:val="18"/>
              </w:rPr>
              <w:t>22 October 2026</w:t>
            </w:r>
          </w:p>
        </w:tc>
        <w:tc>
          <w:tcPr>
            <w:tcW w:type="dxa" w:w="1721"/>
          </w:tcPr>
          <w:p>
            <w:pPr>
              <w:spacing w:after="20" w:before="20" w:line="240" w:lineRule="auto"/>
            </w:pPr>
            <w:r/>
            <w:r>
              <w:rPr>
                <w:sz w:val="18"/>
              </w:rPr>
              <w:t>Ethan Mugire</w:t>
            </w:r>
          </w:p>
        </w:tc>
        <w:tc>
          <w:tcPr>
            <w:tcW w:type="dxa" w:w="1721"/>
          </w:tcPr>
          <w:p>
            <w:pPr>
              <w:spacing w:after="20" w:before="20" w:line="240" w:lineRule="auto"/>
            </w:pPr>
            <w:r/>
            <w:r>
              <w:rPr>
                <w:sz w:val="18"/>
              </w:rPr>
              <w:t>Officer, Data Science</w:t>
            </w:r>
          </w:p>
        </w:tc>
        <w:tc>
          <w:tcPr>
            <w:tcW w:type="dxa" w:w="4015"/>
          </w:tcPr>
          <w:p>
            <w:pPr>
              <w:spacing w:after="20" w:before="20" w:line="240" w:lineRule="auto"/>
            </w:pPr>
            <w:r/>
            <w:r>
              <w:rPr>
                <w:sz w:val="18"/>
              </w:rPr>
              <w:t>First issue for review.</w:t>
            </w:r>
          </w:p>
        </w:tc>
      </w:tr>
    </w:tbl>
    <w:p>
      <w:pPr>
        <w:spacing w:after="40"/>
      </w:pPr>
    </w:p>
    <w:p>
      <w:pPr>
        <w:pStyle w:val="Caption"/>
      </w:pPr>
      <w:r>
        <w:t xml:space="preserve">Table </w:t>
      </w:r>
      <w:r>
        <w:fldChar w:fldCharType="begin"/>
      </w:r>
      <w:r>
        <w:instrText xml:space="preserve"> SEQ Table \* ARABIC </w:instrText>
      </w:r>
      <w:r>
        <w:fldChar w:fldCharType="separate"/>
      </w:r>
      <w:r>
        <w:t>3</w:t>
      </w:r>
      <w:r>
        <w:fldChar w:fldCharType="end"/>
      </w:r>
      <w:r>
        <w:t>: Document Reviewers</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2438"/>
        <w:gridCol w:w="2438"/>
        <w:gridCol w:w="2438"/>
        <w:gridCol w:w="2438"/>
      </w:tblGrid>
      <w:tr>
        <w:trPr>
          <w:tblHeader w:val="true"/>
        </w:trPr>
        <w:tc>
          <w:tcPr>
            <w:tcW w:type="dxa" w:w="2868"/>
            <w:shd w:val="clear" w:color="auto" w:fill="D9E2F3"/>
          </w:tcPr>
          <w:p>
            <w:pPr>
              <w:spacing w:after="20" w:before="20" w:line="240" w:lineRule="auto"/>
            </w:pPr>
            <w:r/>
            <w:r>
              <w:rPr>
                <w:b/>
                <w:sz w:val="18"/>
              </w:rPr>
              <w:t>Name</w:t>
            </w:r>
          </w:p>
        </w:tc>
        <w:tc>
          <w:tcPr>
            <w:tcW w:type="dxa" w:w="4015"/>
            <w:shd w:val="clear" w:color="auto" w:fill="D9E2F3"/>
          </w:tcPr>
          <w:p>
            <w:pPr>
              <w:spacing w:after="20" w:before="20" w:line="240" w:lineRule="auto"/>
            </w:pPr>
            <w:r/>
            <w:r>
              <w:rPr>
                <w:b/>
                <w:sz w:val="18"/>
              </w:rPr>
              <w:t>Role</w:t>
            </w:r>
          </w:p>
        </w:tc>
        <w:tc>
          <w:tcPr>
            <w:tcW w:type="dxa" w:w="1721"/>
            <w:shd w:val="clear" w:color="auto" w:fill="D9E2F3"/>
          </w:tcPr>
          <w:p>
            <w:pPr>
              <w:spacing w:after="20" w:before="20" w:line="240" w:lineRule="auto"/>
            </w:pPr>
            <w:r/>
            <w:r>
              <w:rPr>
                <w:b/>
                <w:sz w:val="18"/>
              </w:rPr>
              <w:t>Signature</w:t>
            </w:r>
          </w:p>
        </w:tc>
        <w:tc>
          <w:tcPr>
            <w:tcW w:type="dxa" w:w="1147"/>
            <w:shd w:val="clear" w:color="auto" w:fill="D9E2F3"/>
          </w:tcPr>
          <w:p>
            <w:pPr>
              <w:spacing w:after="20" w:before="20" w:line="240" w:lineRule="auto"/>
            </w:pPr>
            <w:r/>
            <w:r>
              <w:rPr>
                <w:b/>
                <w:sz w:val="18"/>
              </w:rPr>
              <w:t>Date</w:t>
            </w:r>
          </w:p>
        </w:tc>
      </w:tr>
      <w:tr>
        <w:tc>
          <w:tcPr>
            <w:tcW w:type="dxa" w:w="2868"/>
          </w:tcPr>
          <w:p>
            <w:pPr>
              <w:spacing w:after="20" w:before="20" w:line="240" w:lineRule="auto"/>
            </w:pPr>
            <w:r/>
            <w:r>
              <w:rPr>
                <w:sz w:val="18"/>
              </w:rPr>
              <w:t>Stella Kwera Kisuze</w:t>
            </w:r>
          </w:p>
        </w:tc>
        <w:tc>
          <w:tcPr>
            <w:tcW w:type="dxa" w:w="4015"/>
          </w:tcPr>
          <w:p>
            <w:pPr>
              <w:spacing w:after="20" w:before="20" w:line="240" w:lineRule="auto"/>
            </w:pPr>
            <w:r/>
            <w:r>
              <w:rPr>
                <w:sz w:val="18"/>
              </w:rPr>
              <w:t>Supervisor, Data Science</w:t>
            </w:r>
          </w:p>
        </w:tc>
        <w:tc>
          <w:tcPr>
            <w:tcW w:type="dxa" w:w="1721"/>
          </w:tcPr>
          <w:p>
            <w:pPr>
              <w:spacing w:after="20" w:before="20" w:line="240" w:lineRule="auto"/>
            </w:pPr>
            <w:r/>
          </w:p>
        </w:tc>
        <w:tc>
          <w:tcPr>
            <w:tcW w:type="dxa" w:w="1147"/>
          </w:tcPr>
          <w:p>
            <w:pPr>
              <w:spacing w:after="20" w:before="20" w:line="240" w:lineRule="auto"/>
            </w:pPr>
            <w:r/>
          </w:p>
        </w:tc>
      </w:tr>
    </w:tbl>
    <w:p>
      <w:pPr>
        <w:spacing w:after="40"/>
      </w:pPr>
    </w:p>
    <w:p>
      <w:pPr>
        <w:pStyle w:val="Caption"/>
      </w:pPr>
      <w:r>
        <w:t xml:space="preserve">Table </w:t>
      </w:r>
      <w:r>
        <w:fldChar w:fldCharType="begin"/>
      </w:r>
      <w:r>
        <w:instrText xml:space="preserve"> SEQ Table \* ARABIC </w:instrText>
      </w:r>
      <w:r>
        <w:fldChar w:fldCharType="separate"/>
      </w:r>
      <w:r>
        <w:t>4</w:t>
      </w:r>
      <w:r>
        <w:fldChar w:fldCharType="end"/>
      </w:r>
      <w:r>
        <w:t>: Document Approvals</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2438"/>
        <w:gridCol w:w="2438"/>
        <w:gridCol w:w="2438"/>
        <w:gridCol w:w="2438"/>
      </w:tblGrid>
      <w:tr>
        <w:trPr>
          <w:tblHeader w:val="true"/>
        </w:trPr>
        <w:tc>
          <w:tcPr>
            <w:tcW w:type="dxa" w:w="2868"/>
            <w:shd w:val="clear" w:color="auto" w:fill="D9E2F3"/>
          </w:tcPr>
          <w:p>
            <w:pPr>
              <w:spacing w:after="20" w:before="20" w:line="240" w:lineRule="auto"/>
            </w:pPr>
            <w:r/>
            <w:r>
              <w:rPr>
                <w:b/>
                <w:sz w:val="18"/>
              </w:rPr>
              <w:t>Name</w:t>
            </w:r>
          </w:p>
        </w:tc>
        <w:tc>
          <w:tcPr>
            <w:tcW w:type="dxa" w:w="4015"/>
            <w:shd w:val="clear" w:color="auto" w:fill="D9E2F3"/>
          </w:tcPr>
          <w:p>
            <w:pPr>
              <w:spacing w:after="20" w:before="20" w:line="240" w:lineRule="auto"/>
            </w:pPr>
            <w:r/>
            <w:r>
              <w:rPr>
                <w:b/>
                <w:sz w:val="18"/>
              </w:rPr>
              <w:t>Role</w:t>
            </w:r>
          </w:p>
        </w:tc>
        <w:tc>
          <w:tcPr>
            <w:tcW w:type="dxa" w:w="1721"/>
            <w:shd w:val="clear" w:color="auto" w:fill="D9E2F3"/>
          </w:tcPr>
          <w:p>
            <w:pPr>
              <w:spacing w:after="20" w:before="20" w:line="240" w:lineRule="auto"/>
            </w:pPr>
            <w:r/>
            <w:r>
              <w:rPr>
                <w:b/>
                <w:sz w:val="18"/>
              </w:rPr>
              <w:t>Signature</w:t>
            </w:r>
          </w:p>
        </w:tc>
        <w:tc>
          <w:tcPr>
            <w:tcW w:type="dxa" w:w="1147"/>
            <w:shd w:val="clear" w:color="auto" w:fill="D9E2F3"/>
          </w:tcPr>
          <w:p>
            <w:pPr>
              <w:spacing w:after="20" w:before="20" w:line="240" w:lineRule="auto"/>
            </w:pPr>
            <w:r/>
            <w:r>
              <w:rPr>
                <w:b/>
                <w:sz w:val="18"/>
              </w:rPr>
              <w:t>Date</w:t>
            </w:r>
          </w:p>
        </w:tc>
      </w:tr>
      <w:tr>
        <w:tc>
          <w:tcPr>
            <w:tcW w:type="dxa" w:w="2868"/>
          </w:tcPr>
          <w:p>
            <w:pPr>
              <w:spacing w:after="20" w:before="20" w:line="240" w:lineRule="auto"/>
            </w:pPr>
            <w:r/>
            <w:r>
              <w:rPr>
                <w:sz w:val="18"/>
              </w:rPr>
              <w:t>Kevin Mugumya</w:t>
            </w:r>
          </w:p>
        </w:tc>
        <w:tc>
          <w:tcPr>
            <w:tcW w:type="dxa" w:w="4015"/>
          </w:tcPr>
          <w:p>
            <w:pPr>
              <w:spacing w:after="20" w:before="20" w:line="240" w:lineRule="auto"/>
            </w:pPr>
            <w:r/>
            <w:r>
              <w:rPr>
                <w:sz w:val="18"/>
              </w:rPr>
              <w:t>Manager, Data Science</w:t>
            </w:r>
          </w:p>
        </w:tc>
        <w:tc>
          <w:tcPr>
            <w:tcW w:type="dxa" w:w="1721"/>
          </w:tcPr>
          <w:p>
            <w:pPr>
              <w:spacing w:after="20" w:before="20" w:line="240" w:lineRule="auto"/>
            </w:pPr>
            <w:r/>
          </w:p>
        </w:tc>
        <w:tc>
          <w:tcPr>
            <w:tcW w:type="dxa" w:w="1147"/>
          </w:tcPr>
          <w:p>
            <w:pPr>
              <w:spacing w:after="20" w:before="20" w:line="240" w:lineRule="auto"/>
            </w:pPr>
            <w:r/>
          </w:p>
        </w:tc>
      </w:tr>
    </w:tbl>
    <w:p>
      <w:pPr>
        <w:spacing w:after="40"/>
      </w:pPr>
    </w:p>
    <w:p>
      <w:pPr>
        <w:pStyle w:val="Heading2"/>
      </w:pPr>
      <w:r>
        <w:t>Distribution</w:t>
      </w:r>
    </w:p>
    <w:p>
      <w:pPr>
        <w:spacing w:after="120"/>
      </w:pPr>
      <w:r>
        <w:t>This report was prepared by the Data Science Section under the Data, Innovations and Projects (DIP) Division of the Information Technology and Innovation Department (ITID). It records what was found in the customs data used by the Customs Taxpayer Risk Profiling Model before the version 3 retest: how complete the data is, where it repeats, how it is cleaned, and the data issues found, each with the declarations and taxpayers behind it in an attached workbook.</w:t>
      </w:r>
    </w:p>
    <w:p>
      <w:pPr>
        <w:pStyle w:val="Caption"/>
      </w:pPr>
      <w:r>
        <w:t xml:space="preserve">Table </w:t>
      </w:r>
      <w:r>
        <w:fldChar w:fldCharType="begin"/>
      </w:r>
      <w:r>
        <w:instrText xml:space="preserve"> SEQ Table \* ARABIC </w:instrText>
      </w:r>
      <w:r>
        <w:fldChar w:fldCharType="separate"/>
      </w:r>
      <w:r>
        <w:t>5</w:t>
      </w:r>
      <w:r>
        <w:fldChar w:fldCharType="end"/>
      </w:r>
      <w:r>
        <w:t>: Audience for Internal Distribution</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4876"/>
        <w:gridCol w:w="4876"/>
      </w:tblGrid>
      <w:tr>
        <w:trPr>
          <w:tblHeader w:val="true"/>
        </w:trPr>
        <w:tc>
          <w:tcPr>
            <w:tcW w:type="dxa" w:w="2868"/>
            <w:shd w:val="clear" w:color="auto" w:fill="D9E2F3"/>
          </w:tcPr>
          <w:p>
            <w:pPr>
              <w:spacing w:after="20" w:before="20" w:line="240" w:lineRule="auto"/>
            </w:pPr>
            <w:r/>
            <w:r>
              <w:rPr>
                <w:b/>
                <w:sz w:val="18"/>
              </w:rPr>
              <w:t>Audience</w:t>
            </w:r>
          </w:p>
        </w:tc>
        <w:tc>
          <w:tcPr>
            <w:tcW w:type="dxa" w:w="6883"/>
            <w:shd w:val="clear" w:color="auto" w:fill="D9E2F3"/>
          </w:tcPr>
          <w:p>
            <w:pPr>
              <w:spacing w:after="20" w:before="20" w:line="240" w:lineRule="auto"/>
            </w:pPr>
            <w:r/>
            <w:r>
              <w:rPr>
                <w:b/>
                <w:sz w:val="18"/>
              </w:rPr>
              <w:t>Primary Use</w:t>
            </w:r>
          </w:p>
        </w:tc>
      </w:tr>
      <w:tr>
        <w:tc>
          <w:tcPr>
            <w:tcW w:type="dxa" w:w="2868"/>
          </w:tcPr>
          <w:p>
            <w:pPr>
              <w:spacing w:after="20" w:before="20" w:line="240" w:lineRule="auto"/>
            </w:pPr>
            <w:r/>
            <w:r>
              <w:rPr>
                <w:sz w:val="18"/>
              </w:rPr>
              <w:t>Data Science</w:t>
            </w:r>
          </w:p>
        </w:tc>
        <w:tc>
          <w:tcPr>
            <w:tcW w:type="dxa" w:w="6883"/>
          </w:tcPr>
          <w:p>
            <w:pPr>
              <w:spacing w:after="20" w:before="20" w:line="240" w:lineRule="auto"/>
            </w:pPr>
            <w:r/>
            <w:r>
              <w:rPr>
                <w:sz w:val="18"/>
              </w:rPr>
              <w:t>Sign-off of the data the model is built on, and of how each issue is handled.</w:t>
            </w:r>
          </w:p>
        </w:tc>
      </w:tr>
      <w:tr>
        <w:tc>
          <w:tcPr>
            <w:tcW w:type="dxa" w:w="2868"/>
          </w:tcPr>
          <w:p>
            <w:pPr>
              <w:spacing w:after="20" w:before="20" w:line="240" w:lineRule="auto"/>
            </w:pPr>
            <w:r/>
            <w:r>
              <w:rPr>
                <w:sz w:val="18"/>
              </w:rPr>
              <w:t>Customs Risk Management</w:t>
            </w:r>
          </w:p>
        </w:tc>
        <w:tc>
          <w:tcPr>
            <w:tcW w:type="dxa" w:w="6883"/>
          </w:tcPr>
          <w:p>
            <w:pPr>
              <w:spacing w:after="20" w:before="20" w:line="240" w:lineRule="auto"/>
            </w:pPr>
            <w:r/>
            <w:r>
              <w:rPr>
                <w:sz w:val="18"/>
              </w:rPr>
              <w:t>Confirmation of the business readings in Part 6 (blank original tax, unflagged tax rises).</w:t>
            </w:r>
          </w:p>
        </w:tc>
      </w:tr>
      <w:tr>
        <w:tc>
          <w:tcPr>
            <w:tcW w:type="dxa" w:w="2868"/>
          </w:tcPr>
          <w:p>
            <w:pPr>
              <w:spacing w:after="20" w:before="20" w:line="240" w:lineRule="auto"/>
            </w:pPr>
            <w:r/>
            <w:r>
              <w:rPr>
                <w:sz w:val="18"/>
              </w:rPr>
              <w:t>Data Engineering</w:t>
            </w:r>
          </w:p>
        </w:tc>
        <w:tc>
          <w:tcPr>
            <w:tcW w:type="dxa" w:w="6883"/>
          </w:tcPr>
          <w:p>
            <w:pPr>
              <w:spacing w:after="20" w:before="20" w:line="240" w:lineRule="auto"/>
            </w:pPr>
            <w:r/>
            <w:r>
              <w:rPr>
                <w:sz w:val="18"/>
              </w:rPr>
              <w:t>The questions in Part 6 on the repeated item rows and the declarations with no lane flag.</w:t>
            </w:r>
          </w:p>
        </w:tc>
      </w:tr>
    </w:tbl>
    <w:p>
      <w:pPr>
        <w:spacing w:after="40"/>
      </w:pPr>
    </w:p>
    <w:p>
      <w:r>
        <w:br w:type="page"/>
      </w:r>
    </w:p>
    <w:p>
      <w:pPr>
        <w:pStyle w:val="TOCHeading"/>
      </w:pPr>
      <w:r>
        <w:t>Table of Contents</w:t>
      </w:r>
    </w:p>
    <w:p>
      <w:r>
        <w:fldChar w:fldCharType="begin"/>
      </w:r>
      <w:r>
        <w:instrText xml:space="preserve"> TOC \o "1-3" \h \z \u </w:instrText>
      </w:r>
      <w:r>
        <w:fldChar w:fldCharType="separate"/>
      </w:r>
      <w:r>
        <w:t>Right-click here and choose Update Field to build the contents.</w:t>
      </w:r>
      <w:r>
        <w:fldChar w:fldCharType="end"/>
      </w:r>
    </w:p>
    <w:p>
      <w:r>
        <w:br w:type="page"/>
      </w:r>
    </w:p>
    <w:p>
      <w:pPr>
        <w:pStyle w:val="Heading1"/>
      </w:pPr>
      <w:r>
        <w:t>List of Tables</w:t>
      </w:r>
    </w:p>
    <w:p>
      <w:r>
        <w:fldChar w:fldCharType="begin"/>
      </w:r>
      <w:r>
        <w:instrText xml:space="preserve"> TOC \h \z \c "Table" </w:instrText>
      </w:r>
      <w:r>
        <w:fldChar w:fldCharType="separate"/>
      </w:r>
      <w:r>
        <w:t>Right-click here and choose Update Field to list the tables.</w:t>
      </w:r>
      <w:r>
        <w:fldChar w:fldCharType="end"/>
      </w:r>
    </w:p>
    <w:p>
      <w:pPr>
        <w:pStyle w:val="Heading1"/>
      </w:pPr>
      <w:r>
        <w:t>List of Figures</w:t>
      </w:r>
    </w:p>
    <w:p>
      <w:r>
        <w:fldChar w:fldCharType="begin"/>
      </w:r>
      <w:r>
        <w:instrText xml:space="preserve"> TOC \h \z \c "Figure" </w:instrText>
      </w:r>
      <w:r>
        <w:fldChar w:fldCharType="separate"/>
      </w:r>
      <w:r>
        <w:t>Right-click here and choose Update Field to list the figures.</w:t>
      </w:r>
      <w:r>
        <w:fldChar w:fldCharType="end"/>
      </w:r>
    </w:p>
    <w:p>
      <w:r>
        <w:br w:type="page"/>
      </w:r>
    </w:p>
    <w:p>
      <w:pPr>
        <w:pStyle w:val="Heading1"/>
      </w:pPr>
      <w:r>
        <w:t>List of Acronyms</w:t>
      </w:r>
    </w:p>
    <w:p>
      <w:pPr>
        <w:pStyle w:val="Caption"/>
      </w:pPr>
      <w:r>
        <w:t xml:space="preserve">Table </w:t>
      </w:r>
      <w:r>
        <w:fldChar w:fldCharType="begin"/>
      </w:r>
      <w:r>
        <w:instrText xml:space="preserve"> SEQ Table \* ARABIC </w:instrText>
      </w:r>
      <w:r>
        <w:fldChar w:fldCharType="separate"/>
      </w:r>
      <w:r>
        <w:t>6</w:t>
      </w:r>
      <w:r>
        <w:fldChar w:fldCharType="end"/>
      </w:r>
      <w:r>
        <w:t>: Acronyms and Terms</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4876"/>
        <w:gridCol w:w="4876"/>
      </w:tblGrid>
      <w:tr>
        <w:trPr>
          <w:tblHeader w:val="true"/>
        </w:trPr>
        <w:tc>
          <w:tcPr>
            <w:tcW w:type="dxa" w:w="2008"/>
            <w:shd w:val="clear" w:color="auto" w:fill="D9E2F3"/>
          </w:tcPr>
          <w:p>
            <w:pPr>
              <w:spacing w:after="20" w:before="20" w:line="240" w:lineRule="auto"/>
            </w:pPr>
            <w:r/>
            <w:r>
              <w:rPr>
                <w:b/>
                <w:sz w:val="18"/>
              </w:rPr>
              <w:t>Term</w:t>
            </w:r>
          </w:p>
        </w:tc>
        <w:tc>
          <w:tcPr>
            <w:tcW w:type="dxa" w:w="7744"/>
            <w:shd w:val="clear" w:color="auto" w:fill="D9E2F3"/>
          </w:tcPr>
          <w:p>
            <w:pPr>
              <w:spacing w:after="20" w:before="20" w:line="240" w:lineRule="auto"/>
            </w:pPr>
            <w:r/>
            <w:r>
              <w:rPr>
                <w:b/>
                <w:sz w:val="18"/>
              </w:rPr>
              <w:t>Meaning</w:t>
            </w:r>
          </w:p>
        </w:tc>
      </w:tr>
      <w:tr>
        <w:tc>
          <w:tcPr>
            <w:tcW w:type="dxa" w:w="2008"/>
          </w:tcPr>
          <w:p>
            <w:pPr>
              <w:spacing w:after="20" w:before="20" w:line="240" w:lineRule="auto"/>
            </w:pPr>
            <w:r/>
            <w:r>
              <w:rPr>
                <w:sz w:val="18"/>
              </w:rPr>
              <w:t>APC</w:t>
            </w:r>
          </w:p>
        </w:tc>
        <w:tc>
          <w:tcPr>
            <w:tcW w:type="dxa" w:w="7744"/>
          </w:tcPr>
          <w:p>
            <w:pPr>
              <w:spacing w:after="20" w:before="20" w:line="240" w:lineRule="auto"/>
            </w:pPr>
            <w:r/>
            <w:r>
              <w:rPr>
                <w:sz w:val="18"/>
              </w:rPr>
              <w:t>Additional Procedure Code: the last 3 digits of the CPC; claims a rebate or exemption</w:t>
            </w:r>
          </w:p>
        </w:tc>
      </w:tr>
      <w:tr>
        <w:tc>
          <w:tcPr>
            <w:tcW w:type="dxa" w:w="2008"/>
          </w:tcPr>
          <w:p>
            <w:pPr>
              <w:spacing w:after="20" w:before="20" w:line="240" w:lineRule="auto"/>
            </w:pPr>
            <w:r/>
            <w:r>
              <w:rPr>
                <w:sz w:val="18"/>
              </w:rPr>
              <w:t>ASYCUDA</w:t>
            </w:r>
          </w:p>
        </w:tc>
        <w:tc>
          <w:tcPr>
            <w:tcW w:type="dxa" w:w="7744"/>
          </w:tcPr>
          <w:p>
            <w:pPr>
              <w:spacing w:after="20" w:before="20" w:line="240" w:lineRule="auto"/>
            </w:pPr>
            <w:r/>
            <w:r>
              <w:rPr>
                <w:sz w:val="18"/>
              </w:rPr>
              <w:t>Automated System for Customs Data</w:t>
            </w:r>
          </w:p>
        </w:tc>
      </w:tr>
      <w:tr>
        <w:tc>
          <w:tcPr>
            <w:tcW w:type="dxa" w:w="2008"/>
          </w:tcPr>
          <w:p>
            <w:pPr>
              <w:spacing w:after="20" w:before="20" w:line="240" w:lineRule="auto"/>
            </w:pPr>
            <w:r/>
            <w:r>
              <w:rPr>
                <w:sz w:val="18"/>
              </w:rPr>
              <w:t>CPC</w:t>
            </w:r>
          </w:p>
        </w:tc>
        <w:tc>
          <w:tcPr>
            <w:tcW w:type="dxa" w:w="7744"/>
          </w:tcPr>
          <w:p>
            <w:pPr>
              <w:spacing w:after="20" w:before="20" w:line="240" w:lineRule="auto"/>
            </w:pPr>
            <w:r/>
            <w:r>
              <w:rPr>
                <w:sz w:val="18"/>
              </w:rPr>
              <w:t>Customs Procedure Code (EPC + APC)</w:t>
            </w:r>
          </w:p>
        </w:tc>
      </w:tr>
      <w:tr>
        <w:tc>
          <w:tcPr>
            <w:tcW w:type="dxa" w:w="2008"/>
          </w:tcPr>
          <w:p>
            <w:pPr>
              <w:spacing w:after="20" w:before="20" w:line="240" w:lineRule="auto"/>
            </w:pPr>
            <w:r/>
            <w:r>
              <w:rPr>
                <w:sz w:val="18"/>
              </w:rPr>
              <w:t>Declaration ID</w:t>
            </w:r>
          </w:p>
        </w:tc>
        <w:tc>
          <w:tcPr>
            <w:tcW w:type="dxa" w:w="7744"/>
          </w:tcPr>
          <w:p>
            <w:pPr>
              <w:spacing w:after="20" w:before="20" w:line="240" w:lineRule="auto"/>
            </w:pPr>
            <w:r/>
            <w:r>
              <w:rPr>
                <w:sz w:val="18"/>
              </w:rPr>
              <w:t>instance_id: the number the system gives each declaration record; it links the header, item and inspection tables</w:t>
            </w:r>
          </w:p>
        </w:tc>
      </w:tr>
      <w:tr>
        <w:tc>
          <w:tcPr>
            <w:tcW w:type="dxa" w:w="2008"/>
          </w:tcPr>
          <w:p>
            <w:pPr>
              <w:spacing w:after="20" w:before="20" w:line="240" w:lineRule="auto"/>
            </w:pPr>
            <w:r/>
            <w:r>
              <w:rPr>
                <w:sz w:val="18"/>
              </w:rPr>
              <w:t>EDA</w:t>
            </w:r>
          </w:p>
        </w:tc>
        <w:tc>
          <w:tcPr>
            <w:tcW w:type="dxa" w:w="7744"/>
          </w:tcPr>
          <w:p>
            <w:pPr>
              <w:spacing w:after="20" w:before="20" w:line="240" w:lineRule="auto"/>
            </w:pPr>
            <w:r/>
            <w:r>
              <w:rPr>
                <w:sz w:val="18"/>
              </w:rPr>
              <w:t>Exploratory Data Analysis</w:t>
            </w:r>
          </w:p>
        </w:tc>
      </w:tr>
      <w:tr>
        <w:tc>
          <w:tcPr>
            <w:tcW w:type="dxa" w:w="2008"/>
          </w:tcPr>
          <w:p>
            <w:pPr>
              <w:spacing w:after="20" w:before="20" w:line="240" w:lineRule="auto"/>
            </w:pPr>
            <w:r/>
            <w:r>
              <w:rPr>
                <w:sz w:val="18"/>
              </w:rPr>
              <w:t>Entry</w:t>
            </w:r>
          </w:p>
        </w:tc>
        <w:tc>
          <w:tcPr>
            <w:tcW w:type="dxa" w:w="7744"/>
          </w:tcPr>
          <w:p>
            <w:pPr>
              <w:spacing w:after="20" w:before="20" w:line="240" w:lineRule="auto"/>
            </w:pPr>
            <w:r/>
            <w:r>
              <w:rPr>
                <w:sz w:val="18"/>
              </w:rPr>
              <w:t>A declaration as officers know it: entry number + station + year (for example C 12345, UGKLA, 2026)</w:t>
            </w:r>
          </w:p>
        </w:tc>
      </w:tr>
      <w:tr>
        <w:tc>
          <w:tcPr>
            <w:tcW w:type="dxa" w:w="2008"/>
          </w:tcPr>
          <w:p>
            <w:pPr>
              <w:spacing w:after="20" w:before="20" w:line="240" w:lineRule="auto"/>
            </w:pPr>
            <w:r/>
            <w:r>
              <w:rPr>
                <w:sz w:val="18"/>
              </w:rPr>
              <w:t>EPC</w:t>
            </w:r>
          </w:p>
        </w:tc>
        <w:tc>
          <w:tcPr>
            <w:tcW w:type="dxa" w:w="7744"/>
          </w:tcPr>
          <w:p>
            <w:pPr>
              <w:spacing w:after="20" w:before="20" w:line="240" w:lineRule="auto"/>
            </w:pPr>
            <w:r/>
            <w:r>
              <w:rPr>
                <w:sz w:val="18"/>
              </w:rPr>
              <w:t>Extended Procedure Code: the first 4 digits of the CPC</w:t>
            </w:r>
          </w:p>
        </w:tc>
      </w:tr>
      <w:tr>
        <w:tc>
          <w:tcPr>
            <w:tcW w:type="dxa" w:w="2008"/>
          </w:tcPr>
          <w:p>
            <w:pPr>
              <w:spacing w:after="20" w:before="20" w:line="240" w:lineRule="auto"/>
            </w:pPr>
            <w:r/>
            <w:r>
              <w:rPr>
                <w:sz w:val="18"/>
              </w:rPr>
              <w:t>HS</w:t>
            </w:r>
          </w:p>
        </w:tc>
        <w:tc>
          <w:tcPr>
            <w:tcW w:type="dxa" w:w="7744"/>
          </w:tcPr>
          <w:p>
            <w:pPr>
              <w:spacing w:after="20" w:before="20" w:line="240" w:lineRule="auto"/>
            </w:pPr>
            <w:r/>
            <w:r>
              <w:rPr>
                <w:sz w:val="18"/>
              </w:rPr>
              <w:t>Harmonized System of commodity classification</w:t>
            </w:r>
          </w:p>
        </w:tc>
      </w:tr>
      <w:tr>
        <w:tc>
          <w:tcPr>
            <w:tcW w:type="dxa" w:w="2008"/>
          </w:tcPr>
          <w:p>
            <w:pPr>
              <w:spacing w:after="20" w:before="20" w:line="240" w:lineRule="auto"/>
            </w:pPr>
            <w:r/>
            <w:r>
              <w:rPr>
                <w:sz w:val="18"/>
              </w:rPr>
              <w:t>IM4, IM7</w:t>
            </w:r>
          </w:p>
        </w:tc>
        <w:tc>
          <w:tcPr>
            <w:tcW w:type="dxa" w:w="7744"/>
          </w:tcPr>
          <w:p>
            <w:pPr>
              <w:spacing w:after="20" w:before="20" w:line="240" w:lineRule="auto"/>
            </w:pPr>
            <w:r/>
            <w:r>
              <w:rPr>
                <w:sz w:val="18"/>
              </w:rPr>
              <w:t>Import for home use; import into a warehouse</w:t>
            </w:r>
          </w:p>
        </w:tc>
      </w:tr>
      <w:tr>
        <w:tc>
          <w:tcPr>
            <w:tcW w:type="dxa" w:w="2008"/>
          </w:tcPr>
          <w:p>
            <w:pPr>
              <w:spacing w:after="20" w:before="20" w:line="240" w:lineRule="auto"/>
            </w:pPr>
            <w:r/>
            <w:r>
              <w:rPr>
                <w:sz w:val="18"/>
              </w:rPr>
              <w:t>ITID</w:t>
            </w:r>
          </w:p>
        </w:tc>
        <w:tc>
          <w:tcPr>
            <w:tcW w:type="dxa" w:w="7744"/>
          </w:tcPr>
          <w:p>
            <w:pPr>
              <w:spacing w:after="20" w:before="20" w:line="240" w:lineRule="auto"/>
            </w:pPr>
            <w:r/>
            <w:r>
              <w:rPr>
                <w:sz w:val="18"/>
              </w:rPr>
              <w:t>Information Technology and Innovation Department</w:t>
            </w:r>
          </w:p>
        </w:tc>
      </w:tr>
      <w:tr>
        <w:tc>
          <w:tcPr>
            <w:tcW w:type="dxa" w:w="2008"/>
          </w:tcPr>
          <w:p>
            <w:pPr>
              <w:spacing w:after="20" w:before="20" w:line="240" w:lineRule="auto"/>
            </w:pPr>
            <w:r/>
            <w:r>
              <w:rPr>
                <w:sz w:val="18"/>
              </w:rPr>
              <w:t>Snapshot</w:t>
            </w:r>
          </w:p>
        </w:tc>
        <w:tc>
          <w:tcPr>
            <w:tcW w:type="dxa" w:w="7744"/>
          </w:tcPr>
          <w:p>
            <w:pPr>
              <w:spacing w:after="20" w:before="20" w:line="240" w:lineRule="auto"/>
            </w:pPr>
            <w:r/>
            <w:r>
              <w:rPr>
                <w:sz w:val="18"/>
              </w:rPr>
              <w:t>The date at which taxpayers are profiled; features come from the 24 months before it</w:t>
            </w:r>
          </w:p>
        </w:tc>
      </w:tr>
      <w:tr>
        <w:tc>
          <w:tcPr>
            <w:tcW w:type="dxa" w:w="2008"/>
          </w:tcPr>
          <w:p>
            <w:pPr>
              <w:spacing w:after="20" w:before="20" w:line="240" w:lineRule="auto"/>
            </w:pPr>
            <w:r/>
            <w:r>
              <w:rPr>
                <w:sz w:val="18"/>
              </w:rPr>
              <w:t>TIN</w:t>
            </w:r>
          </w:p>
        </w:tc>
        <w:tc>
          <w:tcPr>
            <w:tcW w:type="dxa" w:w="7744"/>
          </w:tcPr>
          <w:p>
            <w:pPr>
              <w:spacing w:after="20" w:before="20" w:line="240" w:lineRule="auto"/>
            </w:pPr>
            <w:r/>
            <w:r>
              <w:rPr>
                <w:sz w:val="18"/>
              </w:rPr>
              <w:t>Taxpayer Identification Number</w:t>
            </w:r>
          </w:p>
        </w:tc>
      </w:tr>
      <w:tr>
        <w:tc>
          <w:tcPr>
            <w:tcW w:type="dxa" w:w="2008"/>
          </w:tcPr>
          <w:p>
            <w:pPr>
              <w:spacing w:after="20" w:before="20" w:line="240" w:lineRule="auto"/>
            </w:pPr>
            <w:r/>
            <w:r>
              <w:rPr>
                <w:sz w:val="18"/>
              </w:rPr>
              <w:t>Top-up</w:t>
            </w:r>
          </w:p>
        </w:tc>
        <w:tc>
          <w:tcPr>
            <w:tcW w:type="dxa" w:w="7744"/>
          </w:tcPr>
          <w:p>
            <w:pPr>
              <w:spacing w:after="20" w:before="20" w:line="240" w:lineRule="auto"/>
            </w:pPr>
            <w:r/>
            <w:r>
              <w:rPr>
                <w:sz w:val="18"/>
              </w:rPr>
              <w:t>Tax raised after assessment: flag Y and final tax above original tax</w:t>
            </w:r>
          </w:p>
        </w:tc>
      </w:tr>
      <w:tr>
        <w:tc>
          <w:tcPr>
            <w:tcW w:type="dxa" w:w="2008"/>
          </w:tcPr>
          <w:p>
            <w:pPr>
              <w:spacing w:after="20" w:before="20" w:line="240" w:lineRule="auto"/>
            </w:pPr>
            <w:r/>
            <w:r>
              <w:rPr>
                <w:sz w:val="18"/>
              </w:rPr>
              <w:t>UGX</w:t>
            </w:r>
          </w:p>
        </w:tc>
        <w:tc>
          <w:tcPr>
            <w:tcW w:type="dxa" w:w="7744"/>
          </w:tcPr>
          <w:p>
            <w:pPr>
              <w:spacing w:after="20" w:before="20" w:line="240" w:lineRule="auto"/>
            </w:pPr>
            <w:r/>
            <w:r>
              <w:rPr>
                <w:sz w:val="18"/>
              </w:rPr>
              <w:t>Uganda Shillings</w:t>
            </w:r>
          </w:p>
        </w:tc>
      </w:tr>
      <w:tr>
        <w:tc>
          <w:tcPr>
            <w:tcW w:type="dxa" w:w="2008"/>
          </w:tcPr>
          <w:p>
            <w:pPr>
              <w:spacing w:after="20" w:before="20" w:line="240" w:lineRule="auto"/>
            </w:pPr>
            <w:r/>
            <w:r>
              <w:rPr>
                <w:sz w:val="18"/>
              </w:rPr>
              <w:t>URA</w:t>
            </w:r>
          </w:p>
        </w:tc>
        <w:tc>
          <w:tcPr>
            <w:tcW w:type="dxa" w:w="7744"/>
          </w:tcPr>
          <w:p>
            <w:pPr>
              <w:spacing w:after="20" w:before="20" w:line="240" w:lineRule="auto"/>
            </w:pPr>
            <w:r/>
            <w:r>
              <w:rPr>
                <w:sz w:val="18"/>
              </w:rPr>
              <w:t>Uganda Revenue Authority</w:t>
            </w:r>
          </w:p>
        </w:tc>
      </w:tr>
    </w:tbl>
    <w:p>
      <w:pPr>
        <w:spacing w:after="40"/>
      </w:pPr>
    </w:p>
    <w:p>
      <w:pPr>
        <w:sectPr>
          <w:footerReference w:type="default" r:id="rId21"/>
          <w:headerReference w:type="default" r:id="rId24"/>
          <w:pgSz w:w="11906" w:h="16838" w:code="9"/>
          <w:pgMar w:top="1440" w:right="1077" w:bottom="1440" w:left="1077" w:header="706" w:footer="706" w:gutter="0"/>
          <w:cols w:space="720"/>
          <w:docGrid w:linePitch="360"/>
          <w:pgNumType w:fmt="lowerRoman" w:start="1"/>
        </w:sectPr>
      </w:pPr>
    </w:p>
    <w:p/>
    <w:p/>
    <w:p/>
    <w:p/>
    <w:p/>
    <w:p/>
    <w:p>
      <w:pPr>
        <w:pStyle w:val="Heading1"/>
      </w:pPr>
      <w:r>
        <w:t>PART 1: PURPOSE, DATA AND EVIDENCE</w:t>
      </w:r>
    </w:p>
    <w:p>
      <w:pPr>
        <w:spacing w:after="120"/>
      </w:pPr>
      <w:r>
        <w:t>This part sets out why the data was explored, which data was used, how declarations are identified, and the evidence workbooks that come with this report.</w:t>
      </w:r>
    </w:p>
    <w:p>
      <w:r>
        <w:br w:type="page"/>
      </w:r>
    </w:p>
    <w:p>
      <w:pPr>
        <w:pStyle w:val="Heading2"/>
      </w:pPr>
      <w:r>
        <w:t>1.1 Purpose</w:t>
      </w:r>
    </w:p>
    <w:p>
      <w:pPr>
        <w:spacing w:after="120"/>
      </w:pPr>
      <w:r>
        <w:t xml:space="preserve">Before the model is retested (version 3: motor vehicle declarations removed, and each entry identified by entry number, station and year), the data it reads was checked for two things in particular: </w:t>
      </w:r>
      <w:r>
        <w:rPr>
          <w:b/>
        </w:rPr>
        <w:t>missing data</w:t>
      </w:r>
      <w:r>
        <w:t xml:space="preserve"> and </w:t>
      </w:r>
      <w:r>
        <w:rPr>
          <w:b/>
        </w:rPr>
        <w:t>duplicates</w:t>
      </w:r>
      <w:r>
        <w:t>. Along the way ten data issues were found. For each one this report states what was found, how many declarations and taxpayers it touches, and what the model does about it.</w:t>
      </w:r>
    </w:p>
    <w:p>
      <w:pPr>
        <w:pStyle w:val="Heading2"/>
      </w:pPr>
      <w:r>
        <w:t>1.2 The Data</w:t>
      </w:r>
    </w:p>
    <w:p>
      <w:pPr>
        <w:spacing w:after="120"/>
      </w:pPr>
      <w:r>
        <w:t>The model reads one view prepared by Data Engineering, dm_modeled_ura_datascience.vw_cstm_AEO_model. One row of the view is one item on one declaration. The view joins three tables on the declaration ID:</w:t>
      </w:r>
    </w:p>
    <w:p>
      <w:pPr>
        <w:pStyle w:val="ListParagraph"/>
        <w:numPr>
          <w:ilvl w:val="0"/>
          <w:numId w:val="901"/>
        </w:numPr>
        <w:spacing w:after="60"/>
      </w:pPr>
      <w:r>
        <w:rPr>
          <w:b/>
        </w:rPr>
        <w:t>Declaration header</w:t>
      </w:r>
      <w:r>
        <w:t xml:space="preserve"> (dm_modeled_ura.ft_cstm_decl_hdr): the taxpayer, date, station, regime, status, tax and flags of the declaration;</w:t>
      </w:r>
    </w:p>
    <w:p>
      <w:pPr>
        <w:pStyle w:val="ListParagraph"/>
        <w:numPr>
          <w:ilvl w:val="0"/>
          <w:numId w:val="901"/>
        </w:numPr>
        <w:spacing w:after="60"/>
      </w:pPr>
      <w:r>
        <w:rPr>
          <w:b/>
        </w:rPr>
        <w:t>Items</w:t>
      </w:r>
      <w:r>
        <w:t xml:space="preserve"> (dm_modeled_ura.ft_cstm_decl_item_tax): HS code, origin, value, weight and tax of each item;</w:t>
      </w:r>
    </w:p>
    <w:p>
      <w:pPr>
        <w:pStyle w:val="ListParagraph"/>
        <w:numPr>
          <w:ilvl w:val="0"/>
          <w:numId w:val="901"/>
        </w:numPr>
        <w:spacing w:after="60"/>
      </w:pPr>
      <w:r>
        <w:rPr>
          <w:b/>
        </w:rPr>
        <w:t>Inspection actions</w:t>
      </w:r>
      <w:r>
        <w:t xml:space="preserve"> (awunadm.insp_act_tab_t): what was done at inspection.</w:t>
      </w:r>
    </w:p>
    <w:p>
      <w:pPr>
        <w:spacing w:after="120"/>
      </w:pPr>
      <w:r>
        <w:t>Unless stated otherwise, the figures cover IM4 and IM7 declarations assessed in the 24 months to 30 September 2026: 4,585,662 item rows on 1,301,602 declarations.</w:t>
      </w:r>
    </w:p>
    <w:p>
      <w:pPr>
        <w:pStyle w:val="Heading2"/>
      </w:pPr>
      <w:r>
        <w:t>1.3 Entries and Declaration IDs</w:t>
      </w:r>
    </w:p>
    <w:p>
      <w:pPr>
        <w:spacing w:after="120"/>
      </w:pPr>
      <w:r>
        <w:t xml:space="preserve">An </w:t>
      </w:r>
      <w:r>
        <w:rPr>
          <w:b/>
        </w:rPr>
        <w:t>entry</w:t>
      </w:r>
      <w:r>
        <w:t xml:space="preserve"> is the declaration as officers and agents know it: an entry number such as C 12345, which is unique only within a station and a year. The model therefore identifies an entry by </w:t>
      </w:r>
      <w:r>
        <w:rPr>
          <w:b/>
        </w:rPr>
        <w:t>entry number + station + year</w:t>
      </w:r>
      <w:r>
        <w:t>.</w:t>
      </w:r>
    </w:p>
    <w:p>
      <w:pPr>
        <w:spacing w:after="120"/>
      </w:pPr>
      <w:r>
        <w:t xml:space="preserve">A </w:t>
      </w:r>
      <w:r>
        <w:rPr>
          <w:b/>
        </w:rPr>
        <w:t>declaration ID</w:t>
      </w:r>
      <w:r>
        <w:t xml:space="preserve"> (instance_id) is the number the system gives each declaration record. It is what links the header, item and inspection tables. If an entry were lodged again as a new record, it would carry two declaration IDs; the model would then keep only the latest. Issue E01 checks this.</w:t>
      </w:r>
    </w:p>
    <w:p>
      <w:pPr>
        <w:pStyle w:val="Heading2"/>
      </w:pPr>
      <w:r>
        <w:t>1.4 The Evidence Workbooks</w:t>
      </w:r>
    </w:p>
    <w:p>
      <w:pPr>
        <w:spacing w:after="120"/>
      </w:pPr>
      <w:r>
        <w:t>Each issue in Part 5 has its own Excel workbook in the evidence folder. Every workbook has the same four sheets, so a Risk Officer or Data Engineer can find and check any declaration.</w:t>
      </w:r>
    </w:p>
    <w:p>
      <w:pPr>
        <w:pStyle w:val="Caption"/>
      </w:pPr>
      <w:r>
        <w:t xml:space="preserve">Table </w:t>
      </w:r>
      <w:r>
        <w:fldChar w:fldCharType="begin"/>
      </w:r>
      <w:r>
        <w:instrText xml:space="preserve"> SEQ Table \* ARABIC </w:instrText>
      </w:r>
      <w:r>
        <w:fldChar w:fldCharType="separate"/>
      </w:r>
      <w:r>
        <w:t>7</w:t>
      </w:r>
      <w:r>
        <w:fldChar w:fldCharType="end"/>
      </w:r>
      <w:r>
        <w:t>: Sheets in Each Evidence Workbook</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4876"/>
        <w:gridCol w:w="4876"/>
      </w:tblGrid>
      <w:tr>
        <w:trPr>
          <w:tblHeader w:val="true"/>
        </w:trPr>
        <w:tc>
          <w:tcPr>
            <w:tcW w:type="dxa" w:w="2008"/>
            <w:shd w:val="clear" w:color="auto" w:fill="D9E2F3"/>
          </w:tcPr>
          <w:p>
            <w:pPr>
              <w:spacing w:after="20" w:before="20" w:line="240" w:lineRule="auto"/>
            </w:pPr>
            <w:r/>
            <w:r>
              <w:rPr>
                <w:b/>
                <w:sz w:val="18"/>
              </w:rPr>
              <w:t>Sheet</w:t>
            </w:r>
          </w:p>
        </w:tc>
        <w:tc>
          <w:tcPr>
            <w:tcW w:type="dxa" w:w="7744"/>
            <w:shd w:val="clear" w:color="auto" w:fill="D9E2F3"/>
          </w:tcPr>
          <w:p>
            <w:pPr>
              <w:spacing w:after="20" w:before="20" w:line="240" w:lineRule="auto"/>
            </w:pPr>
            <w:r/>
            <w:r>
              <w:rPr>
                <w:b/>
                <w:sz w:val="18"/>
              </w:rPr>
              <w:t>What it holds</w:t>
            </w:r>
          </w:p>
        </w:tc>
      </w:tr>
      <w:tr>
        <w:tc>
          <w:tcPr>
            <w:tcW w:type="dxa" w:w="2008"/>
          </w:tcPr>
          <w:p>
            <w:pPr>
              <w:spacing w:after="20" w:before="20" w:line="240" w:lineRule="auto"/>
            </w:pPr>
            <w:r/>
            <w:r>
              <w:rPr>
                <w:sz w:val="18"/>
              </w:rPr>
              <w:t>Issue</w:t>
            </w:r>
          </w:p>
        </w:tc>
        <w:tc>
          <w:tcPr>
            <w:tcW w:type="dxa" w:w="7744"/>
          </w:tcPr>
          <w:p>
            <w:pPr>
              <w:spacing w:after="20" w:before="20" w:line="240" w:lineRule="auto"/>
            </w:pPr>
            <w:r/>
            <w:r>
              <w:rPr>
                <w:sz w:val="18"/>
              </w:rPr>
              <w:t>What was found, what the model does, and how to check it in ASYCUDA (Risk Officers) or in the data lake (Data Engineering)</w:t>
            </w:r>
          </w:p>
        </w:tc>
      </w:tr>
      <w:tr>
        <w:tc>
          <w:tcPr>
            <w:tcW w:type="dxa" w:w="2008"/>
          </w:tcPr>
          <w:p>
            <w:pPr>
              <w:spacing w:after="20" w:before="20" w:line="240" w:lineRule="auto"/>
            </w:pPr>
            <w:r/>
            <w:r>
              <w:rPr>
                <w:sz w:val="18"/>
              </w:rPr>
              <w:t>Entry list</w:t>
            </w:r>
          </w:p>
        </w:tc>
        <w:tc>
          <w:tcPr>
            <w:tcW w:type="dxa" w:w="7744"/>
          </w:tcPr>
          <w:p>
            <w:pPr>
              <w:spacing w:after="20" w:before="20" w:line="240" w:lineRule="auto"/>
            </w:pPr>
            <w:r/>
            <w:r>
              <w:rPr>
                <w:sz w:val="18"/>
              </w:rPr>
              <w:t>One row per declaration: entry number, station, year, declaration ID, date, taxpayer, consignee, regime, APCs, tax and flags, with a column for the reviewer's verdict</w:t>
            </w:r>
          </w:p>
        </w:tc>
      </w:tr>
      <w:tr>
        <w:tc>
          <w:tcPr>
            <w:tcW w:type="dxa" w:w="2008"/>
          </w:tcPr>
          <w:p>
            <w:pPr>
              <w:spacing w:after="20" w:before="20" w:line="240" w:lineRule="auto"/>
            </w:pPr>
            <w:r/>
            <w:r>
              <w:rPr>
                <w:sz w:val="18"/>
              </w:rPr>
              <w:t>Taxpayers</w:t>
            </w:r>
          </w:p>
        </w:tc>
        <w:tc>
          <w:tcPr>
            <w:tcW w:type="dxa" w:w="7744"/>
          </w:tcPr>
          <w:p>
            <w:pPr>
              <w:spacing w:after="20" w:before="20" w:line="240" w:lineRule="auto"/>
            </w:pPr>
            <w:r/>
            <w:r>
              <w:rPr>
                <w:sz w:val="18"/>
              </w:rPr>
              <w:t>One row per TIN: name and the number of declarations affected</w:t>
            </w:r>
          </w:p>
        </w:tc>
      </w:tr>
      <w:tr>
        <w:tc>
          <w:tcPr>
            <w:tcW w:type="dxa" w:w="2008"/>
          </w:tcPr>
          <w:p>
            <w:pPr>
              <w:spacing w:after="20" w:before="20" w:line="240" w:lineRule="auto"/>
            </w:pPr>
            <w:r/>
            <w:r>
              <w:rPr>
                <w:sz w:val="18"/>
              </w:rPr>
              <w:t>Item rows</w:t>
            </w:r>
          </w:p>
        </w:tc>
        <w:tc>
          <w:tcPr>
            <w:tcW w:type="dxa" w:w="7744"/>
          </w:tcPr>
          <w:p>
            <w:pPr>
              <w:spacing w:after="20" w:before="20" w:line="240" w:lineRule="auto"/>
            </w:pPr>
            <w:r/>
            <w:r>
              <w:rPr>
                <w:sz w:val="18"/>
              </w:rPr>
              <w:t>The rows exactly as the view returned them</w:t>
            </w:r>
          </w:p>
        </w:tc>
      </w:tr>
    </w:tbl>
    <w:p>
      <w:pPr>
        <w:spacing w:after="40"/>
      </w:pPr>
    </w:p>
    <w:p>
      <w:r>
        <w:br w:type="page"/>
      </w:r>
    </w:p>
    <w:p/>
    <w:p/>
    <w:p/>
    <w:p/>
    <w:p/>
    <w:p/>
    <w:p>
      <w:pPr>
        <w:pStyle w:val="Heading1"/>
      </w:pPr>
      <w:r>
        <w:t>PART 2: MISSING DATA</w:t>
      </w:r>
    </w:p>
    <w:p>
      <w:pPr>
        <w:spacing w:after="120"/>
      </w:pPr>
      <w:r>
        <w:t>Almost every column is complete. Two need a reading: the original tax, blank on a quarter of rows, and the lane flags, which look half empty but are not. Both are explained by how the data is recorded.</w:t>
      </w:r>
    </w:p>
    <w:p>
      <w:r>
        <w:br w:type="page"/>
      </w:r>
    </w:p>
    <w:p>
      <w:pPr>
        <w:pStyle w:val="Heading2"/>
      </w:pPr>
      <w:r>
        <w:t>2.1 Completeness by Column</w:t>
      </w:r>
    </w:p>
    <w:p>
      <w:pPr>
        <w:spacing w:after="120"/>
      </w:pPr>
      <w:r>
        <w:t>Of the 27 columns checked, 22 have no blanks at all, and only three are blank on more than 1 row in 10,000.</w:t>
      </w:r>
    </w:p>
    <w:p>
      <w:pPr>
        <w:pStyle w:val="Caption"/>
      </w:pPr>
      <w:r>
        <w:t xml:space="preserve">Table </w:t>
      </w:r>
      <w:r>
        <w:fldChar w:fldCharType="begin"/>
      </w:r>
      <w:r>
        <w:instrText xml:space="preserve"> SEQ Table \* ARABIC </w:instrText>
      </w:r>
      <w:r>
        <w:fldChar w:fldCharType="separate"/>
      </w:r>
      <w:r>
        <w:t>8</w:t>
      </w:r>
      <w:r>
        <w:fldChar w:fldCharType="end"/>
      </w:r>
      <w:r>
        <w:t>: Columns with Blanks (24 months to September 2026)</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3251"/>
        <w:gridCol w:w="3251"/>
        <w:gridCol w:w="3251"/>
      </w:tblGrid>
      <w:tr>
        <w:trPr>
          <w:tblHeader w:val="true"/>
        </w:trPr>
        <w:tc>
          <w:tcPr>
            <w:tcW w:type="dxa" w:w="3442"/>
            <w:shd w:val="clear" w:color="auto" w:fill="D9E2F3"/>
          </w:tcPr>
          <w:p>
            <w:pPr>
              <w:spacing w:after="20" w:before="20" w:line="240" w:lineRule="auto"/>
            </w:pPr>
            <w:r/>
            <w:r>
              <w:rPr>
                <w:b/>
                <w:sz w:val="18"/>
              </w:rPr>
              <w:t>Column</w:t>
            </w:r>
          </w:p>
        </w:tc>
        <w:tc>
          <w:tcPr>
            <w:tcW w:type="dxa" w:w="1721"/>
            <w:shd w:val="clear" w:color="auto" w:fill="D9E2F3"/>
          </w:tcPr>
          <w:p>
            <w:pPr>
              <w:spacing w:after="20" w:before="20" w:line="240" w:lineRule="auto"/>
            </w:pPr>
            <w:r/>
            <w:r>
              <w:rPr>
                <w:b/>
                <w:sz w:val="18"/>
              </w:rPr>
              <w:t>Blank, % of rows</w:t>
            </w:r>
          </w:p>
        </w:tc>
        <w:tc>
          <w:tcPr>
            <w:tcW w:type="dxa" w:w="4589"/>
            <w:shd w:val="clear" w:color="auto" w:fill="D9E2F3"/>
          </w:tcPr>
          <w:p>
            <w:pPr>
              <w:spacing w:after="20" w:before="20" w:line="240" w:lineRule="auto"/>
            </w:pPr>
            <w:r/>
            <w:r>
              <w:rPr>
                <w:b/>
                <w:sz w:val="18"/>
              </w:rPr>
              <w:t>Reading</w:t>
            </w:r>
          </w:p>
        </w:tc>
      </w:tr>
      <w:tr>
        <w:tc>
          <w:tcPr>
            <w:tcW w:type="dxa" w:w="3442"/>
          </w:tcPr>
          <w:p>
            <w:pPr>
              <w:spacing w:after="20" w:before="20" w:line="240" w:lineRule="auto"/>
            </w:pPr>
            <w:r/>
            <w:r>
              <w:rPr>
                <w:sz w:val="18"/>
              </w:rPr>
              <w:t>Red lane flag (is_red_flg)</w:t>
            </w:r>
          </w:p>
        </w:tc>
        <w:tc>
          <w:tcPr>
            <w:tcW w:type="dxa" w:w="1721"/>
          </w:tcPr>
          <w:p>
            <w:pPr>
              <w:spacing w:after="20" w:before="20" w:line="240" w:lineRule="auto"/>
            </w:pPr>
            <w:r/>
            <w:r>
              <w:rPr>
                <w:sz w:val="18"/>
              </w:rPr>
              <w:t>48.9</w:t>
            </w:r>
          </w:p>
        </w:tc>
        <w:tc>
          <w:tcPr>
            <w:tcW w:type="dxa" w:w="4589"/>
          </w:tcPr>
          <w:p>
            <w:pPr>
              <w:spacing w:after="20" w:before="20" w:line="240" w:lineRule="auto"/>
            </w:pPr>
            <w:r/>
            <w:r>
              <w:rPr>
                <w:sz w:val="18"/>
              </w:rPr>
              <w:t>Not missing: see 2.3</w:t>
            </w:r>
          </w:p>
        </w:tc>
      </w:tr>
      <w:tr>
        <w:tc>
          <w:tcPr>
            <w:tcW w:type="dxa" w:w="3442"/>
          </w:tcPr>
          <w:p>
            <w:pPr>
              <w:spacing w:after="20" w:before="20" w:line="240" w:lineRule="auto"/>
            </w:pPr>
            <w:r/>
            <w:r>
              <w:rPr>
                <w:sz w:val="18"/>
              </w:rPr>
              <w:t>Original tax (original_tax_amt)</w:t>
            </w:r>
          </w:p>
        </w:tc>
        <w:tc>
          <w:tcPr>
            <w:tcW w:type="dxa" w:w="1721"/>
          </w:tcPr>
          <w:p>
            <w:pPr>
              <w:spacing w:after="20" w:before="20" w:line="240" w:lineRule="auto"/>
            </w:pPr>
            <w:r/>
            <w:r>
              <w:rPr>
                <w:sz w:val="18"/>
              </w:rPr>
              <w:t>24.8</w:t>
            </w:r>
          </w:p>
        </w:tc>
        <w:tc>
          <w:tcPr>
            <w:tcW w:type="dxa" w:w="4589"/>
          </w:tcPr>
          <w:p>
            <w:pPr>
              <w:spacing w:after="20" w:before="20" w:line="240" w:lineRule="auto"/>
            </w:pPr>
            <w:r/>
            <w:r>
              <w:rPr>
                <w:sz w:val="18"/>
              </w:rPr>
              <w:t>Most likely unchanged tax: see 2.2</w:t>
            </w:r>
          </w:p>
        </w:tc>
      </w:tr>
      <w:tr>
        <w:tc>
          <w:tcPr>
            <w:tcW w:type="dxa" w:w="3442"/>
          </w:tcPr>
          <w:p>
            <w:pPr>
              <w:spacing w:after="20" w:before="20" w:line="240" w:lineRule="auto"/>
            </w:pPr>
            <w:r/>
            <w:r>
              <w:rPr>
                <w:sz w:val="18"/>
              </w:rPr>
              <w:t>Yellow lane flag (is_yellow_flg)</w:t>
            </w:r>
          </w:p>
        </w:tc>
        <w:tc>
          <w:tcPr>
            <w:tcW w:type="dxa" w:w="1721"/>
          </w:tcPr>
          <w:p>
            <w:pPr>
              <w:spacing w:after="20" w:before="20" w:line="240" w:lineRule="auto"/>
            </w:pPr>
            <w:r/>
            <w:r>
              <w:rPr>
                <w:sz w:val="18"/>
              </w:rPr>
              <w:t>25.3</w:t>
            </w:r>
          </w:p>
        </w:tc>
        <w:tc>
          <w:tcPr>
            <w:tcW w:type="dxa" w:w="4589"/>
          </w:tcPr>
          <w:p>
            <w:pPr>
              <w:spacing w:after="20" w:before="20" w:line="240" w:lineRule="auto"/>
            </w:pPr>
            <w:r/>
            <w:r>
              <w:rPr>
                <w:sz w:val="18"/>
              </w:rPr>
              <w:t>Not missing: see 2.3</w:t>
            </w:r>
          </w:p>
        </w:tc>
      </w:tr>
      <w:tr>
        <w:tc>
          <w:tcPr>
            <w:tcW w:type="dxa" w:w="3442"/>
          </w:tcPr>
          <w:p>
            <w:pPr>
              <w:spacing w:after="20" w:before="20" w:line="240" w:lineRule="auto"/>
            </w:pPr>
            <w:r/>
            <w:r>
              <w:rPr>
                <w:sz w:val="18"/>
              </w:rPr>
              <w:t>Supplementary quantity</w:t>
            </w:r>
          </w:p>
        </w:tc>
        <w:tc>
          <w:tcPr>
            <w:tcW w:type="dxa" w:w="1721"/>
          </w:tcPr>
          <w:p>
            <w:pPr>
              <w:spacing w:after="20" w:before="20" w:line="240" w:lineRule="auto"/>
            </w:pPr>
            <w:r/>
            <w:r>
              <w:rPr>
                <w:sz w:val="18"/>
              </w:rPr>
              <w:t>0.006</w:t>
            </w:r>
          </w:p>
        </w:tc>
        <w:tc>
          <w:tcPr>
            <w:tcW w:type="dxa" w:w="4589"/>
          </w:tcPr>
          <w:p>
            <w:pPr>
              <w:spacing w:after="20" w:before="20" w:line="240" w:lineRule="auto"/>
            </w:pPr>
            <w:r/>
            <w:r>
              <w:rPr>
                <w:sz w:val="18"/>
              </w:rPr>
              <w:t>Too few to matter; price per unit is then not compared</w:t>
            </w:r>
          </w:p>
        </w:tc>
      </w:tr>
      <w:tr>
        <w:tc>
          <w:tcPr>
            <w:tcW w:type="dxa" w:w="3442"/>
          </w:tcPr>
          <w:p>
            <w:pPr>
              <w:spacing w:after="20" w:before="20" w:line="240" w:lineRule="auto"/>
            </w:pPr>
            <w:r/>
            <w:r>
              <w:rPr>
                <w:sz w:val="18"/>
              </w:rPr>
              <w:t>Taxpayer name</w:t>
            </w:r>
          </w:p>
        </w:tc>
        <w:tc>
          <w:tcPr>
            <w:tcW w:type="dxa" w:w="1721"/>
          </w:tcPr>
          <w:p>
            <w:pPr>
              <w:spacing w:after="20" w:before="20" w:line="240" w:lineRule="auto"/>
            </w:pPr>
            <w:r/>
            <w:r>
              <w:rPr>
                <w:sz w:val="18"/>
              </w:rPr>
              <w:t>0.0001</w:t>
            </w:r>
          </w:p>
        </w:tc>
        <w:tc>
          <w:tcPr>
            <w:tcW w:type="dxa" w:w="4589"/>
          </w:tcPr>
          <w:p>
            <w:pPr>
              <w:spacing w:after="20" w:before="20" w:line="240" w:lineRule="auto"/>
            </w:pPr>
            <w:r/>
            <w:r>
              <w:rPr>
                <w:sz w:val="18"/>
              </w:rPr>
              <w:t>Names are not used; the TIN identifies the taxpayer</w:t>
            </w:r>
          </w:p>
        </w:tc>
      </w:tr>
    </w:tbl>
    <w:p>
      <w:pPr>
        <w:spacing w:after="40"/>
      </w:pPr>
    </w:p>
    <w:p>
      <w:pPr>
        <w:spacing w:after="120"/>
      </w:pPr>
      <w:r>
        <w:t>A zero is not a blank. Final tax is zero on 43.8% of item rows; this is a recorded value, and the model reads it as zero tax.</w:t>
      </w:r>
    </w:p>
    <w:p>
      <w:pPr>
        <w:pStyle w:val="Heading2"/>
      </w:pPr>
      <w:r>
        <w:t>2.2 Original Tax</w:t>
      </w:r>
    </w:p>
    <w:p>
      <w:pPr>
        <w:spacing w:after="120"/>
      </w:pPr>
      <w:r>
        <w:t>The original tax is blank on 24.8% of rows, and more so each year.</w:t>
      </w:r>
    </w:p>
    <w:p>
      <w:pPr>
        <w:pStyle w:val="Caption"/>
      </w:pPr>
      <w:r>
        <w:t xml:space="preserve">Table </w:t>
      </w:r>
      <w:r>
        <w:fldChar w:fldCharType="begin"/>
      </w:r>
      <w:r>
        <w:instrText xml:space="preserve"> SEQ Table \* ARABIC </w:instrText>
      </w:r>
      <w:r>
        <w:fldChar w:fldCharType="separate"/>
      </w:r>
      <w:r>
        <w:t>9</w:t>
      </w:r>
      <w:r>
        <w:fldChar w:fldCharType="end"/>
      </w:r>
      <w:r>
        <w:t>: Original Tax Blank by Year</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3251"/>
        <w:gridCol w:w="3251"/>
        <w:gridCol w:w="3251"/>
      </w:tblGrid>
      <w:tr>
        <w:trPr>
          <w:tblHeader w:val="true"/>
        </w:trPr>
        <w:tc>
          <w:tcPr>
            <w:tcW w:type="dxa" w:w="4015"/>
            <w:shd w:val="clear" w:color="auto" w:fill="D9E2F3"/>
          </w:tcPr>
          <w:p>
            <w:pPr>
              <w:spacing w:after="20" w:before="20" w:line="240" w:lineRule="auto"/>
            </w:pPr>
            <w:r/>
            <w:r>
              <w:rPr>
                <w:b/>
                <w:sz w:val="18"/>
              </w:rPr>
              <w:t>Year</w:t>
            </w:r>
          </w:p>
        </w:tc>
        <w:tc>
          <w:tcPr>
            <w:tcW w:type="dxa" w:w="2868"/>
            <w:shd w:val="clear" w:color="auto" w:fill="D9E2F3"/>
          </w:tcPr>
          <w:p>
            <w:pPr>
              <w:spacing w:after="20" w:before="20" w:line="240" w:lineRule="auto"/>
            </w:pPr>
            <w:r/>
            <w:r>
              <w:rPr>
                <w:b/>
                <w:sz w:val="18"/>
              </w:rPr>
              <w:t>Item rows</w:t>
            </w:r>
          </w:p>
        </w:tc>
        <w:tc>
          <w:tcPr>
            <w:tcW w:type="dxa" w:w="2868"/>
            <w:shd w:val="clear" w:color="auto" w:fill="D9E2F3"/>
          </w:tcPr>
          <w:p>
            <w:pPr>
              <w:spacing w:after="20" w:before="20" w:line="240" w:lineRule="auto"/>
            </w:pPr>
            <w:r/>
            <w:r>
              <w:rPr>
                <w:b/>
                <w:sz w:val="18"/>
              </w:rPr>
              <w:t>Original tax blank, %</w:t>
            </w:r>
          </w:p>
        </w:tc>
      </w:tr>
      <w:tr>
        <w:tc>
          <w:tcPr>
            <w:tcW w:type="dxa" w:w="4015"/>
          </w:tcPr>
          <w:p>
            <w:pPr>
              <w:spacing w:after="20" w:before="20" w:line="240" w:lineRule="auto"/>
            </w:pPr>
            <w:r/>
            <w:r>
              <w:rPr>
                <w:sz w:val="18"/>
              </w:rPr>
              <w:t>2024 (October to December)</w:t>
            </w:r>
          </w:p>
        </w:tc>
        <w:tc>
          <w:tcPr>
            <w:tcW w:type="dxa" w:w="2868"/>
          </w:tcPr>
          <w:p>
            <w:pPr>
              <w:spacing w:after="20" w:before="20" w:line="240" w:lineRule="auto"/>
            </w:pPr>
            <w:r/>
            <w:r>
              <w:rPr>
                <w:sz w:val="18"/>
              </w:rPr>
              <w:t>527,478</w:t>
            </w:r>
          </w:p>
        </w:tc>
        <w:tc>
          <w:tcPr>
            <w:tcW w:type="dxa" w:w="2868"/>
          </w:tcPr>
          <w:p>
            <w:pPr>
              <w:spacing w:after="20" w:before="20" w:line="240" w:lineRule="auto"/>
            </w:pPr>
            <w:r/>
            <w:r>
              <w:rPr>
                <w:sz w:val="18"/>
              </w:rPr>
              <w:t>21.6</w:t>
            </w:r>
          </w:p>
        </w:tc>
      </w:tr>
      <w:tr>
        <w:tc>
          <w:tcPr>
            <w:tcW w:type="dxa" w:w="4015"/>
          </w:tcPr>
          <w:p>
            <w:pPr>
              <w:spacing w:after="20" w:before="20" w:line="240" w:lineRule="auto"/>
            </w:pPr>
            <w:r/>
            <w:r>
              <w:rPr>
                <w:sz w:val="18"/>
              </w:rPr>
              <w:t>2025</w:t>
            </w:r>
          </w:p>
        </w:tc>
        <w:tc>
          <w:tcPr>
            <w:tcW w:type="dxa" w:w="2868"/>
          </w:tcPr>
          <w:p>
            <w:pPr>
              <w:spacing w:after="20" w:before="20" w:line="240" w:lineRule="auto"/>
            </w:pPr>
            <w:r/>
            <w:r>
              <w:rPr>
                <w:sz w:val="18"/>
              </w:rPr>
              <w:t>2,252,920</w:t>
            </w:r>
          </w:p>
        </w:tc>
        <w:tc>
          <w:tcPr>
            <w:tcW w:type="dxa" w:w="2868"/>
          </w:tcPr>
          <w:p>
            <w:pPr>
              <w:spacing w:after="20" w:before="20" w:line="240" w:lineRule="auto"/>
            </w:pPr>
            <w:r/>
            <w:r>
              <w:rPr>
                <w:sz w:val="18"/>
              </w:rPr>
              <w:t>23.6</w:t>
            </w:r>
          </w:p>
        </w:tc>
      </w:tr>
      <w:tr>
        <w:tc>
          <w:tcPr>
            <w:tcW w:type="dxa" w:w="4015"/>
          </w:tcPr>
          <w:p>
            <w:pPr>
              <w:spacing w:after="20" w:before="20" w:line="240" w:lineRule="auto"/>
            </w:pPr>
            <w:r/>
            <w:r>
              <w:rPr>
                <w:sz w:val="18"/>
              </w:rPr>
              <w:t>2026 (January to September)</w:t>
            </w:r>
          </w:p>
        </w:tc>
        <w:tc>
          <w:tcPr>
            <w:tcW w:type="dxa" w:w="2868"/>
          </w:tcPr>
          <w:p>
            <w:pPr>
              <w:spacing w:after="20" w:before="20" w:line="240" w:lineRule="auto"/>
            </w:pPr>
            <w:r/>
            <w:r>
              <w:rPr>
                <w:sz w:val="18"/>
              </w:rPr>
              <w:t>1,805,264</w:t>
            </w:r>
          </w:p>
        </w:tc>
        <w:tc>
          <w:tcPr>
            <w:tcW w:type="dxa" w:w="2868"/>
          </w:tcPr>
          <w:p>
            <w:pPr>
              <w:spacing w:after="20" w:before="20" w:line="240" w:lineRule="auto"/>
            </w:pPr>
            <w:r/>
            <w:r>
              <w:rPr>
                <w:sz w:val="18"/>
              </w:rPr>
              <w:t>27.1</w:t>
            </w:r>
          </w:p>
        </w:tc>
      </w:tr>
    </w:tbl>
    <w:p>
      <w:pPr>
        <w:spacing w:after="40"/>
      </w:pPr>
    </w:p>
    <w:p>
      <w:pPr>
        <w:spacing w:after="120"/>
      </w:pPr>
      <w:r>
        <w:t xml:space="preserve">If a blank means the tax was never changed, declarations </w:t>
      </w:r>
      <w:r>
        <w:rPr>
          <w:b/>
        </w:rPr>
        <w:t>with</w:t>
      </w:r>
      <w:r>
        <w:t xml:space="preserve"> a top-up (which changes the tax) should almost never have one. That is what the data shows:</w:t>
      </w:r>
    </w:p>
    <w:p>
      <w:pPr>
        <w:pStyle w:val="Caption"/>
      </w:pPr>
      <w:r>
        <w:t xml:space="preserve">Table </w:t>
      </w:r>
      <w:r>
        <w:fldChar w:fldCharType="begin"/>
      </w:r>
      <w:r>
        <w:instrText xml:space="preserve"> SEQ Table \* ARABIC </w:instrText>
      </w:r>
      <w:r>
        <w:fldChar w:fldCharType="separate"/>
      </w:r>
      <w:r>
        <w:t>10</w:t>
      </w:r>
      <w:r>
        <w:fldChar w:fldCharType="end"/>
      </w:r>
      <w:r>
        <w:t>: Original Tax Blank by Top-up Flag</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3251"/>
        <w:gridCol w:w="3251"/>
        <w:gridCol w:w="3251"/>
      </w:tblGrid>
      <w:tr>
        <w:trPr>
          <w:tblHeader w:val="true"/>
        </w:trPr>
        <w:tc>
          <w:tcPr>
            <w:tcW w:type="dxa" w:w="2868"/>
            <w:shd w:val="clear" w:color="auto" w:fill="D9E2F3"/>
          </w:tcPr>
          <w:p>
            <w:pPr>
              <w:spacing w:after="20" w:before="20" w:line="240" w:lineRule="auto"/>
            </w:pPr>
            <w:r/>
            <w:r>
              <w:rPr>
                <w:b/>
                <w:sz w:val="18"/>
              </w:rPr>
              <w:t>Top-up flag</w:t>
            </w:r>
          </w:p>
        </w:tc>
        <w:tc>
          <w:tcPr>
            <w:tcW w:type="dxa" w:w="3442"/>
            <w:shd w:val="clear" w:color="auto" w:fill="D9E2F3"/>
          </w:tcPr>
          <w:p>
            <w:pPr>
              <w:spacing w:after="20" w:before="20" w:line="240" w:lineRule="auto"/>
            </w:pPr>
            <w:r/>
            <w:r>
              <w:rPr>
                <w:b/>
                <w:sz w:val="18"/>
              </w:rPr>
              <w:t>Declarations</w:t>
            </w:r>
          </w:p>
        </w:tc>
        <w:tc>
          <w:tcPr>
            <w:tcW w:type="dxa" w:w="3442"/>
            <w:shd w:val="clear" w:color="auto" w:fill="D9E2F3"/>
          </w:tcPr>
          <w:p>
            <w:pPr>
              <w:spacing w:after="20" w:before="20" w:line="240" w:lineRule="auto"/>
            </w:pPr>
            <w:r/>
            <w:r>
              <w:rPr>
                <w:b/>
                <w:sz w:val="18"/>
              </w:rPr>
              <w:t>Original tax blank, %</w:t>
            </w:r>
          </w:p>
        </w:tc>
      </w:tr>
      <w:tr>
        <w:tc>
          <w:tcPr>
            <w:tcW w:type="dxa" w:w="2868"/>
          </w:tcPr>
          <w:p>
            <w:pPr>
              <w:spacing w:after="20" w:before="20" w:line="240" w:lineRule="auto"/>
            </w:pPr>
            <w:r/>
            <w:r>
              <w:rPr>
                <w:sz w:val="18"/>
              </w:rPr>
              <w:t>Y</w:t>
            </w:r>
          </w:p>
        </w:tc>
        <w:tc>
          <w:tcPr>
            <w:tcW w:type="dxa" w:w="3442"/>
          </w:tcPr>
          <w:p>
            <w:pPr>
              <w:spacing w:after="20" w:before="20" w:line="240" w:lineRule="auto"/>
            </w:pPr>
            <w:r/>
            <w:r>
              <w:rPr>
                <w:sz w:val="18"/>
              </w:rPr>
              <w:t>79,834</w:t>
            </w:r>
          </w:p>
        </w:tc>
        <w:tc>
          <w:tcPr>
            <w:tcW w:type="dxa" w:w="3442"/>
          </w:tcPr>
          <w:p>
            <w:pPr>
              <w:spacing w:after="20" w:before="20" w:line="240" w:lineRule="auto"/>
            </w:pPr>
            <w:r/>
            <w:r>
              <w:rPr>
                <w:sz w:val="18"/>
              </w:rPr>
              <w:t>0.04</w:t>
            </w:r>
          </w:p>
        </w:tc>
      </w:tr>
      <w:tr>
        <w:tc>
          <w:tcPr>
            <w:tcW w:type="dxa" w:w="2868"/>
          </w:tcPr>
          <w:p>
            <w:pPr>
              <w:spacing w:after="20" w:before="20" w:line="240" w:lineRule="auto"/>
            </w:pPr>
            <w:r/>
            <w:r>
              <w:rPr>
                <w:sz w:val="18"/>
              </w:rPr>
              <w:t>N</w:t>
            </w:r>
          </w:p>
        </w:tc>
        <w:tc>
          <w:tcPr>
            <w:tcW w:type="dxa" w:w="3442"/>
          </w:tcPr>
          <w:p>
            <w:pPr>
              <w:spacing w:after="20" w:before="20" w:line="240" w:lineRule="auto"/>
            </w:pPr>
            <w:r/>
            <w:r>
              <w:rPr>
                <w:sz w:val="18"/>
              </w:rPr>
              <w:t>1,221,768</w:t>
            </w:r>
          </w:p>
        </w:tc>
        <w:tc>
          <w:tcPr>
            <w:tcW w:type="dxa" w:w="3442"/>
          </w:tcPr>
          <w:p>
            <w:pPr>
              <w:spacing w:after="20" w:before="20" w:line="240" w:lineRule="auto"/>
            </w:pPr>
            <w:r/>
            <w:r>
              <w:rPr>
                <w:sz w:val="18"/>
              </w:rPr>
              <w:t>37.1</w:t>
            </w:r>
          </w:p>
        </w:tc>
      </w:tr>
    </w:tbl>
    <w:p>
      <w:pPr>
        <w:spacing w:after="40"/>
      </w:pPr>
    </w:p>
    <w:p>
      <w:pPr>
        <w:spacing w:after="120"/>
      </w:pPr>
      <w:r>
        <w:t>So the model reads a blank original tax as "unchanged" and uses the final tax in its place (issue E08). This is our reading of the data, not something the data states, and is put for confirmation in Part 6.</w:t>
      </w:r>
    </w:p>
    <w:p>
      <w:pPr>
        <w:pStyle w:val="Heading2"/>
      </w:pPr>
      <w:r>
        <w:t>2.3 Lane Flags</w:t>
      </w:r>
    </w:p>
    <w:p>
      <w:pPr>
        <w:spacing w:after="120"/>
      </w:pPr>
      <w:r>
        <w:t>The red flag is blank on 48.9% of rows and the yellow flag on 25.3%. Counting the flags per declaration shows that they build on each other: a red declaration also carries the yellow and green flags, and a yellow one also carries green.</w:t>
      </w:r>
    </w:p>
    <w:p>
      <w:pPr>
        <w:pStyle w:val="Caption"/>
      </w:pPr>
      <w:r>
        <w:t xml:space="preserve">Table </w:t>
      </w:r>
      <w:r>
        <w:fldChar w:fldCharType="begin"/>
      </w:r>
      <w:r>
        <w:instrText xml:space="preserve"> SEQ Table \* ARABIC </w:instrText>
      </w:r>
      <w:r>
        <w:fldChar w:fldCharType="separate"/>
      </w:r>
      <w:r>
        <w:t>11</w:t>
      </w:r>
      <w:r>
        <w:fldChar w:fldCharType="end"/>
      </w:r>
      <w:r>
        <w:t>: Lane Flags per Declaration</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1625"/>
        <w:gridCol w:w="1625"/>
        <w:gridCol w:w="1625"/>
        <w:gridCol w:w="1625"/>
        <w:gridCol w:w="1625"/>
        <w:gridCol w:w="1625"/>
      </w:tblGrid>
      <w:tr>
        <w:trPr>
          <w:tblHeader w:val="true"/>
        </w:trPr>
        <w:tc>
          <w:tcPr>
            <w:tcW w:type="dxa" w:w="1449"/>
            <w:shd w:val="clear" w:color="auto" w:fill="D9E2F3"/>
          </w:tcPr>
          <w:p>
            <w:pPr>
              <w:spacing w:after="20" w:before="20" w:line="240" w:lineRule="auto"/>
            </w:pPr>
            <w:r/>
            <w:r>
              <w:rPr>
                <w:b/>
                <w:sz w:val="18"/>
              </w:rPr>
              <w:t>Red</w:t>
            </w:r>
          </w:p>
        </w:tc>
        <w:tc>
          <w:tcPr>
            <w:tcW w:type="dxa" w:w="1449"/>
            <w:shd w:val="clear" w:color="auto" w:fill="D9E2F3"/>
          </w:tcPr>
          <w:p>
            <w:pPr>
              <w:spacing w:after="20" w:before="20" w:line="240" w:lineRule="auto"/>
            </w:pPr>
            <w:r/>
            <w:r>
              <w:rPr>
                <w:b/>
                <w:sz w:val="18"/>
              </w:rPr>
              <w:t>Yellow</w:t>
            </w:r>
          </w:p>
        </w:tc>
        <w:tc>
          <w:tcPr>
            <w:tcW w:type="dxa" w:w="1449"/>
            <w:shd w:val="clear" w:color="auto" w:fill="D9E2F3"/>
          </w:tcPr>
          <w:p>
            <w:pPr>
              <w:spacing w:after="20" w:before="20" w:line="240" w:lineRule="auto"/>
            </w:pPr>
            <w:r/>
            <w:r>
              <w:rPr>
                <w:b/>
                <w:sz w:val="18"/>
              </w:rPr>
              <w:t>Green</w:t>
            </w:r>
          </w:p>
        </w:tc>
        <w:tc>
          <w:tcPr>
            <w:tcW w:type="dxa" w:w="1449"/>
            <w:shd w:val="clear" w:color="auto" w:fill="D9E2F3"/>
          </w:tcPr>
          <w:p>
            <w:pPr>
              <w:spacing w:after="20" w:before="20" w:line="240" w:lineRule="auto"/>
            </w:pPr>
            <w:r/>
            <w:r>
              <w:rPr>
                <w:b/>
                <w:sz w:val="18"/>
              </w:rPr>
              <w:t>Blue</w:t>
            </w:r>
          </w:p>
        </w:tc>
        <w:tc>
          <w:tcPr>
            <w:tcW w:type="dxa" w:w="2635"/>
            <w:shd w:val="clear" w:color="auto" w:fill="D9E2F3"/>
          </w:tcPr>
          <w:p>
            <w:pPr>
              <w:spacing w:after="20" w:before="20" w:line="240" w:lineRule="auto"/>
            </w:pPr>
            <w:r/>
            <w:r>
              <w:rPr>
                <w:b/>
                <w:sz w:val="18"/>
              </w:rPr>
              <w:t>Declarations</w:t>
            </w:r>
          </w:p>
        </w:tc>
        <w:tc>
          <w:tcPr>
            <w:tcW w:type="dxa" w:w="1318"/>
            <w:shd w:val="clear" w:color="auto" w:fill="D9E2F3"/>
          </w:tcPr>
          <w:p>
            <w:pPr>
              <w:spacing w:after="20" w:before="20" w:line="240" w:lineRule="auto"/>
            </w:pPr>
            <w:r/>
            <w:r>
              <w:rPr>
                <w:b/>
                <w:sz w:val="18"/>
              </w:rPr>
              <w:t>%</w:t>
            </w:r>
          </w:p>
        </w:tc>
      </w:tr>
      <w:tr>
        <w:tc>
          <w:tcPr>
            <w:tcW w:type="dxa" w:w="1449"/>
          </w:tcPr>
          <w:p>
            <w:pPr>
              <w:spacing w:after="20" w:before="20" w:line="240" w:lineRule="auto"/>
            </w:pPr>
            <w:r/>
            <w:r>
              <w:rPr>
                <w:sz w:val="18"/>
              </w:rPr>
              <w:t>1</w:t>
            </w:r>
          </w:p>
        </w:tc>
        <w:tc>
          <w:tcPr>
            <w:tcW w:type="dxa" w:w="1449"/>
          </w:tcPr>
          <w:p>
            <w:pPr>
              <w:spacing w:after="20" w:before="20" w:line="240" w:lineRule="auto"/>
            </w:pPr>
            <w:r/>
            <w:r>
              <w:rPr>
                <w:sz w:val="18"/>
              </w:rPr>
              <w:t>1</w:t>
            </w:r>
          </w:p>
        </w:tc>
        <w:tc>
          <w:tcPr>
            <w:tcW w:type="dxa" w:w="1449"/>
          </w:tcPr>
          <w:p>
            <w:pPr>
              <w:spacing w:after="20" w:before="20" w:line="240" w:lineRule="auto"/>
            </w:pPr>
            <w:r/>
            <w:r>
              <w:rPr>
                <w:sz w:val="18"/>
              </w:rPr>
              <w:t>1</w:t>
            </w:r>
          </w:p>
        </w:tc>
        <w:tc>
          <w:tcPr>
            <w:tcW w:type="dxa" w:w="1449"/>
          </w:tcPr>
          <w:p>
            <w:pPr>
              <w:spacing w:after="20" w:before="20" w:line="240" w:lineRule="auto"/>
            </w:pPr>
            <w:r/>
          </w:p>
        </w:tc>
        <w:tc>
          <w:tcPr>
            <w:tcW w:type="dxa" w:w="2635"/>
          </w:tcPr>
          <w:p>
            <w:pPr>
              <w:spacing w:after="20" w:before="20" w:line="240" w:lineRule="auto"/>
            </w:pPr>
            <w:r/>
            <w:r>
              <w:rPr>
                <w:sz w:val="18"/>
              </w:rPr>
              <w:t>454,926</w:t>
            </w:r>
          </w:p>
        </w:tc>
        <w:tc>
          <w:tcPr>
            <w:tcW w:type="dxa" w:w="1318"/>
          </w:tcPr>
          <w:p>
            <w:pPr>
              <w:spacing w:after="20" w:before="20" w:line="240" w:lineRule="auto"/>
            </w:pPr>
            <w:r/>
            <w:r>
              <w:rPr>
                <w:sz w:val="18"/>
              </w:rPr>
              <w:t>35.0</w:t>
            </w:r>
          </w:p>
        </w:tc>
      </w:tr>
      <w:tr>
        <w:tc>
          <w:tcPr>
            <w:tcW w:type="dxa" w:w="1449"/>
          </w:tcPr>
          <w:p>
            <w:pPr>
              <w:spacing w:after="20" w:before="20" w:line="240" w:lineRule="auto"/>
            </w:pPr>
            <w:r/>
          </w:p>
        </w:tc>
        <w:tc>
          <w:tcPr>
            <w:tcW w:type="dxa" w:w="1449"/>
          </w:tcPr>
          <w:p>
            <w:pPr>
              <w:spacing w:after="20" w:before="20" w:line="240" w:lineRule="auto"/>
            </w:pPr>
            <w:r/>
            <w:r>
              <w:rPr>
                <w:sz w:val="18"/>
              </w:rPr>
              <w:t>1</w:t>
            </w:r>
          </w:p>
        </w:tc>
        <w:tc>
          <w:tcPr>
            <w:tcW w:type="dxa" w:w="1449"/>
          </w:tcPr>
          <w:p>
            <w:pPr>
              <w:spacing w:after="20" w:before="20" w:line="240" w:lineRule="auto"/>
            </w:pPr>
            <w:r/>
            <w:r>
              <w:rPr>
                <w:sz w:val="18"/>
              </w:rPr>
              <w:t>1</w:t>
            </w:r>
          </w:p>
        </w:tc>
        <w:tc>
          <w:tcPr>
            <w:tcW w:type="dxa" w:w="1449"/>
          </w:tcPr>
          <w:p>
            <w:pPr>
              <w:spacing w:after="20" w:before="20" w:line="240" w:lineRule="auto"/>
            </w:pPr>
            <w:r/>
          </w:p>
        </w:tc>
        <w:tc>
          <w:tcPr>
            <w:tcW w:type="dxa" w:w="2635"/>
          </w:tcPr>
          <w:p>
            <w:pPr>
              <w:spacing w:after="20" w:before="20" w:line="240" w:lineRule="auto"/>
            </w:pPr>
            <w:r/>
            <w:r>
              <w:rPr>
                <w:sz w:val="18"/>
              </w:rPr>
              <w:t>379,513</w:t>
            </w:r>
          </w:p>
        </w:tc>
        <w:tc>
          <w:tcPr>
            <w:tcW w:type="dxa" w:w="1318"/>
          </w:tcPr>
          <w:p>
            <w:pPr>
              <w:spacing w:after="20" w:before="20" w:line="240" w:lineRule="auto"/>
            </w:pPr>
            <w:r/>
            <w:r>
              <w:rPr>
                <w:sz w:val="18"/>
              </w:rPr>
              <w:t>29.2</w:t>
            </w:r>
          </w:p>
        </w:tc>
      </w:tr>
      <w:tr>
        <w:tc>
          <w:tcPr>
            <w:tcW w:type="dxa" w:w="1449"/>
          </w:tcPr>
          <w:p>
            <w:pPr>
              <w:spacing w:after="20" w:before="20" w:line="240" w:lineRule="auto"/>
            </w:pPr>
            <w:r/>
          </w:p>
        </w:tc>
        <w:tc>
          <w:tcPr>
            <w:tcW w:type="dxa" w:w="1449"/>
          </w:tcPr>
          <w:p>
            <w:pPr>
              <w:spacing w:after="20" w:before="20" w:line="240" w:lineRule="auto"/>
            </w:pPr>
            <w:r/>
          </w:p>
        </w:tc>
        <w:tc>
          <w:tcPr>
            <w:tcW w:type="dxa" w:w="1449"/>
          </w:tcPr>
          <w:p>
            <w:pPr>
              <w:spacing w:after="20" w:before="20" w:line="240" w:lineRule="auto"/>
            </w:pPr>
            <w:r/>
            <w:r>
              <w:rPr>
                <w:sz w:val="18"/>
              </w:rPr>
              <w:t>1</w:t>
            </w:r>
          </w:p>
        </w:tc>
        <w:tc>
          <w:tcPr>
            <w:tcW w:type="dxa" w:w="1449"/>
          </w:tcPr>
          <w:p>
            <w:pPr>
              <w:spacing w:after="20" w:before="20" w:line="240" w:lineRule="auto"/>
            </w:pPr>
            <w:r/>
          </w:p>
        </w:tc>
        <w:tc>
          <w:tcPr>
            <w:tcW w:type="dxa" w:w="2635"/>
          </w:tcPr>
          <w:p>
            <w:pPr>
              <w:spacing w:after="20" w:before="20" w:line="240" w:lineRule="auto"/>
            </w:pPr>
            <w:r/>
            <w:r>
              <w:rPr>
                <w:sz w:val="18"/>
              </w:rPr>
              <w:t>284,626</w:t>
            </w:r>
          </w:p>
        </w:tc>
        <w:tc>
          <w:tcPr>
            <w:tcW w:type="dxa" w:w="1318"/>
          </w:tcPr>
          <w:p>
            <w:pPr>
              <w:spacing w:after="20" w:before="20" w:line="240" w:lineRule="auto"/>
            </w:pPr>
            <w:r/>
            <w:r>
              <w:rPr>
                <w:sz w:val="18"/>
              </w:rPr>
              <w:t>21.9</w:t>
            </w:r>
          </w:p>
        </w:tc>
      </w:tr>
      <w:tr>
        <w:tc>
          <w:tcPr>
            <w:tcW w:type="dxa" w:w="1449"/>
          </w:tcPr>
          <w:p>
            <w:pPr>
              <w:spacing w:after="20" w:before="20" w:line="240" w:lineRule="auto"/>
            </w:pPr>
            <w:r/>
          </w:p>
        </w:tc>
        <w:tc>
          <w:tcPr>
            <w:tcW w:type="dxa" w:w="1449"/>
          </w:tcPr>
          <w:p>
            <w:pPr>
              <w:spacing w:after="20" w:before="20" w:line="240" w:lineRule="auto"/>
            </w:pPr>
            <w:r/>
          </w:p>
        </w:tc>
        <w:tc>
          <w:tcPr>
            <w:tcW w:type="dxa" w:w="1449"/>
          </w:tcPr>
          <w:p>
            <w:pPr>
              <w:spacing w:after="20" w:before="20" w:line="240" w:lineRule="auto"/>
            </w:pPr>
            <w:r/>
          </w:p>
        </w:tc>
        <w:tc>
          <w:tcPr>
            <w:tcW w:type="dxa" w:w="1449"/>
          </w:tcPr>
          <w:p>
            <w:pPr>
              <w:spacing w:after="20" w:before="20" w:line="240" w:lineRule="auto"/>
            </w:pPr>
            <w:r/>
            <w:r>
              <w:rPr>
                <w:sz w:val="18"/>
              </w:rPr>
              <w:t>1</w:t>
            </w:r>
          </w:p>
        </w:tc>
        <w:tc>
          <w:tcPr>
            <w:tcW w:type="dxa" w:w="2635"/>
          </w:tcPr>
          <w:p>
            <w:pPr>
              <w:spacing w:after="20" w:before="20" w:line="240" w:lineRule="auto"/>
            </w:pPr>
            <w:r/>
            <w:r>
              <w:rPr>
                <w:sz w:val="18"/>
              </w:rPr>
              <w:t>142,940</w:t>
            </w:r>
          </w:p>
        </w:tc>
        <w:tc>
          <w:tcPr>
            <w:tcW w:type="dxa" w:w="1318"/>
          </w:tcPr>
          <w:p>
            <w:pPr>
              <w:spacing w:after="20" w:before="20" w:line="240" w:lineRule="auto"/>
            </w:pPr>
            <w:r/>
            <w:r>
              <w:rPr>
                <w:sz w:val="18"/>
              </w:rPr>
              <w:t>11.0</w:t>
            </w:r>
          </w:p>
        </w:tc>
      </w:tr>
      <w:tr>
        <w:tc>
          <w:tcPr>
            <w:tcW w:type="dxa" w:w="1449"/>
          </w:tcPr>
          <w:p>
            <w:pPr>
              <w:spacing w:after="20" w:before="20" w:line="240" w:lineRule="auto"/>
            </w:pPr>
            <w:r/>
          </w:p>
        </w:tc>
        <w:tc>
          <w:tcPr>
            <w:tcW w:type="dxa" w:w="1449"/>
          </w:tcPr>
          <w:p>
            <w:pPr>
              <w:spacing w:after="20" w:before="20" w:line="240" w:lineRule="auto"/>
            </w:pPr>
            <w:r/>
          </w:p>
        </w:tc>
        <w:tc>
          <w:tcPr>
            <w:tcW w:type="dxa" w:w="1449"/>
          </w:tcPr>
          <w:p>
            <w:pPr>
              <w:spacing w:after="20" w:before="20" w:line="240" w:lineRule="auto"/>
            </w:pPr>
            <w:r/>
          </w:p>
        </w:tc>
        <w:tc>
          <w:tcPr>
            <w:tcW w:type="dxa" w:w="1449"/>
          </w:tcPr>
          <w:p>
            <w:pPr>
              <w:spacing w:after="20" w:before="20" w:line="240" w:lineRule="auto"/>
            </w:pPr>
            <w:r/>
          </w:p>
        </w:tc>
        <w:tc>
          <w:tcPr>
            <w:tcW w:type="dxa" w:w="2635"/>
          </w:tcPr>
          <w:p>
            <w:pPr>
              <w:spacing w:after="20" w:before="20" w:line="240" w:lineRule="auto"/>
            </w:pPr>
            <w:r/>
            <w:r>
              <w:rPr>
                <w:sz w:val="18"/>
              </w:rPr>
              <w:t>28,486</w:t>
            </w:r>
          </w:p>
        </w:tc>
        <w:tc>
          <w:tcPr>
            <w:tcW w:type="dxa" w:w="1318"/>
          </w:tcPr>
          <w:p>
            <w:pPr>
              <w:spacing w:after="20" w:before="20" w:line="240" w:lineRule="auto"/>
            </w:pPr>
            <w:r/>
            <w:r>
              <w:rPr>
                <w:sz w:val="18"/>
              </w:rPr>
              <w:t>2.2</w:t>
            </w:r>
          </w:p>
        </w:tc>
      </w:tr>
      <w:tr>
        <w:tc>
          <w:tcPr>
            <w:tcW w:type="dxa" w:w="1449"/>
          </w:tcPr>
          <w:p>
            <w:pPr>
              <w:spacing w:after="20" w:before="20" w:line="240" w:lineRule="auto"/>
            </w:pPr>
            <w:r/>
            <w:r>
              <w:rPr>
                <w:sz w:val="18"/>
              </w:rPr>
              <w:t>Other combinations</w:t>
            </w:r>
          </w:p>
        </w:tc>
        <w:tc>
          <w:tcPr>
            <w:tcW w:type="dxa" w:w="1449"/>
          </w:tcPr>
          <w:p>
            <w:pPr>
              <w:spacing w:after="20" w:before="20" w:line="240" w:lineRule="auto"/>
            </w:pPr>
            <w:r/>
          </w:p>
        </w:tc>
        <w:tc>
          <w:tcPr>
            <w:tcW w:type="dxa" w:w="1449"/>
          </w:tcPr>
          <w:p>
            <w:pPr>
              <w:spacing w:after="20" w:before="20" w:line="240" w:lineRule="auto"/>
            </w:pPr>
            <w:r/>
          </w:p>
        </w:tc>
        <w:tc>
          <w:tcPr>
            <w:tcW w:type="dxa" w:w="1449"/>
          </w:tcPr>
          <w:p>
            <w:pPr>
              <w:spacing w:after="20" w:before="20" w:line="240" w:lineRule="auto"/>
            </w:pPr>
            <w:r/>
          </w:p>
        </w:tc>
        <w:tc>
          <w:tcPr>
            <w:tcW w:type="dxa" w:w="2635"/>
          </w:tcPr>
          <w:p>
            <w:pPr>
              <w:spacing w:after="20" w:before="20" w:line="240" w:lineRule="auto"/>
            </w:pPr>
            <w:r/>
            <w:r>
              <w:rPr>
                <w:sz w:val="18"/>
              </w:rPr>
              <w:t>11,111</w:t>
            </w:r>
          </w:p>
        </w:tc>
        <w:tc>
          <w:tcPr>
            <w:tcW w:type="dxa" w:w="1318"/>
          </w:tcPr>
          <w:p>
            <w:pPr>
              <w:spacing w:after="20" w:before="20" w:line="240" w:lineRule="auto"/>
            </w:pPr>
            <w:r/>
            <w:r>
              <w:rPr>
                <w:sz w:val="18"/>
              </w:rPr>
              <w:t>0.9</w:t>
            </w:r>
          </w:p>
        </w:tc>
      </w:tr>
      <w:tr>
        <w:tc>
          <w:tcPr>
            <w:tcW w:type="dxa" w:w="1449"/>
          </w:tcPr>
          <w:p>
            <w:pPr>
              <w:spacing w:after="20" w:before="20" w:line="240" w:lineRule="auto"/>
            </w:pPr>
            <w:r/>
            <w:r>
              <w:rPr>
                <w:sz w:val="18"/>
              </w:rPr>
              <w:t>Total</w:t>
            </w:r>
          </w:p>
        </w:tc>
        <w:tc>
          <w:tcPr>
            <w:tcW w:type="dxa" w:w="1449"/>
          </w:tcPr>
          <w:p>
            <w:pPr>
              <w:spacing w:after="20" w:before="20" w:line="240" w:lineRule="auto"/>
            </w:pPr>
            <w:r/>
          </w:p>
        </w:tc>
        <w:tc>
          <w:tcPr>
            <w:tcW w:type="dxa" w:w="1449"/>
          </w:tcPr>
          <w:p>
            <w:pPr>
              <w:spacing w:after="20" w:before="20" w:line="240" w:lineRule="auto"/>
            </w:pPr>
            <w:r/>
          </w:p>
        </w:tc>
        <w:tc>
          <w:tcPr>
            <w:tcW w:type="dxa" w:w="1449"/>
          </w:tcPr>
          <w:p>
            <w:pPr>
              <w:spacing w:after="20" w:before="20" w:line="240" w:lineRule="auto"/>
            </w:pPr>
            <w:r/>
          </w:p>
        </w:tc>
        <w:tc>
          <w:tcPr>
            <w:tcW w:type="dxa" w:w="2635"/>
          </w:tcPr>
          <w:p>
            <w:pPr>
              <w:spacing w:after="20" w:before="20" w:line="240" w:lineRule="auto"/>
            </w:pPr>
            <w:r/>
            <w:r>
              <w:rPr>
                <w:sz w:val="18"/>
              </w:rPr>
              <w:t>1,301,602</w:t>
            </w:r>
          </w:p>
        </w:tc>
        <w:tc>
          <w:tcPr>
            <w:tcW w:type="dxa" w:w="1318"/>
          </w:tcPr>
          <w:p>
            <w:pPr>
              <w:spacing w:after="20" w:before="20" w:line="240" w:lineRule="auto"/>
            </w:pPr>
            <w:r/>
            <w:r>
              <w:rPr>
                <w:sz w:val="18"/>
              </w:rPr>
              <w:t>100.0</w:t>
            </w:r>
          </w:p>
        </w:tc>
      </w:tr>
    </w:tbl>
    <w:p>
      <w:pPr>
        <w:spacing w:after="40"/>
      </w:pPr>
    </w:p>
    <w:p>
      <w:pPr>
        <w:spacing w:after="120"/>
      </w:pPr>
      <w:r>
        <w:t>97.0% of declarations follow this pattern, so a blank flag means "not this lane", not missing data. The model counts a declaration as checked when the red or yellow flag is 1. The 28,486 declarations with no flag at all are put to Data Engineering in Part 6.</w:t>
      </w:r>
    </w:p>
    <w:p>
      <w:r>
        <w:br w:type="page"/>
      </w:r>
    </w:p>
    <w:p/>
    <w:p/>
    <w:p/>
    <w:p/>
    <w:p/>
    <w:p/>
    <w:p>
      <w:pPr>
        <w:pStyle w:val="Heading1"/>
      </w:pPr>
      <w:r>
        <w:t>PART 3: DUPLICATES</w:t>
      </w:r>
    </w:p>
    <w:p>
      <w:pPr>
        <w:spacing w:after="120"/>
      </w:pPr>
      <w:r>
        <w:t>No entry appears under more than one declaration ID. Some items are repeated many times in the view; the repeats come from the item table, almost all are on motor vehicle (mostly motorcycle) declarations, and the model removes them.</w:t>
      </w:r>
    </w:p>
    <w:p>
      <w:r>
        <w:br w:type="page"/>
      </w:r>
    </w:p>
    <w:p>
      <w:pPr>
        <w:pStyle w:val="Heading2"/>
      </w:pPr>
      <w:r>
        <w:t>3.1 Entries</w:t>
      </w:r>
    </w:p>
    <w:p>
      <w:pPr>
        <w:spacing w:after="120"/>
      </w:pPr>
      <w:r>
        <w:t>No entry appears under more than one declaration ID (issue E01: none found), and no declaration ID has more than one TIN or date. The model still identifies entries by entry number, station and year and keeps the latest declaration ID, so an entry lodged again could never be counted twice.</w:t>
      </w:r>
    </w:p>
    <w:p>
      <w:pPr>
        <w:pStyle w:val="Heading2"/>
      </w:pPr>
      <w:r>
        <w:t>3.2 Repeated Items</w:t>
      </w:r>
    </w:p>
    <w:p>
      <w:pPr>
        <w:spacing w:after="120"/>
      </w:pPr>
      <w:r>
        <w:t xml:space="preserve">The same declaration ID and item number appear more than once for </w:t>
      </w:r>
      <w:r>
        <w:rPr>
          <w:b/>
        </w:rPr>
        <w:t>7,783 items</w:t>
      </w:r>
      <w:r>
        <w:t xml:space="preserve">, on </w:t>
      </w:r>
      <w:r>
        <w:rPr>
          <w:b/>
        </w:rPr>
        <w:t>7,568 declarations</w:t>
      </w:r>
      <w:r>
        <w:t xml:space="preserve"> of </w:t>
      </w:r>
      <w:r>
        <w:rPr>
          <w:b/>
        </w:rPr>
        <w:t>154 taxpayers</w:t>
      </w:r>
      <w:r>
        <w:t xml:space="preserve"> (issue E02). One item appears 412 times. Together the repeats add 927,778 rows, about 20% of all rows. Except for one item, every copy is the same in every column.</w:t>
      </w:r>
    </w:p>
    <w:p>
      <w:pPr>
        <w:pStyle w:val="Caption"/>
      </w:pPr>
      <w:r>
        <w:t xml:space="preserve">Table </w:t>
      </w:r>
      <w:r>
        <w:fldChar w:fldCharType="begin"/>
      </w:r>
      <w:r>
        <w:instrText xml:space="preserve"> SEQ Table \* ARABIC </w:instrText>
      </w:r>
      <w:r>
        <w:fldChar w:fldCharType="separate"/>
      </w:r>
      <w:r>
        <w:t>12</w:t>
      </w:r>
      <w:r>
        <w:fldChar w:fldCharType="end"/>
      </w:r>
      <w:r>
        <w:t>: Where the Repeated Items Come From</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4876"/>
        <w:gridCol w:w="4876"/>
      </w:tblGrid>
      <w:tr>
        <w:trPr>
          <w:tblHeader w:val="true"/>
        </w:trPr>
        <w:tc>
          <w:tcPr>
            <w:tcW w:type="dxa" w:w="6883"/>
            <w:shd w:val="clear" w:color="auto" w:fill="D9E2F3"/>
          </w:tcPr>
          <w:p>
            <w:pPr>
              <w:spacing w:after="20" w:before="20" w:line="240" w:lineRule="auto"/>
            </w:pPr>
            <w:r/>
            <w:r>
              <w:rPr>
                <w:b/>
                <w:sz w:val="18"/>
              </w:rPr>
              <w:t>Check</w:t>
            </w:r>
          </w:p>
        </w:tc>
        <w:tc>
          <w:tcPr>
            <w:tcW w:type="dxa" w:w="2868"/>
            <w:shd w:val="clear" w:color="auto" w:fill="D9E2F3"/>
          </w:tcPr>
          <w:p>
            <w:pPr>
              <w:spacing w:after="20" w:before="20" w:line="240" w:lineRule="auto"/>
            </w:pPr>
            <w:r/>
            <w:r>
              <w:rPr>
                <w:b/>
                <w:sz w:val="18"/>
              </w:rPr>
              <w:t>Items</w:t>
            </w:r>
          </w:p>
        </w:tc>
      </w:tr>
      <w:tr>
        <w:tc>
          <w:tcPr>
            <w:tcW w:type="dxa" w:w="6883"/>
          </w:tcPr>
          <w:p>
            <w:pPr>
              <w:spacing w:after="20" w:before="20" w:line="240" w:lineRule="auto"/>
            </w:pPr>
            <w:r/>
            <w:r>
              <w:rPr>
                <w:sz w:val="18"/>
              </w:rPr>
              <w:t>Items repeated in the view</w:t>
            </w:r>
          </w:p>
        </w:tc>
        <w:tc>
          <w:tcPr>
            <w:tcW w:type="dxa" w:w="2868"/>
          </w:tcPr>
          <w:p>
            <w:pPr>
              <w:spacing w:after="20" w:before="20" w:line="240" w:lineRule="auto"/>
            </w:pPr>
            <w:r/>
            <w:r>
              <w:rPr>
                <w:sz w:val="18"/>
              </w:rPr>
              <w:t>7,783</w:t>
            </w:r>
          </w:p>
        </w:tc>
      </w:tr>
      <w:tr>
        <w:tc>
          <w:tcPr>
            <w:tcW w:type="dxa" w:w="6883"/>
          </w:tcPr>
          <w:p>
            <w:pPr>
              <w:spacing w:after="20" w:before="20" w:line="240" w:lineRule="auto"/>
            </w:pPr>
            <w:r/>
            <w:r>
              <w:rPr>
                <w:sz w:val="18"/>
              </w:rPr>
              <w:t>The item table holds more than one row for the item</w:t>
            </w:r>
          </w:p>
        </w:tc>
        <w:tc>
          <w:tcPr>
            <w:tcW w:type="dxa" w:w="2868"/>
          </w:tcPr>
          <w:p>
            <w:pPr>
              <w:spacing w:after="20" w:before="20" w:line="240" w:lineRule="auto"/>
            </w:pPr>
            <w:r/>
            <w:r>
              <w:rPr>
                <w:sz w:val="18"/>
              </w:rPr>
              <w:t>7,783</w:t>
            </w:r>
          </w:p>
        </w:tc>
      </w:tr>
      <w:tr>
        <w:tc>
          <w:tcPr>
            <w:tcW w:type="dxa" w:w="6883"/>
          </w:tcPr>
          <w:p>
            <w:pPr>
              <w:spacing w:after="20" w:before="20" w:line="240" w:lineRule="auto"/>
            </w:pPr>
            <w:r/>
            <w:r>
              <w:rPr>
                <w:sz w:val="18"/>
              </w:rPr>
              <w:t>The declaration header repeats</w:t>
            </w:r>
          </w:p>
        </w:tc>
        <w:tc>
          <w:tcPr>
            <w:tcW w:type="dxa" w:w="2868"/>
          </w:tcPr>
          <w:p>
            <w:pPr>
              <w:spacing w:after="20" w:before="20" w:line="240" w:lineRule="auto"/>
            </w:pPr>
            <w:r/>
            <w:r>
              <w:rPr>
                <w:sz w:val="18"/>
              </w:rPr>
              <w:t>0</w:t>
            </w:r>
          </w:p>
        </w:tc>
      </w:tr>
      <w:tr>
        <w:tc>
          <w:tcPr>
            <w:tcW w:type="dxa" w:w="6883"/>
          </w:tcPr>
          <w:p>
            <w:pPr>
              <w:spacing w:after="20" w:before="20" w:line="240" w:lineRule="auto"/>
            </w:pPr>
            <w:r/>
            <w:r>
              <w:rPr>
                <w:sz w:val="18"/>
              </w:rPr>
              <w:t>The inspection actions repeat</w:t>
            </w:r>
          </w:p>
        </w:tc>
        <w:tc>
          <w:tcPr>
            <w:tcW w:type="dxa" w:w="2868"/>
          </w:tcPr>
          <w:p>
            <w:pPr>
              <w:spacing w:after="20" w:before="20" w:line="240" w:lineRule="auto"/>
            </w:pPr>
            <w:r/>
            <w:r>
              <w:rPr>
                <w:sz w:val="18"/>
              </w:rPr>
              <w:t>0</w:t>
            </w:r>
          </w:p>
        </w:tc>
      </w:tr>
      <w:tr>
        <w:tc>
          <w:tcPr>
            <w:tcW w:type="dxa" w:w="6883"/>
          </w:tcPr>
          <w:p>
            <w:pPr>
              <w:spacing w:after="20" w:before="20" w:line="240" w:lineRule="auto"/>
            </w:pPr>
            <w:r/>
            <w:r>
              <w:rPr>
                <w:sz w:val="18"/>
              </w:rPr>
              <w:t>On motor vehicle declarations (headings 8701 to 8708, 8711)</w:t>
            </w:r>
          </w:p>
        </w:tc>
        <w:tc>
          <w:tcPr>
            <w:tcW w:type="dxa" w:w="2868"/>
          </w:tcPr>
          <w:p>
            <w:pPr>
              <w:spacing w:after="20" w:before="20" w:line="240" w:lineRule="auto"/>
            </w:pPr>
            <w:r/>
            <w:r>
              <w:rPr>
                <w:sz w:val="18"/>
              </w:rPr>
              <w:t>7,748 (99.6%)</w:t>
            </w:r>
          </w:p>
        </w:tc>
      </w:tr>
      <w:tr>
        <w:tc>
          <w:tcPr>
            <w:tcW w:type="dxa" w:w="6883"/>
          </w:tcPr>
          <w:p>
            <w:pPr>
              <w:spacing w:after="20" w:before="20" w:line="240" w:lineRule="auto"/>
            </w:pPr>
            <w:r/>
            <w:r>
              <w:rPr>
                <w:sz w:val="18"/>
              </w:rPr>
              <w:t>Of which motorcycles (heading 8711)</w:t>
            </w:r>
          </w:p>
        </w:tc>
        <w:tc>
          <w:tcPr>
            <w:tcW w:type="dxa" w:w="2868"/>
          </w:tcPr>
          <w:p>
            <w:pPr>
              <w:spacing w:after="20" w:before="20" w:line="240" w:lineRule="auto"/>
            </w:pPr>
            <w:r/>
            <w:r>
              <w:rPr>
                <w:sz w:val="18"/>
              </w:rPr>
              <w:t>7,618 (97.9%)</w:t>
            </w:r>
          </w:p>
        </w:tc>
      </w:tr>
      <w:tr>
        <w:tc>
          <w:tcPr>
            <w:tcW w:type="dxa" w:w="6883"/>
          </w:tcPr>
          <w:p>
            <w:pPr>
              <w:spacing w:after="20" w:before="20" w:line="240" w:lineRule="auto"/>
            </w:pPr>
            <w:r/>
            <w:r>
              <w:rPr>
                <w:sz w:val="18"/>
              </w:rPr>
              <w:t>On IM7 declarations / on IM4 declarations</w:t>
            </w:r>
          </w:p>
        </w:tc>
        <w:tc>
          <w:tcPr>
            <w:tcW w:type="dxa" w:w="2868"/>
          </w:tcPr>
          <w:p>
            <w:pPr>
              <w:spacing w:after="20" w:before="20" w:line="240" w:lineRule="auto"/>
            </w:pPr>
            <w:r/>
            <w:r>
              <w:rPr>
                <w:sz w:val="18"/>
              </w:rPr>
              <w:t>4,401 / 3,382</w:t>
            </w:r>
          </w:p>
        </w:tc>
      </w:tr>
    </w:tbl>
    <w:p>
      <w:pPr>
        <w:spacing w:after="40"/>
      </w:pPr>
    </w:p>
    <w:p>
      <w:pPr>
        <w:pStyle w:val="Heading2"/>
      </w:pPr>
      <w:r>
        <w:t>3.3 Why They Are Not Steps in the Customs Process</w:t>
      </w:r>
    </w:p>
    <w:p>
      <w:pPr>
        <w:spacing w:after="120"/>
      </w:pPr>
      <w:r>
        <w:t>A declaration passes through several steps (assessed, paid, exited), so repeats could be one row per step. The evidence says otherwise:</w:t>
      </w:r>
    </w:p>
    <w:p>
      <w:pPr>
        <w:pStyle w:val="ListParagraph"/>
        <w:numPr>
          <w:ilvl w:val="0"/>
          <w:numId w:val="902"/>
        </w:numPr>
        <w:spacing w:after="60"/>
      </w:pPr>
      <w:r>
        <w:t>A step changes the status or a date, but the copies are identical in every column, status and date included.</w:t>
      </w:r>
    </w:p>
    <w:p>
      <w:pPr>
        <w:pStyle w:val="ListParagraph"/>
        <w:numPr>
          <w:ilvl w:val="0"/>
          <w:numId w:val="902"/>
        </w:numPr>
        <w:spacing w:after="60"/>
      </w:pPr>
      <w:r>
        <w:t>A declaration has a handful of steps, but the copies run to 412, and the same count repeats across unrelated declarations: 1,167 declarations have exactly 192 copies of their item, and 1,016 exactly 166.</w:t>
      </w:r>
    </w:p>
    <w:p>
      <w:pPr>
        <w:pStyle w:val="ListParagraph"/>
        <w:numPr>
          <w:ilvl w:val="0"/>
          <w:numId w:val="902"/>
        </w:numPr>
        <w:spacing w:after="60"/>
      </w:pPr>
      <w:r>
        <w:t>The steps are recorded on the declaration header, which never repeats. The repeats sit in the item table.</w:t>
      </w:r>
    </w:p>
    <w:p>
      <w:pPr>
        <w:pStyle w:val="ListParagraph"/>
        <w:numPr>
          <w:ilvl w:val="0"/>
          <w:numId w:val="902"/>
        </w:numPr>
        <w:spacing w:after="60"/>
      </w:pPr>
      <w:r>
        <w:t>Restricting the data to IM4 and IM7 decides which declarations are kept; it does not change how many rows each one has, so it cannot remove repeats within a declaration.</w:t>
      </w:r>
    </w:p>
    <w:p>
      <w:pPr>
        <w:spacing w:after="120"/>
      </w:pPr>
      <w:r>
        <w:t>The repeats therefore come from how the item table holds or loads these vehicle declarations. Data Engineering is asked to confirm the cause in Part 6.</w:t>
      </w:r>
    </w:p>
    <w:p>
      <w:pPr>
        <w:pStyle w:val="Heading2"/>
      </w:pPr>
      <w:r>
        <w:t>3.4 What the Model Does</w:t>
      </w:r>
    </w:p>
    <w:p>
      <w:pPr>
        <w:spacing w:after="120"/>
      </w:pPr>
      <w:r>
        <w:t>The model keeps each item once (rule R5) and, from version 3, leaves out every declaration with a motor vehicle item (rule R15). After R15, only 76 repeated rows remain in 36 months of data, and R5 removes them.</w:t>
      </w:r>
    </w:p>
    <w:p>
      <w:r>
        <w:br w:type="page"/>
      </w:r>
    </w:p>
    <w:p/>
    <w:p/>
    <w:p/>
    <w:p/>
    <w:p/>
    <w:p/>
    <w:p>
      <w:pPr>
        <w:pStyle w:val="Heading1"/>
      </w:pPr>
      <w:r>
        <w:t>PART 4: CLEANING</w:t>
      </w:r>
    </w:p>
    <w:p>
      <w:pPr>
        <w:spacing w:after="120"/>
      </w:pPr>
      <w:r>
        <w:t>Seven rules turn the 11.1 million rows of 36 months into the 4.1 million the model reads. Each rule is applied in turn, and a row is counted at the first rule it fails.</w:t>
      </w:r>
    </w:p>
    <w:p>
      <w:r>
        <w:br w:type="page"/>
      </w:r>
    </w:p>
    <w:p>
      <w:pPr>
        <w:pStyle w:val="Heading2"/>
      </w:pPr>
      <w:r>
        <w:t>4.1 Rows Removed by Each Rule</w:t>
      </w:r>
    </w:p>
    <w:p>
      <w:pPr>
        <w:pStyle w:val="Caption"/>
      </w:pPr>
      <w:r>
        <w:t xml:space="preserve">Table </w:t>
      </w:r>
      <w:r>
        <w:fldChar w:fldCharType="begin"/>
      </w:r>
      <w:r>
        <w:instrText xml:space="preserve"> SEQ Table \* ARABIC </w:instrText>
      </w:r>
      <w:r>
        <w:fldChar w:fldCharType="separate"/>
      </w:r>
      <w:r>
        <w:t>13</w:t>
      </w:r>
      <w:r>
        <w:fldChar w:fldCharType="end"/>
      </w:r>
      <w:r>
        <w:t>: Cleaning Rules and Rows Removed (36 Months to September 2026, All Regimes)</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2438"/>
        <w:gridCol w:w="2438"/>
        <w:gridCol w:w="2438"/>
        <w:gridCol w:w="2438"/>
      </w:tblGrid>
      <w:tr>
        <w:trPr>
          <w:tblHeader w:val="true"/>
        </w:trPr>
        <w:tc>
          <w:tcPr>
            <w:tcW w:type="dxa" w:w="860"/>
            <w:shd w:val="clear" w:color="auto" w:fill="D9E2F3"/>
          </w:tcPr>
          <w:p>
            <w:pPr>
              <w:spacing w:after="20" w:before="20" w:line="240" w:lineRule="auto"/>
            </w:pPr>
            <w:r/>
            <w:r>
              <w:rPr>
                <w:b/>
                <w:sz w:val="18"/>
              </w:rPr>
              <w:t>Rule</w:t>
            </w:r>
          </w:p>
        </w:tc>
        <w:tc>
          <w:tcPr>
            <w:tcW w:type="dxa" w:w="5449"/>
            <w:shd w:val="clear" w:color="auto" w:fill="D9E2F3"/>
          </w:tcPr>
          <w:p>
            <w:pPr>
              <w:spacing w:after="20" w:before="20" w:line="240" w:lineRule="auto"/>
            </w:pPr>
            <w:r/>
            <w:r>
              <w:rPr>
                <w:b/>
                <w:sz w:val="18"/>
              </w:rPr>
              <w:t>What it removes</w:t>
            </w:r>
          </w:p>
        </w:tc>
        <w:tc>
          <w:tcPr>
            <w:tcW w:type="dxa" w:w="1721"/>
            <w:shd w:val="clear" w:color="auto" w:fill="D9E2F3"/>
          </w:tcPr>
          <w:p>
            <w:pPr>
              <w:spacing w:after="20" w:before="20" w:line="240" w:lineRule="auto"/>
            </w:pPr>
            <w:r/>
            <w:r>
              <w:rPr>
                <w:b/>
                <w:sz w:val="18"/>
              </w:rPr>
              <w:t>Rows removed</w:t>
            </w:r>
          </w:p>
        </w:tc>
        <w:tc>
          <w:tcPr>
            <w:tcW w:type="dxa" w:w="1721"/>
            <w:shd w:val="clear" w:color="auto" w:fill="D9E2F3"/>
          </w:tcPr>
          <w:p>
            <w:pPr>
              <w:spacing w:after="20" w:before="20" w:line="240" w:lineRule="auto"/>
            </w:pPr>
            <w:r/>
            <w:r>
              <w:rPr>
                <w:b/>
                <w:sz w:val="18"/>
              </w:rPr>
              <w:t>Rows left</w:t>
            </w:r>
          </w:p>
        </w:tc>
      </w:tr>
      <w:tr>
        <w:tc>
          <w:tcPr>
            <w:tcW w:type="dxa" w:w="860"/>
          </w:tcPr>
          <w:p>
            <w:pPr>
              <w:spacing w:after="20" w:before="20" w:line="240" w:lineRule="auto"/>
            </w:pPr>
            <w:r/>
          </w:p>
        </w:tc>
        <w:tc>
          <w:tcPr>
            <w:tcW w:type="dxa" w:w="5449"/>
          </w:tcPr>
          <w:p>
            <w:pPr>
              <w:spacing w:after="20" w:before="20" w:line="240" w:lineRule="auto"/>
            </w:pPr>
            <w:r/>
            <w:r>
              <w:rPr>
                <w:sz w:val="18"/>
              </w:rPr>
              <w:t>Rows loaded</w:t>
            </w:r>
          </w:p>
        </w:tc>
        <w:tc>
          <w:tcPr>
            <w:tcW w:type="dxa" w:w="1721"/>
          </w:tcPr>
          <w:p>
            <w:pPr>
              <w:spacing w:after="20" w:before="20" w:line="240" w:lineRule="auto"/>
            </w:pPr>
            <w:r/>
          </w:p>
        </w:tc>
        <w:tc>
          <w:tcPr>
            <w:tcW w:type="dxa" w:w="1721"/>
          </w:tcPr>
          <w:p>
            <w:pPr>
              <w:spacing w:after="20" w:before="20" w:line="240" w:lineRule="auto"/>
            </w:pPr>
            <w:r/>
            <w:r>
              <w:rPr>
                <w:sz w:val="18"/>
              </w:rPr>
              <w:t>11,135,207</w:t>
            </w:r>
          </w:p>
        </w:tc>
      </w:tr>
      <w:tr>
        <w:tc>
          <w:tcPr>
            <w:tcW w:type="dxa" w:w="860"/>
          </w:tcPr>
          <w:p>
            <w:pPr>
              <w:spacing w:after="20" w:before="20" w:line="240" w:lineRule="auto"/>
            </w:pPr>
            <w:r/>
            <w:r>
              <w:rPr>
                <w:sz w:val="18"/>
              </w:rPr>
              <w:t>R1</w:t>
            </w:r>
          </w:p>
        </w:tc>
        <w:tc>
          <w:tcPr>
            <w:tcW w:type="dxa" w:w="5449"/>
          </w:tcPr>
          <w:p>
            <w:pPr>
              <w:spacing w:after="20" w:before="20" w:line="240" w:lineRule="auto"/>
            </w:pPr>
            <w:r/>
            <w:r>
              <w:rPr>
                <w:sz w:val="18"/>
              </w:rPr>
              <w:t>TIN blank or not 10 digits</w:t>
            </w:r>
          </w:p>
        </w:tc>
        <w:tc>
          <w:tcPr>
            <w:tcW w:type="dxa" w:w="1721"/>
          </w:tcPr>
          <w:p>
            <w:pPr>
              <w:spacing w:after="20" w:before="20" w:line="240" w:lineRule="auto"/>
            </w:pPr>
            <w:r/>
            <w:r>
              <w:rPr>
                <w:sz w:val="18"/>
              </w:rPr>
              <w:t>1,325,413</w:t>
            </w:r>
          </w:p>
        </w:tc>
        <w:tc>
          <w:tcPr>
            <w:tcW w:type="dxa" w:w="1721"/>
          </w:tcPr>
          <w:p>
            <w:pPr>
              <w:spacing w:after="20" w:before="20" w:line="240" w:lineRule="auto"/>
            </w:pPr>
            <w:r/>
            <w:r>
              <w:rPr>
                <w:sz w:val="18"/>
              </w:rPr>
              <w:t>9,809,794</w:t>
            </w:r>
          </w:p>
        </w:tc>
      </w:tr>
      <w:tr>
        <w:tc>
          <w:tcPr>
            <w:tcW w:type="dxa" w:w="860"/>
          </w:tcPr>
          <w:p>
            <w:pPr>
              <w:spacing w:after="20" w:before="20" w:line="240" w:lineRule="auto"/>
            </w:pPr>
            <w:r/>
            <w:r>
              <w:rPr>
                <w:sz w:val="18"/>
              </w:rPr>
              <w:t>R3</w:t>
            </w:r>
          </w:p>
        </w:tc>
        <w:tc>
          <w:tcPr>
            <w:tcW w:type="dxa" w:w="5449"/>
          </w:tcPr>
          <w:p>
            <w:pPr>
              <w:spacing w:after="20" w:before="20" w:line="240" w:lineRule="auto"/>
            </w:pPr>
            <w:r/>
            <w:r>
              <w:rPr>
                <w:sz w:val="18"/>
              </w:rPr>
              <w:t>Cancelled declarations (status Cancelled)</w:t>
            </w:r>
          </w:p>
        </w:tc>
        <w:tc>
          <w:tcPr>
            <w:tcW w:type="dxa" w:w="1721"/>
          </w:tcPr>
          <w:p>
            <w:pPr>
              <w:spacing w:after="20" w:before="20" w:line="240" w:lineRule="auto"/>
            </w:pPr>
            <w:r/>
            <w:r>
              <w:rPr>
                <w:sz w:val="18"/>
              </w:rPr>
              <w:t>56,004</w:t>
            </w:r>
          </w:p>
        </w:tc>
        <w:tc>
          <w:tcPr>
            <w:tcW w:type="dxa" w:w="1721"/>
          </w:tcPr>
          <w:p>
            <w:pPr>
              <w:spacing w:after="20" w:before="20" w:line="240" w:lineRule="auto"/>
            </w:pPr>
            <w:r/>
            <w:r>
              <w:rPr>
                <w:sz w:val="18"/>
              </w:rPr>
              <w:t>9,753,790</w:t>
            </w:r>
          </w:p>
        </w:tc>
      </w:tr>
      <w:tr>
        <w:tc>
          <w:tcPr>
            <w:tcW w:type="dxa" w:w="860"/>
          </w:tcPr>
          <w:p>
            <w:pPr>
              <w:spacing w:after="20" w:before="20" w:line="240" w:lineRule="auto"/>
            </w:pPr>
            <w:r/>
            <w:r>
              <w:rPr>
                <w:sz w:val="18"/>
              </w:rPr>
              <w:t>R4</w:t>
            </w:r>
          </w:p>
        </w:tc>
        <w:tc>
          <w:tcPr>
            <w:tcW w:type="dxa" w:w="5449"/>
          </w:tcPr>
          <w:p>
            <w:pPr>
              <w:spacing w:after="20" w:before="20" w:line="240" w:lineRule="auto"/>
            </w:pPr>
            <w:r/>
            <w:r>
              <w:rPr>
                <w:sz w:val="18"/>
              </w:rPr>
              <w:t>Regimes other than IM4 and IM7</w:t>
            </w:r>
          </w:p>
        </w:tc>
        <w:tc>
          <w:tcPr>
            <w:tcW w:type="dxa" w:w="1721"/>
          </w:tcPr>
          <w:p>
            <w:pPr>
              <w:spacing w:after="20" w:before="20" w:line="240" w:lineRule="auto"/>
            </w:pPr>
            <w:r/>
            <w:r>
              <w:rPr>
                <w:sz w:val="18"/>
              </w:rPr>
              <w:t>3,396,602</w:t>
            </w:r>
          </w:p>
        </w:tc>
        <w:tc>
          <w:tcPr>
            <w:tcW w:type="dxa" w:w="1721"/>
          </w:tcPr>
          <w:p>
            <w:pPr>
              <w:spacing w:after="20" w:before="20" w:line="240" w:lineRule="auto"/>
            </w:pPr>
            <w:r/>
            <w:r>
              <w:rPr>
                <w:sz w:val="18"/>
              </w:rPr>
              <w:t>6,357,188</w:t>
            </w:r>
          </w:p>
        </w:tc>
      </w:tr>
      <w:tr>
        <w:tc>
          <w:tcPr>
            <w:tcW w:type="dxa" w:w="860"/>
          </w:tcPr>
          <w:p>
            <w:pPr>
              <w:spacing w:after="20" w:before="20" w:line="240" w:lineRule="auto"/>
            </w:pPr>
            <w:r/>
            <w:r>
              <w:rPr>
                <w:sz w:val="18"/>
              </w:rPr>
              <w:t>R13</w:t>
            </w:r>
          </w:p>
        </w:tc>
        <w:tc>
          <w:tcPr>
            <w:tcW w:type="dxa" w:w="5449"/>
          </w:tcPr>
          <w:p>
            <w:pPr>
              <w:spacing w:after="20" w:before="20" w:line="240" w:lineRule="auto"/>
            </w:pPr>
            <w:r/>
            <w:r>
              <w:rPr>
                <w:sz w:val="18"/>
              </w:rPr>
              <w:t>APC 483 (destroyed or abandoned goods, dummy reconciliation entries)</w:t>
            </w:r>
          </w:p>
        </w:tc>
        <w:tc>
          <w:tcPr>
            <w:tcW w:type="dxa" w:w="1721"/>
          </w:tcPr>
          <w:p>
            <w:pPr>
              <w:spacing w:after="20" w:before="20" w:line="240" w:lineRule="auto"/>
            </w:pPr>
            <w:r/>
            <w:r>
              <w:rPr>
                <w:sz w:val="18"/>
              </w:rPr>
              <w:t>8,083</w:t>
            </w:r>
          </w:p>
        </w:tc>
        <w:tc>
          <w:tcPr>
            <w:tcW w:type="dxa" w:w="1721"/>
          </w:tcPr>
          <w:p>
            <w:pPr>
              <w:spacing w:after="20" w:before="20" w:line="240" w:lineRule="auto"/>
            </w:pPr>
            <w:r/>
            <w:r>
              <w:rPr>
                <w:sz w:val="18"/>
              </w:rPr>
              <w:t>6,349,105</w:t>
            </w:r>
          </w:p>
        </w:tc>
      </w:tr>
      <w:tr>
        <w:tc>
          <w:tcPr>
            <w:tcW w:type="dxa" w:w="860"/>
          </w:tcPr>
          <w:p>
            <w:pPr>
              <w:spacing w:after="20" w:before="20" w:line="240" w:lineRule="auto"/>
            </w:pPr>
            <w:r/>
            <w:r>
              <w:rPr>
                <w:sz w:val="18"/>
              </w:rPr>
              <w:t>R14</w:t>
            </w:r>
          </w:p>
        </w:tc>
        <w:tc>
          <w:tcPr>
            <w:tcW w:type="dxa" w:w="5449"/>
          </w:tcPr>
          <w:p>
            <w:pPr>
              <w:spacing w:after="20" w:before="20" w:line="240" w:lineRule="auto"/>
            </w:pPr>
            <w:r/>
            <w:r>
              <w:rPr>
                <w:sz w:val="18"/>
              </w:rPr>
              <w:t>Older declaration IDs of the same entry</w:t>
            </w:r>
          </w:p>
        </w:tc>
        <w:tc>
          <w:tcPr>
            <w:tcW w:type="dxa" w:w="1721"/>
          </w:tcPr>
          <w:p>
            <w:pPr>
              <w:spacing w:after="20" w:before="20" w:line="240" w:lineRule="auto"/>
            </w:pPr>
            <w:r/>
            <w:r>
              <w:rPr>
                <w:sz w:val="18"/>
              </w:rPr>
              <w:t>0</w:t>
            </w:r>
          </w:p>
        </w:tc>
        <w:tc>
          <w:tcPr>
            <w:tcW w:type="dxa" w:w="1721"/>
          </w:tcPr>
          <w:p>
            <w:pPr>
              <w:spacing w:after="20" w:before="20" w:line="240" w:lineRule="auto"/>
            </w:pPr>
            <w:r/>
            <w:r>
              <w:rPr>
                <w:sz w:val="18"/>
              </w:rPr>
              <w:t>6,349,105</w:t>
            </w:r>
          </w:p>
        </w:tc>
      </w:tr>
      <w:tr>
        <w:tc>
          <w:tcPr>
            <w:tcW w:type="dxa" w:w="860"/>
          </w:tcPr>
          <w:p>
            <w:pPr>
              <w:spacing w:after="20" w:before="20" w:line="240" w:lineRule="auto"/>
            </w:pPr>
            <w:r/>
            <w:r>
              <w:rPr>
                <w:sz w:val="18"/>
              </w:rPr>
              <w:t>R15</w:t>
            </w:r>
          </w:p>
        </w:tc>
        <w:tc>
          <w:tcPr>
            <w:tcW w:type="dxa" w:w="5449"/>
          </w:tcPr>
          <w:p>
            <w:pPr>
              <w:spacing w:after="20" w:before="20" w:line="240" w:lineRule="auto"/>
            </w:pPr>
            <w:r/>
            <w:r>
              <w:rPr>
                <w:sz w:val="18"/>
              </w:rPr>
              <w:t>Declarations with a motor vehicle item (headings 8701 to 8708, 8711)</w:t>
            </w:r>
          </w:p>
        </w:tc>
        <w:tc>
          <w:tcPr>
            <w:tcW w:type="dxa" w:w="1721"/>
          </w:tcPr>
          <w:p>
            <w:pPr>
              <w:spacing w:after="20" w:before="20" w:line="240" w:lineRule="auto"/>
            </w:pPr>
            <w:r/>
            <w:r>
              <w:rPr>
                <w:sz w:val="18"/>
              </w:rPr>
              <w:t>2,284,966</w:t>
            </w:r>
          </w:p>
        </w:tc>
        <w:tc>
          <w:tcPr>
            <w:tcW w:type="dxa" w:w="1721"/>
          </w:tcPr>
          <w:p>
            <w:pPr>
              <w:spacing w:after="20" w:before="20" w:line="240" w:lineRule="auto"/>
            </w:pPr>
            <w:r/>
            <w:r>
              <w:rPr>
                <w:sz w:val="18"/>
              </w:rPr>
              <w:t>4,064,139</w:t>
            </w:r>
          </w:p>
        </w:tc>
      </w:tr>
      <w:tr>
        <w:tc>
          <w:tcPr>
            <w:tcW w:type="dxa" w:w="860"/>
          </w:tcPr>
          <w:p>
            <w:pPr>
              <w:spacing w:after="20" w:before="20" w:line="240" w:lineRule="auto"/>
            </w:pPr>
            <w:r/>
            <w:r>
              <w:rPr>
                <w:sz w:val="18"/>
              </w:rPr>
              <w:t>R5</w:t>
            </w:r>
          </w:p>
        </w:tc>
        <w:tc>
          <w:tcPr>
            <w:tcW w:type="dxa" w:w="5449"/>
          </w:tcPr>
          <w:p>
            <w:pPr>
              <w:spacing w:after="20" w:before="20" w:line="240" w:lineRule="auto"/>
            </w:pPr>
            <w:r/>
            <w:r>
              <w:rPr>
                <w:sz w:val="18"/>
              </w:rPr>
              <w:t>Repeated copies of an item</w:t>
            </w:r>
          </w:p>
        </w:tc>
        <w:tc>
          <w:tcPr>
            <w:tcW w:type="dxa" w:w="1721"/>
          </w:tcPr>
          <w:p>
            <w:pPr>
              <w:spacing w:after="20" w:before="20" w:line="240" w:lineRule="auto"/>
            </w:pPr>
            <w:r/>
            <w:r>
              <w:rPr>
                <w:sz w:val="18"/>
              </w:rPr>
              <w:t>76</w:t>
            </w:r>
          </w:p>
        </w:tc>
        <w:tc>
          <w:tcPr>
            <w:tcW w:type="dxa" w:w="1721"/>
          </w:tcPr>
          <w:p>
            <w:pPr>
              <w:spacing w:after="20" w:before="20" w:line="240" w:lineRule="auto"/>
            </w:pPr>
            <w:r/>
            <w:r>
              <w:rPr>
                <w:sz w:val="18"/>
              </w:rPr>
              <w:t>4,064,063</w:t>
            </w:r>
          </w:p>
        </w:tc>
      </w:tr>
    </w:tbl>
    <w:p>
      <w:pPr>
        <w:spacing w:after="40"/>
      </w:pPr>
    </w:p>
    <w:p>
      <w:pPr>
        <w:spacing w:after="120"/>
      </w:pPr>
      <w:r>
        <w:t>The rows add up: 11,135,207 loaded, 7,071,144 removed, 4,064,063 left.</w:t>
      </w:r>
    </w:p>
    <w:p>
      <w:r>
        <w:br w:type="page"/>
      </w:r>
    </w:p>
    <w:p/>
    <w:p/>
    <w:p/>
    <w:p/>
    <w:p/>
    <w:p/>
    <w:p>
      <w:pPr>
        <w:pStyle w:val="Heading1"/>
      </w:pPr>
      <w:r>
        <w:t>PART 5: DATA ISSUES AND EVIDENCE</w:t>
      </w:r>
    </w:p>
    <w:p>
      <w:pPr>
        <w:spacing w:after="120"/>
      </w:pPr>
      <w:r>
        <w:t>Ten data issues were checked. For each: what was found, how it was found in the data, how many declarations and taxpayers it touches, and what the model does. The declarations and taxpayers are listed in the evidence workbook of the same code.</w:t>
      </w:r>
    </w:p>
    <w:p>
      <w:r>
        <w:br w:type="page"/>
      </w:r>
    </w:p>
    <w:p>
      <w:pPr>
        <w:pStyle w:val="Heading2"/>
      </w:pPr>
      <w:r>
        <w:t>5.1 Summary</w:t>
      </w:r>
    </w:p>
    <w:p>
      <w:pPr>
        <w:pStyle w:val="Caption"/>
      </w:pPr>
      <w:r>
        <w:t xml:space="preserve">Table </w:t>
      </w:r>
      <w:r>
        <w:fldChar w:fldCharType="begin"/>
      </w:r>
      <w:r>
        <w:instrText xml:space="preserve"> SEQ Table \* ARABIC </w:instrText>
      </w:r>
      <w:r>
        <w:fldChar w:fldCharType="separate"/>
      </w:r>
      <w:r>
        <w:t>14</w:t>
      </w:r>
      <w:r>
        <w:fldChar w:fldCharType="end"/>
      </w:r>
      <w:r>
        <w:t>: Data Issues, Declarations and Taxpayers (24 Months to September 2026, IM4 and IM7)</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1950"/>
        <w:gridCol w:w="1950"/>
        <w:gridCol w:w="1950"/>
        <w:gridCol w:w="1950"/>
        <w:gridCol w:w="1950"/>
      </w:tblGrid>
      <w:tr>
        <w:trPr>
          <w:tblHeader w:val="true"/>
        </w:trPr>
        <w:tc>
          <w:tcPr>
            <w:tcW w:type="dxa" w:w="803"/>
            <w:shd w:val="clear" w:color="auto" w:fill="D9E2F3"/>
          </w:tcPr>
          <w:p>
            <w:pPr>
              <w:spacing w:after="20" w:before="20" w:line="240" w:lineRule="auto"/>
            </w:pPr>
            <w:r/>
            <w:r>
              <w:rPr>
                <w:b/>
                <w:sz w:val="18"/>
              </w:rPr>
              <w:t>Code</w:t>
            </w:r>
          </w:p>
        </w:tc>
        <w:tc>
          <w:tcPr>
            <w:tcW w:type="dxa" w:w="3442"/>
            <w:shd w:val="clear" w:color="auto" w:fill="D9E2F3"/>
          </w:tcPr>
          <w:p>
            <w:pPr>
              <w:spacing w:after="20" w:before="20" w:line="240" w:lineRule="auto"/>
            </w:pPr>
            <w:r/>
            <w:r>
              <w:rPr>
                <w:b/>
                <w:sz w:val="18"/>
              </w:rPr>
              <w:t>Issue</w:t>
            </w:r>
          </w:p>
        </w:tc>
        <w:tc>
          <w:tcPr>
            <w:tcW w:type="dxa" w:w="1377"/>
            <w:shd w:val="clear" w:color="auto" w:fill="D9E2F3"/>
          </w:tcPr>
          <w:p>
            <w:pPr>
              <w:spacing w:after="20" w:before="20" w:line="240" w:lineRule="auto"/>
            </w:pPr>
            <w:r/>
            <w:r>
              <w:rPr>
                <w:b/>
                <w:sz w:val="18"/>
              </w:rPr>
              <w:t>Declarations</w:t>
            </w:r>
          </w:p>
        </w:tc>
        <w:tc>
          <w:tcPr>
            <w:tcW w:type="dxa" w:w="1147"/>
            <w:shd w:val="clear" w:color="auto" w:fill="D9E2F3"/>
          </w:tcPr>
          <w:p>
            <w:pPr>
              <w:spacing w:after="20" w:before="20" w:line="240" w:lineRule="auto"/>
            </w:pPr>
            <w:r/>
            <w:r>
              <w:rPr>
                <w:b/>
                <w:sz w:val="18"/>
              </w:rPr>
              <w:t>Taxpayers</w:t>
            </w:r>
          </w:p>
        </w:tc>
        <w:tc>
          <w:tcPr>
            <w:tcW w:type="dxa" w:w="2983"/>
            <w:shd w:val="clear" w:color="auto" w:fill="D9E2F3"/>
          </w:tcPr>
          <w:p>
            <w:pPr>
              <w:spacing w:after="20" w:before="20" w:line="240" w:lineRule="auto"/>
            </w:pPr>
            <w:r/>
            <w:r>
              <w:rPr>
                <w:b/>
                <w:sz w:val="18"/>
              </w:rPr>
              <w:t>What the model does</w:t>
            </w:r>
          </w:p>
        </w:tc>
      </w:tr>
      <w:tr>
        <w:tc>
          <w:tcPr>
            <w:tcW w:type="dxa" w:w="803"/>
          </w:tcPr>
          <w:p>
            <w:pPr>
              <w:spacing w:after="20" w:before="20" w:line="240" w:lineRule="auto"/>
            </w:pPr>
            <w:r/>
            <w:r>
              <w:rPr>
                <w:sz w:val="18"/>
              </w:rPr>
              <w:t>E01</w:t>
            </w:r>
          </w:p>
        </w:tc>
        <w:tc>
          <w:tcPr>
            <w:tcW w:type="dxa" w:w="3442"/>
          </w:tcPr>
          <w:p>
            <w:pPr>
              <w:spacing w:after="20" w:before="20" w:line="240" w:lineRule="auto"/>
            </w:pPr>
            <w:r/>
            <w:r>
              <w:rPr>
                <w:sz w:val="18"/>
              </w:rPr>
              <w:t>Same entry under more than one declaration ID</w:t>
            </w:r>
          </w:p>
        </w:tc>
        <w:tc>
          <w:tcPr>
            <w:tcW w:type="dxa" w:w="1377"/>
          </w:tcPr>
          <w:p>
            <w:pPr>
              <w:spacing w:after="20" w:before="20" w:line="240" w:lineRule="auto"/>
            </w:pPr>
            <w:r/>
            <w:r>
              <w:rPr>
                <w:sz w:val="18"/>
              </w:rPr>
              <w:t>0</w:t>
            </w:r>
          </w:p>
        </w:tc>
        <w:tc>
          <w:tcPr>
            <w:tcW w:type="dxa" w:w="1147"/>
          </w:tcPr>
          <w:p>
            <w:pPr>
              <w:spacing w:after="20" w:before="20" w:line="240" w:lineRule="auto"/>
            </w:pPr>
            <w:r/>
            <w:r>
              <w:rPr>
                <w:sz w:val="18"/>
              </w:rPr>
              <w:t>0</w:t>
            </w:r>
          </w:p>
        </w:tc>
        <w:tc>
          <w:tcPr>
            <w:tcW w:type="dxa" w:w="2983"/>
          </w:tcPr>
          <w:p>
            <w:pPr>
              <w:spacing w:after="20" w:before="20" w:line="240" w:lineRule="auto"/>
            </w:pPr>
            <w:r/>
            <w:r>
              <w:rPr>
                <w:sz w:val="18"/>
              </w:rPr>
              <w:t>Keeps the latest ID per entry (R14)</w:t>
            </w:r>
          </w:p>
        </w:tc>
      </w:tr>
      <w:tr>
        <w:tc>
          <w:tcPr>
            <w:tcW w:type="dxa" w:w="803"/>
          </w:tcPr>
          <w:p>
            <w:pPr>
              <w:spacing w:after="20" w:before="20" w:line="240" w:lineRule="auto"/>
            </w:pPr>
            <w:r/>
            <w:r>
              <w:rPr>
                <w:sz w:val="18"/>
              </w:rPr>
              <w:t>E02</w:t>
            </w:r>
          </w:p>
        </w:tc>
        <w:tc>
          <w:tcPr>
            <w:tcW w:type="dxa" w:w="3442"/>
          </w:tcPr>
          <w:p>
            <w:pPr>
              <w:spacing w:after="20" w:before="20" w:line="240" w:lineRule="auto"/>
            </w:pPr>
            <w:r/>
            <w:r>
              <w:rPr>
                <w:sz w:val="18"/>
              </w:rPr>
              <w:t>The same item row repeated</w:t>
            </w:r>
          </w:p>
        </w:tc>
        <w:tc>
          <w:tcPr>
            <w:tcW w:type="dxa" w:w="1377"/>
          </w:tcPr>
          <w:p>
            <w:pPr>
              <w:spacing w:after="20" w:before="20" w:line="240" w:lineRule="auto"/>
            </w:pPr>
            <w:r/>
            <w:r>
              <w:rPr>
                <w:sz w:val="18"/>
              </w:rPr>
              <w:t>7,568</w:t>
            </w:r>
          </w:p>
        </w:tc>
        <w:tc>
          <w:tcPr>
            <w:tcW w:type="dxa" w:w="1147"/>
          </w:tcPr>
          <w:p>
            <w:pPr>
              <w:spacing w:after="20" w:before="20" w:line="240" w:lineRule="auto"/>
            </w:pPr>
            <w:r/>
            <w:r>
              <w:rPr>
                <w:sz w:val="18"/>
              </w:rPr>
              <w:t>154</w:t>
            </w:r>
          </w:p>
        </w:tc>
        <w:tc>
          <w:tcPr>
            <w:tcW w:type="dxa" w:w="2983"/>
          </w:tcPr>
          <w:p>
            <w:pPr>
              <w:spacing w:after="20" w:before="20" w:line="240" w:lineRule="auto"/>
            </w:pPr>
            <w:r/>
            <w:r>
              <w:rPr>
                <w:sz w:val="18"/>
              </w:rPr>
              <w:t>Keeps each item once (R5); drops vehicles (R15)</w:t>
            </w:r>
          </w:p>
        </w:tc>
      </w:tr>
      <w:tr>
        <w:tc>
          <w:tcPr>
            <w:tcW w:type="dxa" w:w="803"/>
          </w:tcPr>
          <w:p>
            <w:pPr>
              <w:spacing w:after="20" w:before="20" w:line="240" w:lineRule="auto"/>
            </w:pPr>
            <w:r/>
            <w:r>
              <w:rPr>
                <w:sz w:val="18"/>
              </w:rPr>
              <w:t>E03</w:t>
            </w:r>
          </w:p>
        </w:tc>
        <w:tc>
          <w:tcPr>
            <w:tcW w:type="dxa" w:w="3442"/>
          </w:tcPr>
          <w:p>
            <w:pPr>
              <w:spacing w:after="20" w:before="20" w:line="240" w:lineRule="auto"/>
            </w:pPr>
            <w:r/>
            <w:r>
              <w:rPr>
                <w:sz w:val="18"/>
              </w:rPr>
              <w:t>TIN blank or not 10 digits</w:t>
            </w:r>
          </w:p>
        </w:tc>
        <w:tc>
          <w:tcPr>
            <w:tcW w:type="dxa" w:w="1377"/>
          </w:tcPr>
          <w:p>
            <w:pPr>
              <w:spacing w:after="20" w:before="20" w:line="240" w:lineRule="auto"/>
            </w:pPr>
            <w:r/>
            <w:r>
              <w:rPr>
                <w:sz w:val="18"/>
              </w:rPr>
              <w:t>0</w:t>
            </w:r>
          </w:p>
        </w:tc>
        <w:tc>
          <w:tcPr>
            <w:tcW w:type="dxa" w:w="1147"/>
          </w:tcPr>
          <w:p>
            <w:pPr>
              <w:spacing w:after="20" w:before="20" w:line="240" w:lineRule="auto"/>
            </w:pPr>
            <w:r/>
            <w:r>
              <w:rPr>
                <w:sz w:val="18"/>
              </w:rPr>
              <w:t>0</w:t>
            </w:r>
          </w:p>
        </w:tc>
        <w:tc>
          <w:tcPr>
            <w:tcW w:type="dxa" w:w="2983"/>
          </w:tcPr>
          <w:p>
            <w:pPr>
              <w:spacing w:after="20" w:before="20" w:line="240" w:lineRule="auto"/>
            </w:pPr>
            <w:r/>
            <w:r>
              <w:rPr>
                <w:sz w:val="18"/>
              </w:rPr>
              <w:t>Profiles 10-digit TINs only (R1)</w:t>
            </w:r>
          </w:p>
        </w:tc>
      </w:tr>
      <w:tr>
        <w:tc>
          <w:tcPr>
            <w:tcW w:type="dxa" w:w="803"/>
          </w:tcPr>
          <w:p>
            <w:pPr>
              <w:spacing w:after="20" w:before="20" w:line="240" w:lineRule="auto"/>
            </w:pPr>
            <w:r/>
            <w:r>
              <w:rPr>
                <w:sz w:val="18"/>
              </w:rPr>
              <w:t>E04</w:t>
            </w:r>
          </w:p>
        </w:tc>
        <w:tc>
          <w:tcPr>
            <w:tcW w:type="dxa" w:w="3442"/>
          </w:tcPr>
          <w:p>
            <w:pPr>
              <w:spacing w:after="20" w:before="20" w:line="240" w:lineRule="auto"/>
            </w:pPr>
            <w:r/>
            <w:r>
              <w:rPr>
                <w:sz w:val="18"/>
              </w:rPr>
              <w:t>Cancelled declarations</w:t>
            </w:r>
          </w:p>
        </w:tc>
        <w:tc>
          <w:tcPr>
            <w:tcW w:type="dxa" w:w="1377"/>
          </w:tcPr>
          <w:p>
            <w:pPr>
              <w:spacing w:after="20" w:before="20" w:line="240" w:lineRule="auto"/>
            </w:pPr>
            <w:r/>
            <w:r>
              <w:rPr>
                <w:sz w:val="18"/>
              </w:rPr>
              <w:t>9,894</w:t>
            </w:r>
          </w:p>
        </w:tc>
        <w:tc>
          <w:tcPr>
            <w:tcW w:type="dxa" w:w="1147"/>
          </w:tcPr>
          <w:p>
            <w:pPr>
              <w:spacing w:after="20" w:before="20" w:line="240" w:lineRule="auto"/>
            </w:pPr>
            <w:r/>
            <w:r>
              <w:rPr>
                <w:sz w:val="18"/>
              </w:rPr>
              <w:t>1,809</w:t>
            </w:r>
          </w:p>
        </w:tc>
        <w:tc>
          <w:tcPr>
            <w:tcW w:type="dxa" w:w="2983"/>
          </w:tcPr>
          <w:p>
            <w:pPr>
              <w:spacing w:after="20" w:before="20" w:line="240" w:lineRule="auto"/>
            </w:pPr>
            <w:r/>
            <w:r>
              <w:rPr>
                <w:sz w:val="18"/>
              </w:rPr>
              <w:t>Leaves them out (R3)</w:t>
            </w:r>
          </w:p>
        </w:tc>
      </w:tr>
      <w:tr>
        <w:tc>
          <w:tcPr>
            <w:tcW w:type="dxa" w:w="803"/>
          </w:tcPr>
          <w:p>
            <w:pPr>
              <w:spacing w:after="20" w:before="20" w:line="240" w:lineRule="auto"/>
            </w:pPr>
            <w:r/>
            <w:r>
              <w:rPr>
                <w:sz w:val="18"/>
              </w:rPr>
              <w:t>E05</w:t>
            </w:r>
          </w:p>
        </w:tc>
        <w:tc>
          <w:tcPr>
            <w:tcW w:type="dxa" w:w="3442"/>
          </w:tcPr>
          <w:p>
            <w:pPr>
              <w:spacing w:after="20" w:before="20" w:line="240" w:lineRule="auto"/>
            </w:pPr>
            <w:r/>
            <w:r>
              <w:rPr>
                <w:sz w:val="18"/>
              </w:rPr>
              <w:t>APC 483</w:t>
            </w:r>
          </w:p>
        </w:tc>
        <w:tc>
          <w:tcPr>
            <w:tcW w:type="dxa" w:w="1377"/>
          </w:tcPr>
          <w:p>
            <w:pPr>
              <w:spacing w:after="20" w:before="20" w:line="240" w:lineRule="auto"/>
            </w:pPr>
            <w:r/>
            <w:r>
              <w:rPr>
                <w:sz w:val="18"/>
              </w:rPr>
              <w:t>1,582</w:t>
            </w:r>
          </w:p>
        </w:tc>
        <w:tc>
          <w:tcPr>
            <w:tcW w:type="dxa" w:w="1147"/>
          </w:tcPr>
          <w:p>
            <w:pPr>
              <w:spacing w:after="20" w:before="20" w:line="240" w:lineRule="auto"/>
            </w:pPr>
            <w:r/>
            <w:r>
              <w:rPr>
                <w:sz w:val="18"/>
              </w:rPr>
              <w:t>356</w:t>
            </w:r>
          </w:p>
        </w:tc>
        <w:tc>
          <w:tcPr>
            <w:tcW w:type="dxa" w:w="2983"/>
          </w:tcPr>
          <w:p>
            <w:pPr>
              <w:spacing w:after="20" w:before="20" w:line="240" w:lineRule="auto"/>
            </w:pPr>
            <w:r/>
            <w:r>
              <w:rPr>
                <w:sz w:val="18"/>
              </w:rPr>
              <w:t>Leaves them out (R13)</w:t>
            </w:r>
          </w:p>
        </w:tc>
      </w:tr>
      <w:tr>
        <w:tc>
          <w:tcPr>
            <w:tcW w:type="dxa" w:w="803"/>
          </w:tcPr>
          <w:p>
            <w:pPr>
              <w:spacing w:after="20" w:before="20" w:line="240" w:lineRule="auto"/>
            </w:pPr>
            <w:r/>
            <w:r>
              <w:rPr>
                <w:sz w:val="18"/>
              </w:rPr>
              <w:t>E06</w:t>
            </w:r>
          </w:p>
        </w:tc>
        <w:tc>
          <w:tcPr>
            <w:tcW w:type="dxa" w:w="3442"/>
          </w:tcPr>
          <w:p>
            <w:pPr>
              <w:spacing w:after="20" w:before="20" w:line="240" w:lineRule="auto"/>
            </w:pPr>
            <w:r/>
            <w:r>
              <w:rPr>
                <w:sz w:val="18"/>
              </w:rPr>
              <w:t>Top-up flag Y, but final tax not above original tax</w:t>
            </w:r>
          </w:p>
        </w:tc>
        <w:tc>
          <w:tcPr>
            <w:tcW w:type="dxa" w:w="1377"/>
          </w:tcPr>
          <w:p>
            <w:pPr>
              <w:spacing w:after="20" w:before="20" w:line="240" w:lineRule="auto"/>
            </w:pPr>
            <w:r/>
            <w:r>
              <w:rPr>
                <w:sz w:val="18"/>
              </w:rPr>
              <w:t>10,087</w:t>
            </w:r>
          </w:p>
        </w:tc>
        <w:tc>
          <w:tcPr>
            <w:tcW w:type="dxa" w:w="1147"/>
          </w:tcPr>
          <w:p>
            <w:pPr>
              <w:spacing w:after="20" w:before="20" w:line="240" w:lineRule="auto"/>
            </w:pPr>
            <w:r/>
            <w:r>
              <w:rPr>
                <w:sz w:val="18"/>
              </w:rPr>
              <w:t>4,919</w:t>
            </w:r>
          </w:p>
        </w:tc>
        <w:tc>
          <w:tcPr>
            <w:tcW w:type="dxa" w:w="2983"/>
          </w:tcPr>
          <w:p>
            <w:pPr>
              <w:spacing w:after="20" w:before="20" w:line="240" w:lineRule="auto"/>
            </w:pPr>
            <w:r/>
            <w:r>
              <w:rPr>
                <w:sz w:val="18"/>
              </w:rPr>
              <w:t>Not counted as a top-up</w:t>
            </w:r>
          </w:p>
        </w:tc>
      </w:tr>
      <w:tr>
        <w:tc>
          <w:tcPr>
            <w:tcW w:type="dxa" w:w="803"/>
          </w:tcPr>
          <w:p>
            <w:pPr>
              <w:spacing w:after="20" w:before="20" w:line="240" w:lineRule="auto"/>
            </w:pPr>
            <w:r/>
            <w:r>
              <w:rPr>
                <w:sz w:val="18"/>
              </w:rPr>
              <w:t>E07</w:t>
            </w:r>
          </w:p>
        </w:tc>
        <w:tc>
          <w:tcPr>
            <w:tcW w:type="dxa" w:w="3442"/>
          </w:tcPr>
          <w:p>
            <w:pPr>
              <w:spacing w:after="20" w:before="20" w:line="240" w:lineRule="auto"/>
            </w:pPr>
            <w:r/>
            <w:r>
              <w:rPr>
                <w:sz w:val="18"/>
              </w:rPr>
              <w:t>Final tax above original tax, but no top-up flag</w:t>
            </w:r>
          </w:p>
        </w:tc>
        <w:tc>
          <w:tcPr>
            <w:tcW w:type="dxa" w:w="1377"/>
          </w:tcPr>
          <w:p>
            <w:pPr>
              <w:spacing w:after="20" w:before="20" w:line="240" w:lineRule="auto"/>
            </w:pPr>
            <w:r/>
            <w:r>
              <w:rPr>
                <w:sz w:val="18"/>
              </w:rPr>
              <w:t>7,031</w:t>
            </w:r>
          </w:p>
        </w:tc>
        <w:tc>
          <w:tcPr>
            <w:tcW w:type="dxa" w:w="1147"/>
          </w:tcPr>
          <w:p>
            <w:pPr>
              <w:spacing w:after="20" w:before="20" w:line="240" w:lineRule="auto"/>
            </w:pPr>
            <w:r/>
            <w:r>
              <w:rPr>
                <w:sz w:val="18"/>
              </w:rPr>
              <w:t>1,929</w:t>
            </w:r>
          </w:p>
        </w:tc>
        <w:tc>
          <w:tcPr>
            <w:tcW w:type="dxa" w:w="2983"/>
          </w:tcPr>
          <w:p>
            <w:pPr>
              <w:spacing w:after="20" w:before="20" w:line="240" w:lineRule="auto"/>
            </w:pPr>
            <w:r/>
            <w:r>
              <w:rPr>
                <w:sz w:val="18"/>
              </w:rPr>
              <w:t>Not counted as a top-up (to confirm)</w:t>
            </w:r>
          </w:p>
        </w:tc>
      </w:tr>
      <w:tr>
        <w:tc>
          <w:tcPr>
            <w:tcW w:type="dxa" w:w="803"/>
          </w:tcPr>
          <w:p>
            <w:pPr>
              <w:spacing w:after="20" w:before="20" w:line="240" w:lineRule="auto"/>
            </w:pPr>
            <w:r/>
            <w:r>
              <w:rPr>
                <w:sz w:val="18"/>
              </w:rPr>
              <w:t>E08</w:t>
            </w:r>
          </w:p>
        </w:tc>
        <w:tc>
          <w:tcPr>
            <w:tcW w:type="dxa" w:w="3442"/>
          </w:tcPr>
          <w:p>
            <w:pPr>
              <w:spacing w:after="20" w:before="20" w:line="240" w:lineRule="auto"/>
            </w:pPr>
            <w:r/>
            <w:r>
              <w:rPr>
                <w:sz w:val="18"/>
              </w:rPr>
              <w:t>Original tax blank</w:t>
            </w:r>
          </w:p>
        </w:tc>
        <w:tc>
          <w:tcPr>
            <w:tcW w:type="dxa" w:w="1377"/>
          </w:tcPr>
          <w:p>
            <w:pPr>
              <w:spacing w:after="20" w:before="20" w:line="240" w:lineRule="auto"/>
            </w:pPr>
            <w:r/>
            <w:r>
              <w:rPr>
                <w:sz w:val="18"/>
              </w:rPr>
              <w:t>about 453,000</w:t>
            </w:r>
          </w:p>
        </w:tc>
        <w:tc>
          <w:tcPr>
            <w:tcW w:type="dxa" w:w="1147"/>
          </w:tcPr>
          <w:p>
            <w:pPr>
              <w:spacing w:after="20" w:before="20" w:line="240" w:lineRule="auto"/>
            </w:pPr>
            <w:r/>
            <w:r>
              <w:rPr>
                <w:sz w:val="18"/>
              </w:rPr>
              <w:t>see 5.2</w:t>
            </w:r>
          </w:p>
        </w:tc>
        <w:tc>
          <w:tcPr>
            <w:tcW w:type="dxa" w:w="2983"/>
          </w:tcPr>
          <w:p>
            <w:pPr>
              <w:spacing w:after="20" w:before="20" w:line="240" w:lineRule="auto"/>
            </w:pPr>
            <w:r/>
            <w:r>
              <w:rPr>
                <w:sz w:val="18"/>
              </w:rPr>
              <w:t>Reads blank as unchanged (to confirm)</w:t>
            </w:r>
          </w:p>
        </w:tc>
      </w:tr>
      <w:tr>
        <w:tc>
          <w:tcPr>
            <w:tcW w:type="dxa" w:w="803"/>
          </w:tcPr>
          <w:p>
            <w:pPr>
              <w:spacing w:after="20" w:before="20" w:line="240" w:lineRule="auto"/>
            </w:pPr>
            <w:r/>
            <w:r>
              <w:rPr>
                <w:sz w:val="18"/>
              </w:rPr>
              <w:t>E09</w:t>
            </w:r>
          </w:p>
        </w:tc>
        <w:tc>
          <w:tcPr>
            <w:tcW w:type="dxa" w:w="3442"/>
          </w:tcPr>
          <w:p>
            <w:pPr>
              <w:spacing w:after="20" w:before="20" w:line="240" w:lineRule="auto"/>
            </w:pPr>
            <w:r/>
            <w:r>
              <w:rPr>
                <w:sz w:val="18"/>
              </w:rPr>
              <w:t>top_up_amt holds the final tax when there is no top-up</w:t>
            </w:r>
          </w:p>
        </w:tc>
        <w:tc>
          <w:tcPr>
            <w:tcW w:type="dxa" w:w="1377"/>
          </w:tcPr>
          <w:p>
            <w:pPr>
              <w:spacing w:after="20" w:before="20" w:line="240" w:lineRule="auto"/>
            </w:pPr>
            <w:r/>
            <w:r>
              <w:rPr>
                <w:sz w:val="18"/>
              </w:rPr>
              <w:t>about 628,000</w:t>
            </w:r>
          </w:p>
        </w:tc>
        <w:tc>
          <w:tcPr>
            <w:tcW w:type="dxa" w:w="1147"/>
          </w:tcPr>
          <w:p>
            <w:pPr>
              <w:spacing w:after="20" w:before="20" w:line="240" w:lineRule="auto"/>
            </w:pPr>
            <w:r/>
            <w:r>
              <w:rPr>
                <w:sz w:val="18"/>
              </w:rPr>
              <w:t>see 5.2</w:t>
            </w:r>
          </w:p>
        </w:tc>
        <w:tc>
          <w:tcPr>
            <w:tcW w:type="dxa" w:w="2983"/>
          </w:tcPr>
          <w:p>
            <w:pPr>
              <w:spacing w:after="20" w:before="20" w:line="240" w:lineRule="auto"/>
            </w:pPr>
            <w:r/>
            <w:r>
              <w:rPr>
                <w:sz w:val="18"/>
              </w:rPr>
              <w:t>Does not use top_up_amt</w:t>
            </w:r>
          </w:p>
        </w:tc>
      </w:tr>
      <w:tr>
        <w:tc>
          <w:tcPr>
            <w:tcW w:type="dxa" w:w="803"/>
          </w:tcPr>
          <w:p>
            <w:pPr>
              <w:spacing w:after="20" w:before="20" w:line="240" w:lineRule="auto"/>
            </w:pPr>
            <w:r/>
            <w:r>
              <w:rPr>
                <w:sz w:val="18"/>
              </w:rPr>
              <w:t>E11</w:t>
            </w:r>
          </w:p>
        </w:tc>
        <w:tc>
          <w:tcPr>
            <w:tcW w:type="dxa" w:w="3442"/>
          </w:tcPr>
          <w:p>
            <w:pPr>
              <w:spacing w:after="20" w:before="20" w:line="240" w:lineRule="auto"/>
            </w:pPr>
            <w:r/>
            <w:r>
              <w:rPr>
                <w:sz w:val="18"/>
              </w:rPr>
              <w:t>Customs value or weight zero, negative or blank</w:t>
            </w:r>
          </w:p>
        </w:tc>
        <w:tc>
          <w:tcPr>
            <w:tcW w:type="dxa" w:w="1377"/>
          </w:tcPr>
          <w:p>
            <w:pPr>
              <w:spacing w:after="20" w:before="20" w:line="240" w:lineRule="auto"/>
            </w:pPr>
            <w:r/>
            <w:r>
              <w:rPr>
                <w:sz w:val="18"/>
              </w:rPr>
              <w:t>32</w:t>
            </w:r>
          </w:p>
        </w:tc>
        <w:tc>
          <w:tcPr>
            <w:tcW w:type="dxa" w:w="1147"/>
          </w:tcPr>
          <w:p>
            <w:pPr>
              <w:spacing w:after="20" w:before="20" w:line="240" w:lineRule="auto"/>
            </w:pPr>
            <w:r/>
            <w:r>
              <w:rPr>
                <w:sz w:val="18"/>
              </w:rPr>
              <w:t>26</w:t>
            </w:r>
          </w:p>
        </w:tc>
        <w:tc>
          <w:tcPr>
            <w:tcW w:type="dxa" w:w="2983"/>
          </w:tcPr>
          <w:p>
            <w:pPr>
              <w:spacing w:after="20" w:before="20" w:line="240" w:lineRule="auto"/>
            </w:pPr>
            <w:r/>
            <w:r>
              <w:rPr>
                <w:sz w:val="18"/>
              </w:rPr>
              <w:t>Leaves the item out of the price measures</w:t>
            </w:r>
          </w:p>
        </w:tc>
      </w:tr>
    </w:tbl>
    <w:p>
      <w:pPr>
        <w:spacing w:after="40"/>
      </w:pPr>
    </w:p>
    <w:p>
      <w:pPr>
        <w:pStyle w:val="Heading2"/>
      </w:pPr>
      <w:r>
        <w:t>5.2 Each Issue</w:t>
      </w:r>
    </w:p>
    <w:p>
      <w:pPr>
        <w:pStyle w:val="Heading3"/>
      </w:pPr>
      <w:r>
        <w:t>E01: Same Entry under More than One Declaration ID</w:t>
      </w:r>
    </w:p>
    <w:p>
      <w:pPr>
        <w:pStyle w:val="ListParagraph"/>
        <w:numPr>
          <w:ilvl w:val="0"/>
          <w:numId w:val="903"/>
        </w:numPr>
        <w:spacing w:after="60"/>
      </w:pPr>
      <w:r>
        <w:rPr>
          <w:b/>
        </w:rPr>
        <w:t>How it was found:</w:t>
      </w:r>
      <w:r>
        <w:t xml:space="preserve"> Counted the declaration IDs per entry (entry number + station + year). None has more than one.</w:t>
      </w:r>
    </w:p>
    <w:p>
      <w:pPr>
        <w:pStyle w:val="ListParagraph"/>
        <w:numPr>
          <w:ilvl w:val="0"/>
          <w:numId w:val="903"/>
        </w:numPr>
        <w:spacing w:after="60"/>
      </w:pPr>
      <w:r>
        <w:rPr>
          <w:b/>
        </w:rPr>
        <w:t>What the model does:</w:t>
      </w:r>
      <w:r>
        <w:t xml:space="preserve"> Nothing to correct today. The rule stays so that a re-lodged entry could never be counted twice.</w:t>
      </w:r>
    </w:p>
    <w:p>
      <w:pPr>
        <w:pStyle w:val="ListParagraph"/>
        <w:numPr>
          <w:ilvl w:val="0"/>
          <w:numId w:val="903"/>
        </w:numPr>
        <w:spacing w:after="60"/>
      </w:pPr>
      <w:r>
        <w:rPr>
          <w:b/>
        </w:rPr>
        <w:t>Evidence:</w:t>
      </w:r>
      <w:r>
        <w:t xml:space="preserve"> workbook E01 in the evidence folder.</w:t>
      </w:r>
    </w:p>
    <w:p>
      <w:pPr>
        <w:pStyle w:val="Heading3"/>
      </w:pPr>
      <w:r>
        <w:t>E02: The Same Item Row Repeated</w:t>
      </w:r>
    </w:p>
    <w:p>
      <w:pPr>
        <w:pStyle w:val="ListParagraph"/>
        <w:numPr>
          <w:ilvl w:val="0"/>
          <w:numId w:val="904"/>
        </w:numPr>
        <w:spacing w:after="60"/>
      </w:pPr>
      <w:r>
        <w:rPr>
          <w:b/>
        </w:rPr>
        <w:t>How it was found:</w:t>
      </w:r>
      <w:r>
        <w:t xml:space="preserve"> Counted the rows per declaration ID and item number; see Part 3.</w:t>
      </w:r>
    </w:p>
    <w:p>
      <w:pPr>
        <w:pStyle w:val="ListParagraph"/>
        <w:numPr>
          <w:ilvl w:val="0"/>
          <w:numId w:val="904"/>
        </w:numPr>
        <w:spacing w:after="60"/>
      </w:pPr>
      <w:r>
        <w:rPr>
          <w:b/>
        </w:rPr>
        <w:t>What the model does:</w:t>
      </w:r>
      <w:r>
        <w:t xml:space="preserve"> Each item is kept once, and motor vehicle declarations are left out.</w:t>
      </w:r>
    </w:p>
    <w:p>
      <w:pPr>
        <w:pStyle w:val="ListParagraph"/>
        <w:numPr>
          <w:ilvl w:val="0"/>
          <w:numId w:val="904"/>
        </w:numPr>
        <w:spacing w:after="60"/>
      </w:pPr>
      <w:r>
        <w:rPr>
          <w:b/>
        </w:rPr>
        <w:t>Evidence:</w:t>
      </w:r>
      <w:r>
        <w:t xml:space="preserve"> workbook E02 in the evidence folder.</w:t>
      </w:r>
    </w:p>
    <w:p>
      <w:pPr>
        <w:pStyle w:val="Heading3"/>
      </w:pPr>
      <w:r>
        <w:t>E03: TIN Blank or Not 10 Digits</w:t>
      </w:r>
    </w:p>
    <w:p>
      <w:pPr>
        <w:pStyle w:val="ListParagraph"/>
        <w:numPr>
          <w:ilvl w:val="0"/>
          <w:numId w:val="905"/>
        </w:numPr>
        <w:spacing w:after="60"/>
      </w:pPr>
      <w:r>
        <w:rPr>
          <w:b/>
        </w:rPr>
        <w:t>How it was found:</w:t>
      </w:r>
      <w:r>
        <w:t xml:space="preserve"> Checked every TIN against the 10-digit pattern. Among IM4 and IM7 declarations in the 24 months, none fails. The 1,325,413 rows R1 removes in Part 4 belong to other regimes and the earlier year.</w:t>
      </w:r>
    </w:p>
    <w:p>
      <w:pPr>
        <w:pStyle w:val="ListParagraph"/>
        <w:numPr>
          <w:ilvl w:val="0"/>
          <w:numId w:val="905"/>
        </w:numPr>
        <w:spacing w:after="60"/>
      </w:pPr>
      <w:r>
        <w:rPr>
          <w:b/>
        </w:rPr>
        <w:t>What the model does:</w:t>
      </w:r>
      <w:r>
        <w:t xml:space="preserve"> Only 10-digit TINs are profiled.</w:t>
      </w:r>
    </w:p>
    <w:p>
      <w:pPr>
        <w:pStyle w:val="ListParagraph"/>
        <w:numPr>
          <w:ilvl w:val="0"/>
          <w:numId w:val="905"/>
        </w:numPr>
        <w:spacing w:after="60"/>
      </w:pPr>
      <w:r>
        <w:rPr>
          <w:b/>
        </w:rPr>
        <w:t>Evidence:</w:t>
      </w:r>
      <w:r>
        <w:t xml:space="preserve"> workbook E03 in the evidence folder.</w:t>
      </w:r>
    </w:p>
    <w:p>
      <w:pPr>
        <w:pStyle w:val="Heading3"/>
      </w:pPr>
      <w:r>
        <w:t>E04: Cancelled Declarations</w:t>
      </w:r>
    </w:p>
    <w:p>
      <w:pPr>
        <w:pStyle w:val="ListParagraph"/>
        <w:numPr>
          <w:ilvl w:val="0"/>
          <w:numId w:val="906"/>
        </w:numPr>
        <w:spacing w:after="60"/>
      </w:pPr>
      <w:r>
        <w:rPr>
          <w:b/>
        </w:rPr>
        <w:t>How it was found:</w:t>
      </w:r>
      <w:r>
        <w:t xml:space="preserve"> Read from the declaration status (decl_status) in the declaration header table: the value "Cancelled" is the status ASYCUDA gives the declaration. Nothing is inferred.</w:t>
      </w:r>
    </w:p>
    <w:p>
      <w:pPr>
        <w:pStyle w:val="ListParagraph"/>
        <w:numPr>
          <w:ilvl w:val="0"/>
          <w:numId w:val="906"/>
        </w:numPr>
        <w:spacing w:after="60"/>
      </w:pPr>
      <w:r>
        <w:rPr>
          <w:b/>
        </w:rPr>
        <w:t>What the model does:</w:t>
      </w:r>
      <w:r>
        <w:t xml:space="preserve"> Cancelled declarations are left out, since they did not go ahead. The workbook lets a Risk Officer confirm in ASYCUDA that no goods were released and no tax was paid on them.</w:t>
      </w:r>
    </w:p>
    <w:p>
      <w:pPr>
        <w:pStyle w:val="ListParagraph"/>
        <w:numPr>
          <w:ilvl w:val="0"/>
          <w:numId w:val="906"/>
        </w:numPr>
        <w:spacing w:after="60"/>
      </w:pPr>
      <w:r>
        <w:rPr>
          <w:b/>
        </w:rPr>
        <w:t>Evidence:</w:t>
      </w:r>
      <w:r>
        <w:t xml:space="preserve"> workbook E04 in the evidence folder.</w:t>
      </w:r>
    </w:p>
    <w:p>
      <w:pPr>
        <w:pStyle w:val="Heading3"/>
      </w:pPr>
      <w:r>
        <w:t>E05: APC 483</w:t>
      </w:r>
    </w:p>
    <w:p>
      <w:pPr>
        <w:pStyle w:val="ListParagraph"/>
        <w:numPr>
          <w:ilvl w:val="0"/>
          <w:numId w:val="907"/>
        </w:numPr>
        <w:spacing w:after="60"/>
      </w:pPr>
      <w:r>
        <w:rPr>
          <w:b/>
        </w:rPr>
        <w:t>How it was found:</w:t>
      </w:r>
      <w:r>
        <w:t xml:space="preserve"> Read from the APC (cpc_cd). The CPC memo describes APC 483 as destroyed or abandoned goods and dummy reconciliation entries, not trade.</w:t>
      </w:r>
    </w:p>
    <w:p>
      <w:pPr>
        <w:pStyle w:val="ListParagraph"/>
        <w:numPr>
          <w:ilvl w:val="0"/>
          <w:numId w:val="907"/>
        </w:numPr>
        <w:spacing w:after="60"/>
      </w:pPr>
      <w:r>
        <w:rPr>
          <w:b/>
        </w:rPr>
        <w:t>What the model does:</w:t>
      </w:r>
      <w:r>
        <w:t xml:space="preserve"> These declarations are left out.</w:t>
      </w:r>
    </w:p>
    <w:p>
      <w:pPr>
        <w:pStyle w:val="ListParagraph"/>
        <w:numPr>
          <w:ilvl w:val="0"/>
          <w:numId w:val="907"/>
        </w:numPr>
        <w:spacing w:after="60"/>
      </w:pPr>
      <w:r>
        <w:rPr>
          <w:b/>
        </w:rPr>
        <w:t>Evidence:</w:t>
      </w:r>
      <w:r>
        <w:t xml:space="preserve"> workbook E05 in the evidence folder.</w:t>
      </w:r>
    </w:p>
    <w:p>
      <w:pPr>
        <w:pStyle w:val="Heading3"/>
      </w:pPr>
      <w:r>
        <w:t>E06: Top-up Flag Y, but Final Tax Not above Original Tax</w:t>
      </w:r>
    </w:p>
    <w:p>
      <w:pPr>
        <w:pStyle w:val="ListParagraph"/>
        <w:numPr>
          <w:ilvl w:val="0"/>
          <w:numId w:val="908"/>
        </w:numPr>
        <w:spacing w:after="60"/>
      </w:pPr>
      <w:r>
        <w:rPr>
          <w:b/>
        </w:rPr>
        <w:t>How it was found:</w:t>
      </w:r>
      <w:r>
        <w:t xml:space="preserve"> Compared the top-up flag with the original and final tax on each declaration.</w:t>
      </w:r>
    </w:p>
    <w:p>
      <w:pPr>
        <w:pStyle w:val="ListParagraph"/>
        <w:numPr>
          <w:ilvl w:val="0"/>
          <w:numId w:val="908"/>
        </w:numPr>
        <w:spacing w:after="60"/>
      </w:pPr>
      <w:r>
        <w:rPr>
          <w:b/>
        </w:rPr>
        <w:t>What the model does:</w:t>
      </w:r>
      <w:r>
        <w:t xml:space="preserve"> A top-up counts only when the flag is Y </w:t>
      </w:r>
      <w:r>
        <w:rPr>
          <w:b/>
        </w:rPr>
        <w:t>and</w:t>
      </w:r>
      <w:r>
        <w:t xml:space="preserve"> the final tax is above the original tax.</w:t>
      </w:r>
    </w:p>
    <w:p>
      <w:pPr>
        <w:pStyle w:val="ListParagraph"/>
        <w:numPr>
          <w:ilvl w:val="0"/>
          <w:numId w:val="908"/>
        </w:numPr>
        <w:spacing w:after="60"/>
      </w:pPr>
      <w:r>
        <w:rPr>
          <w:b/>
        </w:rPr>
        <w:t>Evidence:</w:t>
      </w:r>
      <w:r>
        <w:t xml:space="preserve"> workbook E06 in the evidence folder.</w:t>
      </w:r>
    </w:p>
    <w:p>
      <w:pPr>
        <w:pStyle w:val="Heading3"/>
      </w:pPr>
      <w:r>
        <w:t>E07: Final Tax above Original Tax, but No Top-up Flag</w:t>
      </w:r>
    </w:p>
    <w:p>
      <w:pPr>
        <w:pStyle w:val="ListParagraph"/>
        <w:numPr>
          <w:ilvl w:val="0"/>
          <w:numId w:val="909"/>
        </w:numPr>
        <w:spacing w:after="60"/>
      </w:pPr>
      <w:r>
        <w:rPr>
          <w:b/>
        </w:rPr>
        <w:t>How it was found:</w:t>
      </w:r>
      <w:r>
        <w:t xml:space="preserve"> Same comparison: the tax rose but the flag is not Y.</w:t>
      </w:r>
    </w:p>
    <w:p>
      <w:pPr>
        <w:pStyle w:val="ListParagraph"/>
        <w:numPr>
          <w:ilvl w:val="0"/>
          <w:numId w:val="909"/>
        </w:numPr>
        <w:spacing w:after="60"/>
      </w:pPr>
      <w:r>
        <w:rPr>
          <w:b/>
        </w:rPr>
        <w:t>What the model does:</w:t>
      </w:r>
      <w:r>
        <w:t xml:space="preserve"> Not counted as top-ups, since the flag is customs' own marking. To be confirmed (Part 6).</w:t>
      </w:r>
    </w:p>
    <w:p>
      <w:pPr>
        <w:pStyle w:val="ListParagraph"/>
        <w:numPr>
          <w:ilvl w:val="0"/>
          <w:numId w:val="909"/>
        </w:numPr>
        <w:spacing w:after="60"/>
      </w:pPr>
      <w:r>
        <w:rPr>
          <w:b/>
        </w:rPr>
        <w:t>Evidence:</w:t>
      </w:r>
      <w:r>
        <w:t xml:space="preserve"> workbook E07 in the evidence folder.</w:t>
      </w:r>
    </w:p>
    <w:p>
      <w:pPr>
        <w:pStyle w:val="Heading3"/>
      </w:pPr>
      <w:r>
        <w:t>E08: Original Tax Blank</w:t>
      </w:r>
    </w:p>
    <w:p>
      <w:pPr>
        <w:pStyle w:val="ListParagraph"/>
        <w:numPr>
          <w:ilvl w:val="0"/>
          <w:numId w:val="910"/>
        </w:numPr>
        <w:spacing w:after="60"/>
      </w:pPr>
      <w:r>
        <w:rPr>
          <w:b/>
        </w:rPr>
        <w:t>How it was found:</w:t>
      </w:r>
      <w:r>
        <w:t xml:space="preserve"> See 2.2. Listed from a random 1 in 50 of the entries (9,066 entries of 972 taxpayers), so about 453,000 entries in all.</w:t>
      </w:r>
    </w:p>
    <w:p>
      <w:pPr>
        <w:pStyle w:val="ListParagraph"/>
        <w:numPr>
          <w:ilvl w:val="0"/>
          <w:numId w:val="910"/>
        </w:numPr>
        <w:spacing w:after="60"/>
      </w:pPr>
      <w:r>
        <w:rPr>
          <w:b/>
        </w:rPr>
        <w:t>What the model does:</w:t>
      </w:r>
      <w:r>
        <w:t xml:space="preserve"> A blank is read as unchanged, and the final tax is used. To be confirmed (Part 6).</w:t>
      </w:r>
    </w:p>
    <w:p>
      <w:pPr>
        <w:pStyle w:val="ListParagraph"/>
        <w:numPr>
          <w:ilvl w:val="0"/>
          <w:numId w:val="910"/>
        </w:numPr>
        <w:spacing w:after="60"/>
      </w:pPr>
      <w:r>
        <w:rPr>
          <w:b/>
        </w:rPr>
        <w:t>Evidence:</w:t>
      </w:r>
      <w:r>
        <w:t xml:space="preserve"> workbook E08 in the evidence folder.</w:t>
      </w:r>
    </w:p>
    <w:p>
      <w:pPr>
        <w:pStyle w:val="Heading3"/>
      </w:pPr>
      <w:r>
        <w:t>E09: top_up_amt Holds the Final Tax when There Is No Top-up</w:t>
      </w:r>
    </w:p>
    <w:p>
      <w:pPr>
        <w:pStyle w:val="ListParagraph"/>
        <w:numPr>
          <w:ilvl w:val="0"/>
          <w:numId w:val="911"/>
        </w:numPr>
        <w:spacing w:after="60"/>
      </w:pPr>
      <w:r>
        <w:rPr>
          <w:b/>
        </w:rPr>
        <w:t>How it was found:</w:t>
      </w:r>
      <w:r>
        <w:t xml:space="preserve"> On declarations with no top-up flag, top_up_amt equals the final tax 99.5% of the time. Listed from a random 1 in 50 of the entries (12,560 entries of 4,038 taxpayers), so about 628,000 in all.</w:t>
      </w:r>
    </w:p>
    <w:p>
      <w:pPr>
        <w:pStyle w:val="ListParagraph"/>
        <w:numPr>
          <w:ilvl w:val="0"/>
          <w:numId w:val="911"/>
        </w:numPr>
        <w:spacing w:after="60"/>
      </w:pPr>
      <w:r>
        <w:rPr>
          <w:b/>
        </w:rPr>
        <w:t>What the model does:</w:t>
      </w:r>
      <w:r>
        <w:t xml:space="preserve"> top_up_amt is not used. The top-up is worked out as final tax minus original tax.</w:t>
      </w:r>
    </w:p>
    <w:p>
      <w:pPr>
        <w:pStyle w:val="ListParagraph"/>
        <w:numPr>
          <w:ilvl w:val="0"/>
          <w:numId w:val="911"/>
        </w:numPr>
        <w:spacing w:after="60"/>
      </w:pPr>
      <w:r>
        <w:rPr>
          <w:b/>
        </w:rPr>
        <w:t>Evidence:</w:t>
      </w:r>
      <w:r>
        <w:t xml:space="preserve"> workbook E09 in the evidence folder.</w:t>
      </w:r>
    </w:p>
    <w:p>
      <w:pPr>
        <w:pStyle w:val="Heading3"/>
      </w:pPr>
      <w:r>
        <w:t>E11: Customs Value or Weight Zero, Negative or Blank</w:t>
      </w:r>
    </w:p>
    <w:p>
      <w:pPr>
        <w:pStyle w:val="ListParagraph"/>
        <w:numPr>
          <w:ilvl w:val="0"/>
          <w:numId w:val="912"/>
        </w:numPr>
        <w:spacing w:after="60"/>
      </w:pPr>
      <w:r>
        <w:rPr>
          <w:b/>
        </w:rPr>
        <w:t>How it was found:</w:t>
      </w:r>
      <w:r>
        <w:t xml:space="preserve"> Checked customs value and net weight on every item.</w:t>
      </w:r>
    </w:p>
    <w:p>
      <w:pPr>
        <w:pStyle w:val="ListParagraph"/>
        <w:numPr>
          <w:ilvl w:val="0"/>
          <w:numId w:val="912"/>
        </w:numPr>
        <w:spacing w:after="60"/>
      </w:pPr>
      <w:r>
        <w:rPr>
          <w:b/>
        </w:rPr>
        <w:t>What the model does:</w:t>
      </w:r>
      <w:r>
        <w:t xml:space="preserve"> These items still count as declarations, but are left out of the price comparisons.</w:t>
      </w:r>
    </w:p>
    <w:p>
      <w:pPr>
        <w:pStyle w:val="ListParagraph"/>
        <w:numPr>
          <w:ilvl w:val="0"/>
          <w:numId w:val="912"/>
        </w:numPr>
        <w:spacing w:after="60"/>
      </w:pPr>
      <w:r>
        <w:rPr>
          <w:b/>
        </w:rPr>
        <w:t>Evidence:</w:t>
      </w:r>
      <w:r>
        <w:t xml:space="preserve"> workbook E11 in the evidence folder.</w:t>
      </w:r>
    </w:p>
    <w:p>
      <w:r>
        <w:br w:type="page"/>
      </w:r>
    </w:p>
    <w:p/>
    <w:p/>
    <w:p/>
    <w:p/>
    <w:p/>
    <w:p/>
    <w:p>
      <w:pPr>
        <w:pStyle w:val="Heading1"/>
      </w:pPr>
      <w:r>
        <w:t>PART 6: FEATURES, CONFIRMATIONS AND NEXT STEPS</w:t>
      </w:r>
    </w:p>
    <w:p>
      <w:pPr>
        <w:spacing w:after="120"/>
      </w:pPr>
      <w:r>
        <w:t>The 25 features are built from the cleaned data and match the production code exactly. Two readings need confirmation and two questions go to Data Engineering.</w:t>
      </w:r>
    </w:p>
    <w:p>
      <w:r>
        <w:br w:type="page"/>
      </w:r>
    </w:p>
    <w:p>
      <w:pPr>
        <w:pStyle w:val="Heading2"/>
      </w:pPr>
      <w:r>
        <w:t>6.1 Features</w:t>
      </w:r>
    </w:p>
    <w:p>
      <w:pPr>
        <w:spacing w:after="120"/>
      </w:pPr>
      <w:r>
        <w:t>The model reads 25 features: 8 for the compliance history scorecard (Track A) and 17 on behaviour (Track B). The working notebook builds them step by step from the Hue extract (snapshot 31 March 2026, 35,281 taxpayers) and checks the result against the production code: all 64 columns of the final dataset are the same. Each name says what is measured, over which window, and in what unit.</w:t>
      </w:r>
    </w:p>
    <w:p>
      <w:pPr>
        <w:pStyle w:val="Caption"/>
      </w:pPr>
      <w:r>
        <w:t xml:space="preserve">Table </w:t>
      </w:r>
      <w:r>
        <w:fldChar w:fldCharType="begin"/>
      </w:r>
      <w:r>
        <w:instrText xml:space="preserve"> SEQ Table \* ARABIC </w:instrText>
      </w:r>
      <w:r>
        <w:fldChar w:fldCharType="separate"/>
      </w:r>
      <w:r>
        <w:t>15</w:t>
      </w:r>
      <w:r>
        <w:fldChar w:fldCharType="end"/>
      </w:r>
      <w:r>
        <w:t>: The Features</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4876"/>
        <w:gridCol w:w="4876"/>
      </w:tblGrid>
      <w:tr>
        <w:trPr>
          <w:tblHeader w:val="true"/>
        </w:trPr>
        <w:tc>
          <w:tcPr>
            <w:tcW w:type="dxa" w:w="4589"/>
            <w:shd w:val="clear" w:color="auto" w:fill="D9E2F3"/>
          </w:tcPr>
          <w:p>
            <w:pPr>
              <w:spacing w:after="20" w:before="20" w:line="240" w:lineRule="auto"/>
            </w:pPr>
            <w:r/>
            <w:r>
              <w:rPr>
                <w:b/>
                <w:sz w:val="16"/>
              </w:rPr>
              <w:t>Feature</w:t>
            </w:r>
          </w:p>
        </w:tc>
        <w:tc>
          <w:tcPr>
            <w:tcW w:type="dxa" w:w="5162"/>
            <w:shd w:val="clear" w:color="auto" w:fill="D9E2F3"/>
          </w:tcPr>
          <w:p>
            <w:pPr>
              <w:spacing w:after="20" w:before="20" w:line="240" w:lineRule="auto"/>
            </w:pPr>
            <w:r/>
            <w:r>
              <w:rPr>
                <w:b/>
                <w:sz w:val="16"/>
              </w:rPr>
              <w:t>What it measures</w:t>
            </w:r>
          </w:p>
        </w:tc>
      </w:tr>
      <w:tr>
        <w:tc>
          <w:tcPr>
            <w:tcW w:type="dxa" w:w="4589"/>
          </w:tcPr>
          <w:p>
            <w:pPr>
              <w:spacing w:after="20" w:before="20" w:line="240" w:lineRule="auto"/>
            </w:pPr>
            <w:r/>
            <w:r>
              <w:rPr>
                <w:sz w:val="16"/>
              </w:rPr>
              <w:t>topped_up_per_decl_3y_rate (A)</w:t>
            </w:r>
          </w:p>
        </w:tc>
        <w:tc>
          <w:tcPr>
            <w:tcW w:type="dxa" w:w="5162"/>
          </w:tcPr>
          <w:p>
            <w:pPr>
              <w:spacing w:after="20" w:before="20" w:line="240" w:lineRule="auto"/>
            </w:pPr>
            <w:r/>
            <w:r>
              <w:rPr>
                <w:sz w:val="16"/>
              </w:rPr>
              <w:t>Declarations topped up ÷ declarations</w:t>
            </w:r>
          </w:p>
        </w:tc>
      </w:tr>
      <w:tr>
        <w:tc>
          <w:tcPr>
            <w:tcW w:type="dxa" w:w="4589"/>
          </w:tcPr>
          <w:p>
            <w:pPr>
              <w:spacing w:after="20" w:before="20" w:line="240" w:lineRule="auto"/>
            </w:pPr>
            <w:r/>
            <w:r>
              <w:rPr>
                <w:sz w:val="16"/>
              </w:rPr>
              <w:t>severe_top_up_per_decl_3y_rate (A)</w:t>
            </w:r>
          </w:p>
        </w:tc>
        <w:tc>
          <w:tcPr>
            <w:tcW w:type="dxa" w:w="5162"/>
          </w:tcPr>
          <w:p>
            <w:pPr>
              <w:spacing w:after="20" w:before="20" w:line="240" w:lineRule="auto"/>
            </w:pPr>
            <w:r/>
            <w:r>
              <w:rPr>
                <w:sz w:val="16"/>
              </w:rPr>
              <w:t>Top-ups of 30% or more of the final tax ÷ declarations</w:t>
            </w:r>
          </w:p>
        </w:tc>
      </w:tr>
      <w:tr>
        <w:tc>
          <w:tcPr>
            <w:tcW w:type="dxa" w:w="4589"/>
          </w:tcPr>
          <w:p>
            <w:pPr>
              <w:spacing w:after="20" w:before="20" w:line="240" w:lineRule="auto"/>
            </w:pPr>
            <w:r/>
            <w:r>
              <w:rPr>
                <w:sz w:val="16"/>
              </w:rPr>
              <w:t>amended_per_decl_3y_rate (A); b_amended_per_decl_24m_rate (B)</w:t>
            </w:r>
          </w:p>
        </w:tc>
        <w:tc>
          <w:tcPr>
            <w:tcW w:type="dxa" w:w="5162"/>
          </w:tcPr>
          <w:p>
            <w:pPr>
              <w:spacing w:after="20" w:before="20" w:line="240" w:lineRule="auto"/>
            </w:pPr>
            <w:r/>
            <w:r>
              <w:rPr>
                <w:sz w:val="16"/>
              </w:rPr>
              <w:t>Declarations amended ÷ declarations</w:t>
            </w:r>
          </w:p>
        </w:tc>
      </w:tr>
      <w:tr>
        <w:tc>
          <w:tcPr>
            <w:tcW w:type="dxa" w:w="4589"/>
          </w:tcPr>
          <w:p>
            <w:pPr>
              <w:spacing w:after="20" w:before="20" w:line="240" w:lineRule="auto"/>
            </w:pPr>
            <w:r/>
            <w:r>
              <w:rPr>
                <w:sz w:val="16"/>
              </w:rPr>
              <w:t>top_up_per_final_tax_3y_rate (A)</w:t>
            </w:r>
          </w:p>
        </w:tc>
        <w:tc>
          <w:tcPr>
            <w:tcW w:type="dxa" w:w="5162"/>
          </w:tcPr>
          <w:p>
            <w:pPr>
              <w:spacing w:after="20" w:before="20" w:line="240" w:lineRule="auto"/>
            </w:pPr>
            <w:r/>
            <w:r>
              <w:rPr>
                <w:sz w:val="16"/>
              </w:rPr>
              <w:t>Top-ups ÷ final tax (original tax + top-ups)</w:t>
            </w:r>
          </w:p>
        </w:tc>
      </w:tr>
      <w:tr>
        <w:tc>
          <w:tcPr>
            <w:tcW w:type="dxa" w:w="4589"/>
          </w:tcPr>
          <w:p>
            <w:pPr>
              <w:spacing w:after="20" w:before="20" w:line="240" w:lineRule="auto"/>
            </w:pPr>
            <w:r/>
            <w:r>
              <w:rPr>
                <w:sz w:val="16"/>
              </w:rPr>
              <w:t>peer_price_shortfall_per_value_24m_rate (A); b_peer_price_shortfall_per_value_24m_rate (B)</w:t>
            </w:r>
          </w:p>
        </w:tc>
        <w:tc>
          <w:tcPr>
            <w:tcW w:type="dxa" w:w="5162"/>
          </w:tcPr>
          <w:p>
            <w:pPr>
              <w:spacing w:after="20" w:before="20" w:line="240" w:lineRule="auto"/>
            </w:pPr>
            <w:r/>
            <w:r>
              <w:rPr>
                <w:sz w:val="16"/>
              </w:rPr>
              <w:t>Value missing on items priced under half the median price of other importers ÷ value</w:t>
            </w:r>
          </w:p>
        </w:tc>
      </w:tr>
      <w:tr>
        <w:tc>
          <w:tcPr>
            <w:tcW w:type="dxa" w:w="4589"/>
          </w:tcPr>
          <w:p>
            <w:pPr>
              <w:spacing w:after="20" w:before="20" w:line="240" w:lineRule="auto"/>
            </w:pPr>
            <w:r/>
            <w:r>
              <w:rPr>
                <w:sz w:val="16"/>
              </w:rPr>
              <w:t>tax_reduced_per_decl_3y_rate (A)</w:t>
            </w:r>
          </w:p>
        </w:tc>
        <w:tc>
          <w:tcPr>
            <w:tcW w:type="dxa" w:w="5162"/>
          </w:tcPr>
          <w:p>
            <w:pPr>
              <w:spacing w:after="20" w:before="20" w:line="240" w:lineRule="auto"/>
            </w:pPr>
            <w:r/>
            <w:r>
              <w:rPr>
                <w:sz w:val="16"/>
              </w:rPr>
              <w:t>Declarations whose tax was reduced after assessment ÷ declarations</w:t>
            </w:r>
          </w:p>
        </w:tc>
      </w:tr>
      <w:tr>
        <w:tc>
          <w:tcPr>
            <w:tcW w:type="dxa" w:w="4589"/>
          </w:tcPr>
          <w:p>
            <w:pPr>
              <w:spacing w:after="20" w:before="20" w:line="240" w:lineRule="auto"/>
            </w:pPr>
            <w:r/>
            <w:r>
              <w:rPr>
                <w:sz w:val="16"/>
              </w:rPr>
              <w:t>top_up_last_180d_flag (A)</w:t>
            </w:r>
          </w:p>
        </w:tc>
        <w:tc>
          <w:tcPr>
            <w:tcW w:type="dxa" w:w="5162"/>
          </w:tcPr>
          <w:p>
            <w:pPr>
              <w:spacing w:after="20" w:before="20" w:line="240" w:lineRule="auto"/>
            </w:pPr>
            <w:r/>
            <w:r>
              <w:rPr>
                <w:sz w:val="16"/>
              </w:rPr>
              <w:t>1 if the last top-up was within 180 days of the snapshot, else 0</w:t>
            </w:r>
          </w:p>
        </w:tc>
      </w:tr>
      <w:tr>
        <w:tc>
          <w:tcPr>
            <w:tcW w:type="dxa" w:w="4589"/>
          </w:tcPr>
          <w:p>
            <w:pPr>
              <w:spacing w:after="20" w:before="20" w:line="240" w:lineRule="auto"/>
            </w:pPr>
            <w:r/>
            <w:r>
              <w:rPr>
                <w:sz w:val="16"/>
              </w:rPr>
              <w:t>away_from_main_station_per_decl_24m_rate (A); b_away_from_main_station_per_decl_24m_rate (B)</w:t>
            </w:r>
          </w:p>
        </w:tc>
        <w:tc>
          <w:tcPr>
            <w:tcW w:type="dxa" w:w="5162"/>
          </w:tcPr>
          <w:p>
            <w:pPr>
              <w:spacing w:after="20" w:before="20" w:line="240" w:lineRule="auto"/>
            </w:pPr>
            <w:r/>
            <w:r>
              <w:rPr>
                <w:sz w:val="16"/>
              </w:rPr>
              <w:t>1 − share of declarations at the main station</w:t>
            </w:r>
          </w:p>
        </w:tc>
      </w:tr>
      <w:tr>
        <w:tc>
          <w:tcPr>
            <w:tcW w:type="dxa" w:w="4589"/>
          </w:tcPr>
          <w:p>
            <w:pPr>
              <w:spacing w:after="20" w:before="20" w:line="240" w:lineRule="auto"/>
            </w:pPr>
            <w:r/>
            <w:r>
              <w:rPr>
                <w:sz w:val="16"/>
              </w:rPr>
              <w:t>b_unpaid_tax_per_decl_24m_rate (B)</w:t>
            </w:r>
          </w:p>
        </w:tc>
        <w:tc>
          <w:tcPr>
            <w:tcW w:type="dxa" w:w="5162"/>
          </w:tcPr>
          <w:p>
            <w:pPr>
              <w:spacing w:after="20" w:before="20" w:line="240" w:lineRule="auto"/>
            </w:pPr>
            <w:r/>
            <w:r>
              <w:rPr>
                <w:sz w:val="16"/>
              </w:rPr>
              <w:t>Declarations with tax due and status NOT_PAID ÷ declarations</w:t>
            </w:r>
          </w:p>
        </w:tc>
      </w:tr>
      <w:tr>
        <w:tc>
          <w:tcPr>
            <w:tcW w:type="dxa" w:w="4589"/>
          </w:tcPr>
          <w:p>
            <w:pPr>
              <w:spacing w:after="20" w:before="20" w:line="240" w:lineRule="auto"/>
            </w:pPr>
            <w:r/>
            <w:r>
              <w:rPr>
                <w:sz w:val="16"/>
              </w:rPr>
              <w:t>b_price_keying_error_per_item_24m_rate (B)</w:t>
            </w:r>
          </w:p>
        </w:tc>
        <w:tc>
          <w:tcPr>
            <w:tcW w:type="dxa" w:w="5162"/>
          </w:tcPr>
          <w:p>
            <w:pPr>
              <w:spacing w:after="20" w:before="20" w:line="240" w:lineRule="auto"/>
            </w:pPr>
            <w:r/>
            <w:r>
              <w:rPr>
                <w:sz w:val="16"/>
              </w:rPr>
              <w:t>Items priced under 1% of the median price ÷ items</w:t>
            </w:r>
          </w:p>
        </w:tc>
      </w:tr>
      <w:tr>
        <w:tc>
          <w:tcPr>
            <w:tcW w:type="dxa" w:w="4589"/>
          </w:tcPr>
          <w:p>
            <w:pPr>
              <w:spacing w:after="20" w:before="20" w:line="240" w:lineRule="auto"/>
            </w:pPr>
            <w:r/>
            <w:r>
              <w:rPr>
                <w:sz w:val="16"/>
              </w:rPr>
              <w:t>b_price_under_half_peer_per_item_24m_rate (B)</w:t>
            </w:r>
          </w:p>
        </w:tc>
        <w:tc>
          <w:tcPr>
            <w:tcW w:type="dxa" w:w="5162"/>
          </w:tcPr>
          <w:p>
            <w:pPr>
              <w:spacing w:after="20" w:before="20" w:line="240" w:lineRule="auto"/>
            </w:pPr>
            <w:r/>
            <w:r>
              <w:rPr>
                <w:sz w:val="16"/>
              </w:rPr>
              <w:t>Items priced under half the median price ÷ items</w:t>
            </w:r>
          </w:p>
        </w:tc>
      </w:tr>
      <w:tr>
        <w:tc>
          <w:tcPr>
            <w:tcW w:type="dxa" w:w="4589"/>
          </w:tcPr>
          <w:p>
            <w:pPr>
              <w:spacing w:after="20" w:before="20" w:line="240" w:lineRule="auto"/>
            </w:pPr>
            <w:r/>
            <w:r>
              <w:rPr>
                <w:sz w:val="16"/>
              </w:rPr>
              <w:t>b_median_price_dev_from_peer_24m_log (B)</w:t>
            </w:r>
          </w:p>
        </w:tc>
        <w:tc>
          <w:tcPr>
            <w:tcW w:type="dxa" w:w="5162"/>
          </w:tcPr>
          <w:p>
            <w:pPr>
              <w:spacing w:after="20" w:before="20" w:line="240" w:lineRule="auto"/>
            </w:pPr>
            <w:r/>
            <w:r>
              <w:rPr>
                <w:sz w:val="16"/>
              </w:rPr>
              <w:t>Median distance of the price from the median price, either way, log scale</w:t>
            </w:r>
          </w:p>
        </w:tc>
      </w:tr>
      <w:tr>
        <w:tc>
          <w:tcPr>
            <w:tcW w:type="dxa" w:w="4589"/>
          </w:tcPr>
          <w:p>
            <w:pPr>
              <w:spacing w:after="20" w:before="20" w:line="240" w:lineRule="auto"/>
            </w:pPr>
            <w:r/>
            <w:r>
              <w:rPr>
                <w:sz w:val="16"/>
              </w:rPr>
              <w:t>b_own_price_drop_per_recent_value_6m_rate (B)</w:t>
            </w:r>
          </w:p>
        </w:tc>
        <w:tc>
          <w:tcPr>
            <w:tcW w:type="dxa" w:w="5162"/>
          </w:tcPr>
          <w:p>
            <w:pPr>
              <w:spacing w:after="20" w:before="20" w:line="240" w:lineRule="auto"/>
            </w:pPr>
            <w:r/>
            <w:r>
              <w:rPr>
                <w:sz w:val="16"/>
              </w:rPr>
              <w:t>Share of recent value on goods now declared under 70% of the taxpayer's own earlier price</w:t>
            </w:r>
          </w:p>
        </w:tc>
      </w:tr>
      <w:tr>
        <w:tc>
          <w:tcPr>
            <w:tcW w:type="dxa" w:w="4589"/>
          </w:tcPr>
          <w:p>
            <w:pPr>
              <w:spacing w:after="20" w:before="20" w:line="240" w:lineRule="auto"/>
            </w:pPr>
            <w:r/>
            <w:r>
              <w:rPr>
                <w:sz w:val="16"/>
              </w:rPr>
              <w:t>b_duty_under_half_peer_per_value_24m_rate (B)</w:t>
            </w:r>
          </w:p>
        </w:tc>
        <w:tc>
          <w:tcPr>
            <w:tcW w:type="dxa" w:w="5162"/>
          </w:tcPr>
          <w:p>
            <w:pPr>
              <w:spacing w:after="20" w:before="20" w:line="240" w:lineRule="auto"/>
            </w:pPr>
            <w:r/>
            <w:r>
              <w:rPr>
                <w:sz w:val="16"/>
              </w:rPr>
              <w:t>Value taxed at under half the median duty rate (no exemption claimed) ÷ value</w:t>
            </w:r>
          </w:p>
        </w:tc>
      </w:tr>
      <w:tr>
        <w:tc>
          <w:tcPr>
            <w:tcW w:type="dxa" w:w="4589"/>
          </w:tcPr>
          <w:p>
            <w:pPr>
              <w:spacing w:after="20" w:before="20" w:line="240" w:lineRule="auto"/>
            </w:pPr>
            <w:r/>
            <w:r>
              <w:rPr>
                <w:sz w:val="16"/>
              </w:rPr>
              <w:t>b_duty_gap_vs_peer_per_value_24m_rate (B)</w:t>
            </w:r>
          </w:p>
        </w:tc>
        <w:tc>
          <w:tcPr>
            <w:tcW w:type="dxa" w:w="5162"/>
          </w:tcPr>
          <w:p>
            <w:pPr>
              <w:spacing w:after="20" w:before="20" w:line="240" w:lineRule="auto"/>
            </w:pPr>
            <w:r/>
            <w:r>
              <w:rPr>
                <w:sz w:val="16"/>
              </w:rPr>
              <w:t>Tax missing against the median duty rate ÷ value</w:t>
            </w:r>
          </w:p>
        </w:tc>
      </w:tr>
      <w:tr>
        <w:tc>
          <w:tcPr>
            <w:tcW w:type="dxa" w:w="4589"/>
          </w:tcPr>
          <w:p>
            <w:pPr>
              <w:spacing w:after="20" w:before="20" w:line="240" w:lineRule="auto"/>
            </w:pPr>
            <w:r/>
            <w:r>
              <w:rPr>
                <w:sz w:val="16"/>
              </w:rPr>
              <w:t>b_exempt_apc_per_value_24m_rate (B)</w:t>
            </w:r>
          </w:p>
        </w:tc>
        <w:tc>
          <w:tcPr>
            <w:tcW w:type="dxa" w:w="5162"/>
          </w:tcPr>
          <w:p>
            <w:pPr>
              <w:spacing w:after="20" w:before="20" w:line="240" w:lineRule="auto"/>
            </w:pPr>
            <w:r/>
            <w:r>
              <w:rPr>
                <w:sz w:val="16"/>
              </w:rPr>
              <w:t>Value under an exemption APC (not 000) ÷ value</w:t>
            </w:r>
          </w:p>
        </w:tc>
      </w:tr>
      <w:tr>
        <w:tc>
          <w:tcPr>
            <w:tcW w:type="dxa" w:w="4589"/>
          </w:tcPr>
          <w:p>
            <w:pPr>
              <w:spacing w:after="20" w:before="20" w:line="240" w:lineRule="auto"/>
            </w:pPr>
            <w:r/>
            <w:r>
              <w:rPr>
                <w:sz w:val="16"/>
              </w:rPr>
              <w:t>b_watchlist_apc_per_value_24m_rate (B)</w:t>
            </w:r>
          </w:p>
        </w:tc>
        <w:tc>
          <w:tcPr>
            <w:tcW w:type="dxa" w:w="5162"/>
          </w:tcPr>
          <w:p>
            <w:pPr>
              <w:spacing w:after="20" w:before="20" w:line="240" w:lineRule="auto"/>
            </w:pPr>
            <w:r/>
            <w:r>
              <w:rPr>
                <w:sz w:val="16"/>
              </w:rPr>
              <w:t>Value under the 11 APCs marked "look out for possible abuse" ÷ value</w:t>
            </w:r>
          </w:p>
        </w:tc>
      </w:tr>
      <w:tr>
        <w:tc>
          <w:tcPr>
            <w:tcW w:type="dxa" w:w="4589"/>
          </w:tcPr>
          <w:p>
            <w:pPr>
              <w:spacing w:after="20" w:before="20" w:line="240" w:lineRule="auto"/>
            </w:pPr>
            <w:r/>
            <w:r>
              <w:rPr>
                <w:sz w:val="16"/>
              </w:rPr>
              <w:t>b_pref_claimed_per_item_24m_rate (B)</w:t>
            </w:r>
          </w:p>
        </w:tc>
        <w:tc>
          <w:tcPr>
            <w:tcW w:type="dxa" w:w="5162"/>
          </w:tcPr>
          <w:p>
            <w:pPr>
              <w:spacing w:after="20" w:before="20" w:line="240" w:lineRule="auto"/>
            </w:pPr>
            <w:r/>
            <w:r>
              <w:rPr>
                <w:sz w:val="16"/>
              </w:rPr>
              <w:t>Items claiming preferential treatment ÷ items</w:t>
            </w:r>
          </w:p>
        </w:tc>
      </w:tr>
      <w:tr>
        <w:tc>
          <w:tcPr>
            <w:tcW w:type="dxa" w:w="4589"/>
          </w:tcPr>
          <w:p>
            <w:pPr>
              <w:spacing w:after="20" w:before="20" w:line="240" w:lineRule="auto"/>
            </w:pPr>
            <w:r/>
            <w:r>
              <w:rPr>
                <w:sz w:val="16"/>
              </w:rPr>
              <w:t>b_decl_90d_per_avg_qtr_24m_log (B)</w:t>
            </w:r>
          </w:p>
        </w:tc>
        <w:tc>
          <w:tcPr>
            <w:tcW w:type="dxa" w:w="5162"/>
          </w:tcPr>
          <w:p>
            <w:pPr>
              <w:spacing w:after="20" w:before="20" w:line="240" w:lineRule="auto"/>
            </w:pPr>
            <w:r/>
            <w:r>
              <w:rPr>
                <w:sz w:val="16"/>
              </w:rPr>
              <w:t>log((declarations in the last 90 days + 1) ÷ (average quarter + 1))</w:t>
            </w:r>
          </w:p>
        </w:tc>
      </w:tr>
      <w:tr>
        <w:tc>
          <w:tcPr>
            <w:tcW w:type="dxa" w:w="4589"/>
          </w:tcPr>
          <w:p>
            <w:pPr>
              <w:spacing w:after="20" w:before="20" w:line="240" w:lineRule="auto"/>
            </w:pPr>
            <w:r/>
            <w:r>
              <w:rPr>
                <w:sz w:val="16"/>
              </w:rPr>
              <w:t>b_hs4_per_decl_24m_ratio (B)</w:t>
            </w:r>
          </w:p>
        </w:tc>
        <w:tc>
          <w:tcPr>
            <w:tcW w:type="dxa" w:w="5162"/>
          </w:tcPr>
          <w:p>
            <w:pPr>
              <w:spacing w:after="20" w:before="20" w:line="240" w:lineRule="auto"/>
            </w:pPr>
            <w:r/>
            <w:r>
              <w:rPr>
                <w:sz w:val="16"/>
              </w:rPr>
              <w:t>Different 4-digit HS headings ÷ declarations</w:t>
            </w:r>
          </w:p>
        </w:tc>
      </w:tr>
      <w:tr>
        <w:tc>
          <w:tcPr>
            <w:tcW w:type="dxa" w:w="4589"/>
          </w:tcPr>
          <w:p>
            <w:pPr>
              <w:spacing w:after="20" w:before="20" w:line="240" w:lineRule="auto"/>
            </w:pPr>
            <w:r/>
            <w:r>
              <w:rPr>
                <w:sz w:val="16"/>
              </w:rPr>
              <w:t>b_same_day_split_per_decl_vs_norm_24m_diff (B)</w:t>
            </w:r>
          </w:p>
        </w:tc>
        <w:tc>
          <w:tcPr>
            <w:tcW w:type="dxa" w:w="5162"/>
          </w:tcPr>
          <w:p>
            <w:pPr>
              <w:spacing w:after="20" w:before="20" w:line="240" w:lineRule="auto"/>
            </w:pPr>
            <w:r/>
            <w:r>
              <w:rPr>
                <w:sz w:val="16"/>
              </w:rPr>
              <w:t>Share of declarations in same-day repeats of one HS code, minus the norm for those goods</w:t>
            </w:r>
          </w:p>
        </w:tc>
      </w:tr>
      <w:tr>
        <w:tc>
          <w:tcPr>
            <w:tcW w:type="dxa" w:w="4589"/>
          </w:tcPr>
          <w:p>
            <w:pPr>
              <w:spacing w:after="20" w:before="20" w:line="240" w:lineRule="auto"/>
            </w:pPr>
            <w:r/>
            <w:r>
              <w:rPr>
                <w:sz w:val="16"/>
              </w:rPr>
              <w:t>b_new_importer_24m_score (B)</w:t>
            </w:r>
          </w:p>
        </w:tc>
        <w:tc>
          <w:tcPr>
            <w:tcW w:type="dxa" w:w="5162"/>
          </w:tcPr>
          <w:p>
            <w:pPr>
              <w:spacing w:after="20" w:before="20" w:line="240" w:lineRule="auto"/>
            </w:pPr>
            <w:r/>
            <w:r>
              <w:rPr>
                <w:sz w:val="16"/>
              </w:rPr>
              <w:t>−log(1 + days since the first declaration in 24 months), plus 1 for a new trader</w:t>
            </w:r>
          </w:p>
        </w:tc>
      </w:tr>
    </w:tbl>
    <w:p>
      <w:pPr>
        <w:spacing w:after="40"/>
      </w:pPr>
    </w:p>
    <w:p>
      <w:pPr>
        <w:pStyle w:val="Heading2"/>
      </w:pPr>
      <w:r>
        <w:t>6.2 Confirmations Requested</w:t>
      </w:r>
    </w:p>
    <w:p>
      <w:pPr>
        <w:pStyle w:val="Caption"/>
      </w:pPr>
      <w:r>
        <w:t xml:space="preserve">Table </w:t>
      </w:r>
      <w:r>
        <w:fldChar w:fldCharType="begin"/>
      </w:r>
      <w:r>
        <w:instrText xml:space="preserve"> SEQ Table \* ARABIC </w:instrText>
      </w:r>
      <w:r>
        <w:fldChar w:fldCharType="separate"/>
      </w:r>
      <w:r>
        <w:t>16</w:t>
      </w:r>
      <w:r>
        <w:fldChar w:fldCharType="end"/>
      </w:r>
      <w:r>
        <w:t>: Readings to Confirm</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3251"/>
        <w:gridCol w:w="3251"/>
        <w:gridCol w:w="3251"/>
      </w:tblGrid>
      <w:tr>
        <w:trPr>
          <w:tblHeader w:val="true"/>
        </w:trPr>
        <w:tc>
          <w:tcPr>
            <w:tcW w:type="dxa" w:w="1147"/>
            <w:shd w:val="clear" w:color="auto" w:fill="D9E2F3"/>
          </w:tcPr>
          <w:p>
            <w:pPr>
              <w:spacing w:after="20" w:before="20" w:line="240" w:lineRule="auto"/>
            </w:pPr>
            <w:r/>
            <w:r>
              <w:rPr>
                <w:b/>
                <w:sz w:val="18"/>
              </w:rPr>
              <w:t>Issue</w:t>
            </w:r>
          </w:p>
        </w:tc>
        <w:tc>
          <w:tcPr>
            <w:tcW w:type="dxa" w:w="5162"/>
            <w:shd w:val="clear" w:color="auto" w:fill="D9E2F3"/>
          </w:tcPr>
          <w:p>
            <w:pPr>
              <w:spacing w:after="20" w:before="20" w:line="240" w:lineRule="auto"/>
            </w:pPr>
            <w:r/>
            <w:r>
              <w:rPr>
                <w:b/>
                <w:sz w:val="18"/>
              </w:rPr>
              <w:t>Reading</w:t>
            </w:r>
          </w:p>
        </w:tc>
        <w:tc>
          <w:tcPr>
            <w:tcW w:type="dxa" w:w="3442"/>
            <w:shd w:val="clear" w:color="auto" w:fill="D9E2F3"/>
          </w:tcPr>
          <w:p>
            <w:pPr>
              <w:spacing w:after="20" w:before="20" w:line="240" w:lineRule="auto"/>
            </w:pPr>
            <w:r/>
            <w:r>
              <w:rPr>
                <w:b/>
                <w:sz w:val="18"/>
              </w:rPr>
              <w:t>Asked of</w:t>
            </w:r>
          </w:p>
        </w:tc>
      </w:tr>
      <w:tr>
        <w:tc>
          <w:tcPr>
            <w:tcW w:type="dxa" w:w="1147"/>
          </w:tcPr>
          <w:p>
            <w:pPr>
              <w:spacing w:after="20" w:before="20" w:line="240" w:lineRule="auto"/>
            </w:pPr>
            <w:r/>
            <w:r>
              <w:rPr>
                <w:sz w:val="18"/>
              </w:rPr>
              <w:t>E08</w:t>
            </w:r>
          </w:p>
        </w:tc>
        <w:tc>
          <w:tcPr>
            <w:tcW w:type="dxa" w:w="5162"/>
          </w:tcPr>
          <w:p>
            <w:pPr>
              <w:spacing w:after="20" w:before="20" w:line="240" w:lineRule="auto"/>
            </w:pPr>
            <w:r/>
            <w:r>
              <w:rPr>
                <w:sz w:val="18"/>
              </w:rPr>
              <w:t>A blank original tax means the tax was not changed.</w:t>
            </w:r>
          </w:p>
        </w:tc>
        <w:tc>
          <w:tcPr>
            <w:tcW w:type="dxa" w:w="3442"/>
          </w:tcPr>
          <w:p>
            <w:pPr>
              <w:spacing w:after="20" w:before="20" w:line="240" w:lineRule="auto"/>
            </w:pPr>
            <w:r/>
            <w:r>
              <w:rPr>
                <w:sz w:val="18"/>
              </w:rPr>
              <w:t>Supervisor, Data Science; Customs Risk Management</w:t>
            </w:r>
          </w:p>
        </w:tc>
      </w:tr>
      <w:tr>
        <w:tc>
          <w:tcPr>
            <w:tcW w:type="dxa" w:w="1147"/>
          </w:tcPr>
          <w:p>
            <w:pPr>
              <w:spacing w:after="20" w:before="20" w:line="240" w:lineRule="auto"/>
            </w:pPr>
            <w:r/>
            <w:r>
              <w:rPr>
                <w:sz w:val="18"/>
              </w:rPr>
              <w:t>E07</w:t>
            </w:r>
          </w:p>
        </w:tc>
        <w:tc>
          <w:tcPr>
            <w:tcW w:type="dxa" w:w="5162"/>
          </w:tcPr>
          <w:p>
            <w:pPr>
              <w:spacing w:after="20" w:before="20" w:line="240" w:lineRule="auto"/>
            </w:pPr>
            <w:r/>
            <w:r>
              <w:rPr>
                <w:sz w:val="18"/>
              </w:rPr>
              <w:t>A tax rise with no top-up flag is not a top-up.</w:t>
            </w:r>
          </w:p>
        </w:tc>
        <w:tc>
          <w:tcPr>
            <w:tcW w:type="dxa" w:w="3442"/>
          </w:tcPr>
          <w:p>
            <w:pPr>
              <w:spacing w:after="20" w:before="20" w:line="240" w:lineRule="auto"/>
            </w:pPr>
            <w:r/>
            <w:r>
              <w:rPr>
                <w:sz w:val="18"/>
              </w:rPr>
              <w:t>Supervisor, Data Science; Customs Risk Management</w:t>
            </w:r>
          </w:p>
        </w:tc>
      </w:tr>
    </w:tbl>
    <w:p>
      <w:pPr>
        <w:spacing w:after="40"/>
      </w:pPr>
    </w:p>
    <w:p>
      <w:pPr>
        <w:pStyle w:val="Heading2"/>
      </w:pPr>
      <w:r>
        <w:t>6.3 Questions for Data Engineering</w:t>
      </w:r>
    </w:p>
    <w:p>
      <w:pPr>
        <w:pStyle w:val="Caption"/>
      </w:pPr>
      <w:r>
        <w:t xml:space="preserve">Table </w:t>
      </w:r>
      <w:r>
        <w:fldChar w:fldCharType="begin"/>
      </w:r>
      <w:r>
        <w:instrText xml:space="preserve"> SEQ Table \* ARABIC </w:instrText>
      </w:r>
      <w:r>
        <w:fldChar w:fldCharType="separate"/>
      </w:r>
      <w:r>
        <w:t>17</w:t>
      </w:r>
      <w:r>
        <w:fldChar w:fldCharType="end"/>
      </w:r>
      <w:r>
        <w:t>: Questions for Data Engineering</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4876"/>
        <w:gridCol w:w="4876"/>
      </w:tblGrid>
      <w:tr>
        <w:trPr>
          <w:tblHeader w:val="true"/>
        </w:trPr>
        <w:tc>
          <w:tcPr>
            <w:tcW w:type="dxa" w:w="2868"/>
            <w:shd w:val="clear" w:color="auto" w:fill="D9E2F3"/>
          </w:tcPr>
          <w:p>
            <w:pPr>
              <w:spacing w:after="20" w:before="20" w:line="240" w:lineRule="auto"/>
            </w:pPr>
            <w:r/>
            <w:r>
              <w:rPr>
                <w:b/>
                <w:sz w:val="18"/>
              </w:rPr>
              <w:t>Topic</w:t>
            </w:r>
          </w:p>
        </w:tc>
        <w:tc>
          <w:tcPr>
            <w:tcW w:type="dxa" w:w="6883"/>
            <w:shd w:val="clear" w:color="auto" w:fill="D9E2F3"/>
          </w:tcPr>
          <w:p>
            <w:pPr>
              <w:spacing w:after="20" w:before="20" w:line="240" w:lineRule="auto"/>
            </w:pPr>
            <w:r/>
            <w:r>
              <w:rPr>
                <w:b/>
                <w:sz w:val="18"/>
              </w:rPr>
              <w:t>Question</w:t>
            </w:r>
          </w:p>
        </w:tc>
      </w:tr>
      <w:tr>
        <w:tc>
          <w:tcPr>
            <w:tcW w:type="dxa" w:w="2868"/>
          </w:tcPr>
          <w:p>
            <w:pPr>
              <w:spacing w:after="20" w:before="20" w:line="240" w:lineRule="auto"/>
            </w:pPr>
            <w:r/>
            <w:r>
              <w:rPr>
                <w:sz w:val="18"/>
              </w:rPr>
              <w:t>Repeated item rows (E02)</w:t>
            </w:r>
          </w:p>
        </w:tc>
        <w:tc>
          <w:tcPr>
            <w:tcW w:type="dxa" w:w="6883"/>
          </w:tcPr>
          <w:p>
            <w:pPr>
              <w:spacing w:after="20" w:before="20" w:line="240" w:lineRule="auto"/>
            </w:pPr>
            <w:r/>
            <w:r>
              <w:rPr>
                <w:sz w:val="18"/>
              </w:rPr>
              <w:t>Why does the item table hold several identical rows for one item on motor vehicle declarations, with the same counts (192, 166) on unrelated declarations?</w:t>
            </w:r>
          </w:p>
        </w:tc>
      </w:tr>
      <w:tr>
        <w:tc>
          <w:tcPr>
            <w:tcW w:type="dxa" w:w="2868"/>
          </w:tcPr>
          <w:p>
            <w:pPr>
              <w:spacing w:after="20" w:before="20" w:line="240" w:lineRule="auto"/>
            </w:pPr>
            <w:r/>
            <w:r>
              <w:rPr>
                <w:sz w:val="18"/>
              </w:rPr>
              <w:t>Declarations with no lane flag</w:t>
            </w:r>
          </w:p>
        </w:tc>
        <w:tc>
          <w:tcPr>
            <w:tcW w:type="dxa" w:w="6883"/>
          </w:tcPr>
          <w:p>
            <w:pPr>
              <w:spacing w:after="20" w:before="20" w:line="240" w:lineRule="auto"/>
            </w:pPr>
            <w:r/>
            <w:r>
              <w:rPr>
                <w:sz w:val="18"/>
              </w:rPr>
              <w:t>What are the 28,486 declarations with no red, yellow, green or blue flag?</w:t>
            </w:r>
          </w:p>
        </w:tc>
      </w:tr>
    </w:tbl>
    <w:p>
      <w:pPr>
        <w:spacing w:after="40"/>
      </w:pPr>
    </w:p>
    <w:p>
      <w:pPr>
        <w:pStyle w:val="Heading2"/>
      </w:pPr>
      <w:r>
        <w:t>6.4 Next Steps</w:t>
      </w:r>
    </w:p>
    <w:p>
      <w:pPr>
        <w:pStyle w:val="ListParagraph"/>
        <w:numPr>
          <w:ilvl w:val="0"/>
          <w:numId w:val="913"/>
        </w:numPr>
        <w:spacing w:after="60"/>
      </w:pPr>
      <w:r>
        <w:t>Sign-off of this report and the readings in 6.2.</w:t>
      </w:r>
    </w:p>
    <w:p>
      <w:pPr>
        <w:pStyle w:val="ListParagraph"/>
        <w:numPr>
          <w:ilvl w:val="0"/>
          <w:numId w:val="913"/>
        </w:numPr>
        <w:spacing w:after="60"/>
      </w:pPr>
      <w:r>
        <w:t>Retest of the model (version 3) on the cleaned data.</w:t>
      </w:r>
    </w:p>
    <w:p>
      <w:pPr>
        <w:pStyle w:val="ListParagraph"/>
        <w:numPr>
          <w:ilvl w:val="0"/>
          <w:numId w:val="913"/>
        </w:numPr>
        <w:spacing w:after="60"/>
      </w:pPr>
      <w:r>
        <w:t>Update of the cleaning rules if Data Engineering's answers change the reading of E02.</w:t>
      </w:r>
    </w:p>
    <w:sectPr w:rsidR="00AF3E2F" w:rsidRPr="00F7156B" w:rsidSect="0098200B">
      <w:footerReference w:type="default" r:id="rId25"/>
      <w:headerReference w:type="default" r:id="rId26"/>
      <w:pgSz w:w="11906" w:h="16838" w:code="9"/>
      <w:pgMar w:top="1440" w:right="1077" w:bottom="1440" w:left="1077" w:header="706" w:footer="706" w:gutter="0"/>
      <w:cols w:space="720"/>
      <w:docGrid w:linePitch="360"/>
      <w:pgNumType w:fmt="decimal"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A586F" w:rsidRDefault="008A586F">
      <w:r>
        <w:separator/>
      </w:r>
    </w:p>
    <w:p w:rsidR="008A586F" w:rsidRDefault="008A586F"/>
    <w:p w:rsidR="008A586F" w:rsidRDefault="008A586F" w:rsidP="004E1DE7"/>
    <w:p w:rsidR="008A586F" w:rsidRDefault="008A586F" w:rsidP="00646C6E"/>
  </w:endnote>
  <w:endnote w:type="continuationSeparator" w:id="0">
    <w:p w:rsidR="008A586F" w:rsidRDefault="008A586F">
      <w:r>
        <w:continuationSeparator/>
      </w:r>
    </w:p>
    <w:p w:rsidR="008A586F" w:rsidRDefault="008A586F"/>
    <w:p w:rsidR="008A586F" w:rsidRDefault="008A586F" w:rsidP="004E1DE7"/>
    <w:p w:rsidR="008A586F" w:rsidRDefault="008A586F" w:rsidP="00646C6E"/>
  </w:endnote>
  <w:endnote w:type="continuationNotice" w:id="1">
    <w:p w:rsidR="008A586F" w:rsidRDefault="008A586F"/>
    <w:p w:rsidR="008A586F" w:rsidRDefault="008A586F"/>
    <w:p w:rsidR="008A586F" w:rsidRDefault="008A586F" w:rsidP="004E1DE7"/>
    <w:p w:rsidR="008A586F" w:rsidRDefault="008A586F" w:rsidP="00646C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430865677"/>
      <w:docPartObj>
        <w:docPartGallery w:val="Page Numbers (Bottom of Page)"/>
        <w:docPartUnique/>
      </w:docPartObj>
    </w:sdtPr>
    <w:sdtEndPr>
      <w:rPr>
        <w:rStyle w:val="PageNumber"/>
      </w:rPr>
    </w:sdtEndPr>
    <w:sdtContent>
      <w:p w:rsidR="009D7C80" w:rsidRDefault="009D7C80" w:rsidP="00DF23B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26109046"/>
      <w:docPartObj>
        <w:docPartGallery w:val="Page Numbers (Bottom of Page)"/>
        <w:docPartUnique/>
      </w:docPartObj>
    </w:sdtPr>
    <w:sdtEndPr>
      <w:rPr>
        <w:rStyle w:val="PageNumber"/>
      </w:rPr>
    </w:sdtEndPr>
    <w:sdtContent>
      <w:p w:rsidR="009D7C80" w:rsidRDefault="009D7C80" w:rsidP="00082D4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9D7C80" w:rsidRDefault="009D7C80" w:rsidP="003E540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643401246"/>
      <w:docPartObj>
        <w:docPartGallery w:val="Page Numbers (Bottom of Page)"/>
        <w:docPartUnique/>
      </w:docPartObj>
    </w:sdtPr>
    <w:sdtEndPr>
      <w:rPr>
        <w:rStyle w:val="PageNumber"/>
      </w:rPr>
    </w:sdtEndPr>
    <w:sdtContent>
      <w:p w:rsidR="009D7C80" w:rsidRDefault="009D7C80" w:rsidP="00082D4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248"/>
      <w:gridCol w:w="3249"/>
      <w:gridCol w:w="3249"/>
    </w:tblGrid>
    <w:tr w:rsidR="009D7C80" w:rsidTr="1DFA84F2">
      <w:trPr>
        <w:trHeight w:val="300"/>
      </w:trPr>
      <w:tc>
        <w:tcPr>
          <w:tcW w:w="4065" w:type="dxa"/>
        </w:tcPr>
        <w:p w:rsidR="009D7C80" w:rsidRDefault="009D7C80" w:rsidP="1DFA84F2">
          <w:pPr>
            <w:ind w:left="-115"/>
          </w:pPr>
        </w:p>
      </w:tc>
      <w:tc>
        <w:tcPr>
          <w:tcW w:w="4065" w:type="dxa"/>
        </w:tcPr>
        <w:p w:rsidR="009D7C80" w:rsidRDefault="009D7C80" w:rsidP="1DFA84F2">
          <w:pPr>
            <w:jc w:val="center"/>
          </w:pPr>
        </w:p>
      </w:tc>
      <w:tc>
        <w:tcPr>
          <w:tcW w:w="4065" w:type="dxa"/>
        </w:tcPr>
        <w:p w:rsidR="009D7C80" w:rsidRDefault="009D7C80" w:rsidP="1DFA84F2">
          <w:pPr>
            <w:ind w:right="-115"/>
            <w:jc w:val="right"/>
          </w:pPr>
        </w:p>
      </w:tc>
    </w:tr>
  </w:tbl>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466665106"/>
      <w:docPartObj>
        <w:docPartGallery w:val="Page Numbers (Bottom of Page)"/>
        <w:docPartUnique/>
      </w:docPartObj>
    </w:sdtPr>
    <w:sdtEndPr>
      <w:rPr>
        <w:rStyle w:val="PageNumber"/>
      </w:rPr>
    </w:sdtEndPr>
    <w:sdtContent>
      <w:p w:rsidR="009D7C80" w:rsidRDefault="009D7C80" w:rsidP="00082D4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rsidR="009D7C80" w:rsidRDefault="009D7C80" w:rsidP="00F7156B"/>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A586F" w:rsidRDefault="008A586F">
      <w:r>
        <w:separator/>
      </w:r>
    </w:p>
    <w:p w:rsidR="008A586F" w:rsidRDefault="008A586F"/>
    <w:p w:rsidR="008A586F" w:rsidRDefault="008A586F" w:rsidP="004E1DE7"/>
    <w:p w:rsidR="008A586F" w:rsidRDefault="008A586F" w:rsidP="00646C6E"/>
  </w:footnote>
  <w:footnote w:type="continuationSeparator" w:id="0">
    <w:p w:rsidR="008A586F" w:rsidRDefault="008A586F">
      <w:r>
        <w:continuationSeparator/>
      </w:r>
    </w:p>
    <w:p w:rsidR="008A586F" w:rsidRDefault="008A586F"/>
    <w:p w:rsidR="008A586F" w:rsidRDefault="008A586F" w:rsidP="004E1DE7"/>
    <w:p w:rsidR="008A586F" w:rsidRDefault="008A586F" w:rsidP="00646C6E"/>
  </w:footnote>
  <w:footnote w:type="continuationNotice" w:id="1">
    <w:p w:rsidR="008A586F" w:rsidRDefault="008A586F"/>
    <w:p w:rsidR="008A586F" w:rsidRDefault="008A586F"/>
    <w:p w:rsidR="008A586F" w:rsidRDefault="008A586F" w:rsidP="004E1DE7"/>
    <w:p w:rsidR="008A586F" w:rsidRDefault="008A586F" w:rsidP="00646C6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248"/>
      <w:gridCol w:w="3249"/>
      <w:gridCol w:w="3249"/>
    </w:tblGrid>
    <w:tr w:rsidR="009D7C80" w:rsidTr="7D3BB252">
      <w:trPr>
        <w:trHeight w:val="300"/>
      </w:trPr>
      <w:tc>
        <w:tcPr>
          <w:tcW w:w="4065" w:type="dxa"/>
        </w:tcPr>
        <w:p w:rsidR="009D7C80" w:rsidRDefault="009D7C80" w:rsidP="7D3BB252">
          <w:pPr>
            <w:pStyle w:val="Header"/>
            <w:ind w:left="-115"/>
          </w:pPr>
        </w:p>
      </w:tc>
      <w:tc>
        <w:tcPr>
          <w:tcW w:w="4065" w:type="dxa"/>
        </w:tcPr>
        <w:p w:rsidR="009D7C80" w:rsidRDefault="009D7C80" w:rsidP="7D3BB252">
          <w:pPr>
            <w:pStyle w:val="Header"/>
            <w:jc w:val="center"/>
          </w:pPr>
        </w:p>
      </w:tc>
      <w:tc>
        <w:tcPr>
          <w:tcW w:w="4065" w:type="dxa"/>
        </w:tcPr>
        <w:p w:rsidR="009D7C80" w:rsidRDefault="009D7C80" w:rsidP="7D3BB252">
          <w:pPr>
            <w:pStyle w:val="Header"/>
            <w:ind w:right="-115"/>
            <w:jc w:val="right"/>
          </w:pPr>
        </w:p>
      </w:tc>
    </w:tr>
  </w:tbl>
  <w:p w:rsidR="009D7C80" w:rsidRDefault="009D7C80" w:rsidP="7D3BB2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248"/>
      <w:gridCol w:w="3249"/>
      <w:gridCol w:w="3249"/>
    </w:tblGrid>
    <w:tr w:rsidR="009D7C80" w:rsidTr="7D3BB252">
      <w:trPr>
        <w:trHeight w:val="300"/>
      </w:trPr>
      <w:tc>
        <w:tcPr>
          <w:tcW w:w="4065" w:type="dxa"/>
        </w:tcPr>
        <w:p w:rsidR="009D7C80" w:rsidRDefault="009D7C80" w:rsidP="7D3BB252">
          <w:pPr>
            <w:pStyle w:val="Header"/>
            <w:ind w:left="-115"/>
          </w:pPr>
        </w:p>
      </w:tc>
      <w:tc>
        <w:tcPr>
          <w:tcW w:w="4065" w:type="dxa"/>
        </w:tcPr>
        <w:p w:rsidR="009D7C80" w:rsidRDefault="009D7C80" w:rsidP="7D3BB252">
          <w:pPr>
            <w:pStyle w:val="Header"/>
            <w:jc w:val="center"/>
          </w:pPr>
        </w:p>
      </w:tc>
      <w:tc>
        <w:tcPr>
          <w:tcW w:w="4065" w:type="dxa"/>
        </w:tcPr>
        <w:p w:rsidR="009D7C80" w:rsidRDefault="009D7C80" w:rsidP="7D3BB252">
          <w:pPr>
            <w:pStyle w:val="Header"/>
            <w:ind w:right="-115"/>
            <w:jc w:val="right"/>
          </w:pPr>
        </w:p>
      </w:tc>
    </w:tr>
  </w:tbl>
  <w:p w:rsidR="009D7C80" w:rsidRDefault="009D7C80" w:rsidP="009D7C80">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56EA2"/>
    <w:multiLevelType w:val="hybridMultilevel"/>
    <w:tmpl w:val="2A4C006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C30E9B"/>
    <w:multiLevelType w:val="hybridMultilevel"/>
    <w:tmpl w:val="63FA0408"/>
    <w:lvl w:ilvl="0" w:tplc="E2243F7E">
      <w:start w:val="1"/>
      <w:numFmt w:val="bullet"/>
      <w:lvlText w:val=""/>
      <w:lvlJc w:val="left"/>
      <w:pPr>
        <w:ind w:left="360" w:hanging="360"/>
      </w:pPr>
      <w:rPr>
        <w:rFonts w:ascii="Symbol" w:hAnsi="Symbol" w:hint="default"/>
      </w:rPr>
    </w:lvl>
    <w:lvl w:ilvl="1" w:tplc="2C8C6B6C">
      <w:start w:val="1"/>
      <w:numFmt w:val="bullet"/>
      <w:lvlText w:val="o"/>
      <w:lvlJc w:val="left"/>
      <w:pPr>
        <w:ind w:left="1080" w:hanging="360"/>
      </w:pPr>
      <w:rPr>
        <w:rFonts w:ascii="Courier New" w:hAnsi="Courier New" w:hint="default"/>
      </w:rPr>
    </w:lvl>
    <w:lvl w:ilvl="2" w:tplc="83F841E6">
      <w:start w:val="1"/>
      <w:numFmt w:val="bullet"/>
      <w:lvlText w:val=""/>
      <w:lvlJc w:val="left"/>
      <w:pPr>
        <w:ind w:left="1800" w:hanging="360"/>
      </w:pPr>
      <w:rPr>
        <w:rFonts w:ascii="Wingdings" w:hAnsi="Wingdings" w:hint="default"/>
      </w:rPr>
    </w:lvl>
    <w:lvl w:ilvl="3" w:tplc="9392C1AC">
      <w:start w:val="1"/>
      <w:numFmt w:val="bullet"/>
      <w:lvlText w:val=""/>
      <w:lvlJc w:val="left"/>
      <w:pPr>
        <w:ind w:left="2520" w:hanging="360"/>
      </w:pPr>
      <w:rPr>
        <w:rFonts w:ascii="Symbol" w:hAnsi="Symbol" w:hint="default"/>
      </w:rPr>
    </w:lvl>
    <w:lvl w:ilvl="4" w:tplc="83667E06">
      <w:start w:val="1"/>
      <w:numFmt w:val="bullet"/>
      <w:lvlText w:val="o"/>
      <w:lvlJc w:val="left"/>
      <w:pPr>
        <w:ind w:left="3240" w:hanging="360"/>
      </w:pPr>
      <w:rPr>
        <w:rFonts w:ascii="Courier New" w:hAnsi="Courier New" w:hint="default"/>
      </w:rPr>
    </w:lvl>
    <w:lvl w:ilvl="5" w:tplc="3A2C255A">
      <w:start w:val="1"/>
      <w:numFmt w:val="bullet"/>
      <w:lvlText w:val=""/>
      <w:lvlJc w:val="left"/>
      <w:pPr>
        <w:ind w:left="3960" w:hanging="360"/>
      </w:pPr>
      <w:rPr>
        <w:rFonts w:ascii="Wingdings" w:hAnsi="Wingdings" w:hint="default"/>
      </w:rPr>
    </w:lvl>
    <w:lvl w:ilvl="6" w:tplc="78BE9F88">
      <w:start w:val="1"/>
      <w:numFmt w:val="bullet"/>
      <w:lvlText w:val=""/>
      <w:lvlJc w:val="left"/>
      <w:pPr>
        <w:ind w:left="4680" w:hanging="360"/>
      </w:pPr>
      <w:rPr>
        <w:rFonts w:ascii="Symbol" w:hAnsi="Symbol" w:hint="default"/>
      </w:rPr>
    </w:lvl>
    <w:lvl w:ilvl="7" w:tplc="B0F65DFE">
      <w:start w:val="1"/>
      <w:numFmt w:val="bullet"/>
      <w:lvlText w:val="o"/>
      <w:lvlJc w:val="left"/>
      <w:pPr>
        <w:ind w:left="5400" w:hanging="360"/>
      </w:pPr>
      <w:rPr>
        <w:rFonts w:ascii="Courier New" w:hAnsi="Courier New" w:hint="default"/>
      </w:rPr>
    </w:lvl>
    <w:lvl w:ilvl="8" w:tplc="460482AA">
      <w:start w:val="1"/>
      <w:numFmt w:val="bullet"/>
      <w:lvlText w:val=""/>
      <w:lvlJc w:val="left"/>
      <w:pPr>
        <w:ind w:left="6120" w:hanging="360"/>
      </w:pPr>
      <w:rPr>
        <w:rFonts w:ascii="Wingdings" w:hAnsi="Wingdings" w:hint="default"/>
      </w:rPr>
    </w:lvl>
  </w:abstractNum>
  <w:abstractNum w:abstractNumId="2" w15:restartNumberingAfterBreak="0">
    <w:nsid w:val="08E44867"/>
    <w:multiLevelType w:val="hybridMultilevel"/>
    <w:tmpl w:val="993863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D26F72"/>
    <w:multiLevelType w:val="hybridMultilevel"/>
    <w:tmpl w:val="4080FB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7D3006"/>
    <w:multiLevelType w:val="hybridMultilevel"/>
    <w:tmpl w:val="16DA14F2"/>
    <w:lvl w:ilvl="0" w:tplc="EEACD134">
      <w:start w:val="1"/>
      <w:numFmt w:val="bullet"/>
      <w:lvlText w:val=""/>
      <w:lvlJc w:val="left"/>
      <w:pPr>
        <w:ind w:left="720" w:hanging="360"/>
      </w:pPr>
      <w:rPr>
        <w:rFonts w:ascii="Symbol" w:hAnsi="Symbol" w:hint="default"/>
      </w:rPr>
    </w:lvl>
    <w:lvl w:ilvl="1" w:tplc="4CC6BD6C">
      <w:start w:val="1"/>
      <w:numFmt w:val="bullet"/>
      <w:lvlText w:val="o"/>
      <w:lvlJc w:val="left"/>
      <w:pPr>
        <w:ind w:left="1440" w:hanging="360"/>
      </w:pPr>
      <w:rPr>
        <w:rFonts w:ascii="Courier New" w:hAnsi="Courier New" w:hint="default"/>
      </w:rPr>
    </w:lvl>
    <w:lvl w:ilvl="2" w:tplc="7AA0D4C0">
      <w:start w:val="1"/>
      <w:numFmt w:val="bullet"/>
      <w:lvlText w:val=""/>
      <w:lvlJc w:val="left"/>
      <w:pPr>
        <w:ind w:left="2160" w:hanging="360"/>
      </w:pPr>
      <w:rPr>
        <w:rFonts w:ascii="Wingdings" w:hAnsi="Wingdings" w:hint="default"/>
      </w:rPr>
    </w:lvl>
    <w:lvl w:ilvl="3" w:tplc="71CC0DAE">
      <w:start w:val="1"/>
      <w:numFmt w:val="bullet"/>
      <w:lvlText w:val=""/>
      <w:lvlJc w:val="left"/>
      <w:pPr>
        <w:ind w:left="2880" w:hanging="360"/>
      </w:pPr>
      <w:rPr>
        <w:rFonts w:ascii="Symbol" w:hAnsi="Symbol" w:hint="default"/>
      </w:rPr>
    </w:lvl>
    <w:lvl w:ilvl="4" w:tplc="11B83AC4">
      <w:start w:val="1"/>
      <w:numFmt w:val="bullet"/>
      <w:lvlText w:val="o"/>
      <w:lvlJc w:val="left"/>
      <w:pPr>
        <w:ind w:left="3600" w:hanging="360"/>
      </w:pPr>
      <w:rPr>
        <w:rFonts w:ascii="Courier New" w:hAnsi="Courier New" w:hint="default"/>
      </w:rPr>
    </w:lvl>
    <w:lvl w:ilvl="5" w:tplc="D9505A42">
      <w:start w:val="1"/>
      <w:numFmt w:val="bullet"/>
      <w:lvlText w:val=""/>
      <w:lvlJc w:val="left"/>
      <w:pPr>
        <w:ind w:left="4320" w:hanging="360"/>
      </w:pPr>
      <w:rPr>
        <w:rFonts w:ascii="Wingdings" w:hAnsi="Wingdings" w:hint="default"/>
      </w:rPr>
    </w:lvl>
    <w:lvl w:ilvl="6" w:tplc="FF7A86F0">
      <w:start w:val="1"/>
      <w:numFmt w:val="bullet"/>
      <w:lvlText w:val=""/>
      <w:lvlJc w:val="left"/>
      <w:pPr>
        <w:ind w:left="5040" w:hanging="360"/>
      </w:pPr>
      <w:rPr>
        <w:rFonts w:ascii="Symbol" w:hAnsi="Symbol" w:hint="default"/>
      </w:rPr>
    </w:lvl>
    <w:lvl w:ilvl="7" w:tplc="4ED22F12">
      <w:start w:val="1"/>
      <w:numFmt w:val="bullet"/>
      <w:lvlText w:val="o"/>
      <w:lvlJc w:val="left"/>
      <w:pPr>
        <w:ind w:left="5760" w:hanging="360"/>
      </w:pPr>
      <w:rPr>
        <w:rFonts w:ascii="Courier New" w:hAnsi="Courier New" w:hint="default"/>
      </w:rPr>
    </w:lvl>
    <w:lvl w:ilvl="8" w:tplc="2C46FEA6">
      <w:start w:val="1"/>
      <w:numFmt w:val="bullet"/>
      <w:lvlText w:val=""/>
      <w:lvlJc w:val="left"/>
      <w:pPr>
        <w:ind w:left="6480" w:hanging="360"/>
      </w:pPr>
      <w:rPr>
        <w:rFonts w:ascii="Wingdings" w:hAnsi="Wingdings" w:hint="default"/>
      </w:rPr>
    </w:lvl>
  </w:abstractNum>
  <w:abstractNum w:abstractNumId="5" w15:restartNumberingAfterBreak="0">
    <w:nsid w:val="13FEF0E7"/>
    <w:multiLevelType w:val="hybridMultilevel"/>
    <w:tmpl w:val="061CA94E"/>
    <w:lvl w:ilvl="0" w:tplc="881C414E">
      <w:start w:val="1"/>
      <w:numFmt w:val="bullet"/>
      <w:lvlText w:val=""/>
      <w:lvlJc w:val="left"/>
      <w:pPr>
        <w:ind w:left="720" w:hanging="360"/>
      </w:pPr>
      <w:rPr>
        <w:rFonts w:ascii="Symbol" w:hAnsi="Symbol" w:hint="default"/>
      </w:rPr>
    </w:lvl>
    <w:lvl w:ilvl="1" w:tplc="A65EFA46">
      <w:start w:val="1"/>
      <w:numFmt w:val="bullet"/>
      <w:lvlText w:val="o"/>
      <w:lvlJc w:val="left"/>
      <w:pPr>
        <w:ind w:left="1440" w:hanging="360"/>
      </w:pPr>
      <w:rPr>
        <w:rFonts w:ascii="Courier New" w:hAnsi="Courier New" w:hint="default"/>
      </w:rPr>
    </w:lvl>
    <w:lvl w:ilvl="2" w:tplc="0DE8C39C">
      <w:start w:val="1"/>
      <w:numFmt w:val="bullet"/>
      <w:lvlText w:val=""/>
      <w:lvlJc w:val="left"/>
      <w:pPr>
        <w:ind w:left="2160" w:hanging="360"/>
      </w:pPr>
      <w:rPr>
        <w:rFonts w:ascii="Wingdings" w:hAnsi="Wingdings" w:hint="default"/>
      </w:rPr>
    </w:lvl>
    <w:lvl w:ilvl="3" w:tplc="CF7E994C">
      <w:start w:val="1"/>
      <w:numFmt w:val="bullet"/>
      <w:lvlText w:val=""/>
      <w:lvlJc w:val="left"/>
      <w:pPr>
        <w:ind w:left="2880" w:hanging="360"/>
      </w:pPr>
      <w:rPr>
        <w:rFonts w:ascii="Symbol" w:hAnsi="Symbol" w:hint="default"/>
      </w:rPr>
    </w:lvl>
    <w:lvl w:ilvl="4" w:tplc="8CA068FC">
      <w:start w:val="1"/>
      <w:numFmt w:val="bullet"/>
      <w:lvlText w:val="o"/>
      <w:lvlJc w:val="left"/>
      <w:pPr>
        <w:ind w:left="3600" w:hanging="360"/>
      </w:pPr>
      <w:rPr>
        <w:rFonts w:ascii="Courier New" w:hAnsi="Courier New" w:hint="default"/>
      </w:rPr>
    </w:lvl>
    <w:lvl w:ilvl="5" w:tplc="1E96D268">
      <w:start w:val="1"/>
      <w:numFmt w:val="bullet"/>
      <w:lvlText w:val=""/>
      <w:lvlJc w:val="left"/>
      <w:pPr>
        <w:ind w:left="4320" w:hanging="360"/>
      </w:pPr>
      <w:rPr>
        <w:rFonts w:ascii="Wingdings" w:hAnsi="Wingdings" w:hint="default"/>
      </w:rPr>
    </w:lvl>
    <w:lvl w:ilvl="6" w:tplc="85463564">
      <w:start w:val="1"/>
      <w:numFmt w:val="bullet"/>
      <w:lvlText w:val=""/>
      <w:lvlJc w:val="left"/>
      <w:pPr>
        <w:ind w:left="5040" w:hanging="360"/>
      </w:pPr>
      <w:rPr>
        <w:rFonts w:ascii="Symbol" w:hAnsi="Symbol" w:hint="default"/>
      </w:rPr>
    </w:lvl>
    <w:lvl w:ilvl="7" w:tplc="A5183C2A">
      <w:start w:val="1"/>
      <w:numFmt w:val="bullet"/>
      <w:lvlText w:val="o"/>
      <w:lvlJc w:val="left"/>
      <w:pPr>
        <w:ind w:left="5760" w:hanging="360"/>
      </w:pPr>
      <w:rPr>
        <w:rFonts w:ascii="Courier New" w:hAnsi="Courier New" w:hint="default"/>
      </w:rPr>
    </w:lvl>
    <w:lvl w:ilvl="8" w:tplc="89D88496">
      <w:start w:val="1"/>
      <w:numFmt w:val="bullet"/>
      <w:lvlText w:val=""/>
      <w:lvlJc w:val="left"/>
      <w:pPr>
        <w:ind w:left="6480" w:hanging="360"/>
      </w:pPr>
      <w:rPr>
        <w:rFonts w:ascii="Wingdings" w:hAnsi="Wingdings" w:hint="default"/>
      </w:rPr>
    </w:lvl>
  </w:abstractNum>
  <w:abstractNum w:abstractNumId="6" w15:restartNumberingAfterBreak="0">
    <w:nsid w:val="17E1DA77"/>
    <w:multiLevelType w:val="hybridMultilevel"/>
    <w:tmpl w:val="FA5A0C56"/>
    <w:lvl w:ilvl="0" w:tplc="BA3C441E">
      <w:start w:val="1"/>
      <w:numFmt w:val="bullet"/>
      <w:lvlText w:val=""/>
      <w:lvlJc w:val="left"/>
      <w:pPr>
        <w:ind w:left="720" w:hanging="360"/>
      </w:pPr>
      <w:rPr>
        <w:rFonts w:ascii="Symbol" w:hAnsi="Symbol" w:hint="default"/>
      </w:rPr>
    </w:lvl>
    <w:lvl w:ilvl="1" w:tplc="B1A0EA72">
      <w:start w:val="1"/>
      <w:numFmt w:val="bullet"/>
      <w:lvlText w:val="o"/>
      <w:lvlJc w:val="left"/>
      <w:pPr>
        <w:ind w:left="1440" w:hanging="360"/>
      </w:pPr>
      <w:rPr>
        <w:rFonts w:ascii="Courier New" w:hAnsi="Courier New" w:hint="default"/>
      </w:rPr>
    </w:lvl>
    <w:lvl w:ilvl="2" w:tplc="9E546C90">
      <w:start w:val="1"/>
      <w:numFmt w:val="bullet"/>
      <w:lvlText w:val=""/>
      <w:lvlJc w:val="left"/>
      <w:pPr>
        <w:ind w:left="2160" w:hanging="360"/>
      </w:pPr>
      <w:rPr>
        <w:rFonts w:ascii="Wingdings" w:hAnsi="Wingdings" w:hint="default"/>
      </w:rPr>
    </w:lvl>
    <w:lvl w:ilvl="3" w:tplc="5BE021E4">
      <w:start w:val="1"/>
      <w:numFmt w:val="bullet"/>
      <w:lvlText w:val=""/>
      <w:lvlJc w:val="left"/>
      <w:pPr>
        <w:ind w:left="2880" w:hanging="360"/>
      </w:pPr>
      <w:rPr>
        <w:rFonts w:ascii="Symbol" w:hAnsi="Symbol" w:hint="default"/>
      </w:rPr>
    </w:lvl>
    <w:lvl w:ilvl="4" w:tplc="A154880C">
      <w:start w:val="1"/>
      <w:numFmt w:val="bullet"/>
      <w:lvlText w:val="o"/>
      <w:lvlJc w:val="left"/>
      <w:pPr>
        <w:ind w:left="3600" w:hanging="360"/>
      </w:pPr>
      <w:rPr>
        <w:rFonts w:ascii="Courier New" w:hAnsi="Courier New" w:hint="default"/>
      </w:rPr>
    </w:lvl>
    <w:lvl w:ilvl="5" w:tplc="D78810EA">
      <w:start w:val="1"/>
      <w:numFmt w:val="bullet"/>
      <w:lvlText w:val=""/>
      <w:lvlJc w:val="left"/>
      <w:pPr>
        <w:ind w:left="4320" w:hanging="360"/>
      </w:pPr>
      <w:rPr>
        <w:rFonts w:ascii="Wingdings" w:hAnsi="Wingdings" w:hint="default"/>
      </w:rPr>
    </w:lvl>
    <w:lvl w:ilvl="6" w:tplc="6352D494">
      <w:start w:val="1"/>
      <w:numFmt w:val="bullet"/>
      <w:lvlText w:val=""/>
      <w:lvlJc w:val="left"/>
      <w:pPr>
        <w:ind w:left="5040" w:hanging="360"/>
      </w:pPr>
      <w:rPr>
        <w:rFonts w:ascii="Symbol" w:hAnsi="Symbol" w:hint="default"/>
      </w:rPr>
    </w:lvl>
    <w:lvl w:ilvl="7" w:tplc="C1B23F88">
      <w:start w:val="1"/>
      <w:numFmt w:val="bullet"/>
      <w:lvlText w:val="o"/>
      <w:lvlJc w:val="left"/>
      <w:pPr>
        <w:ind w:left="5760" w:hanging="360"/>
      </w:pPr>
      <w:rPr>
        <w:rFonts w:ascii="Courier New" w:hAnsi="Courier New" w:hint="default"/>
      </w:rPr>
    </w:lvl>
    <w:lvl w:ilvl="8" w:tplc="D55A69C0">
      <w:start w:val="1"/>
      <w:numFmt w:val="bullet"/>
      <w:lvlText w:val=""/>
      <w:lvlJc w:val="left"/>
      <w:pPr>
        <w:ind w:left="6480" w:hanging="360"/>
      </w:pPr>
      <w:rPr>
        <w:rFonts w:ascii="Wingdings" w:hAnsi="Wingdings" w:hint="default"/>
      </w:rPr>
    </w:lvl>
  </w:abstractNum>
  <w:abstractNum w:abstractNumId="7" w15:restartNumberingAfterBreak="0">
    <w:nsid w:val="18DFFC26"/>
    <w:multiLevelType w:val="hybridMultilevel"/>
    <w:tmpl w:val="22627076"/>
    <w:lvl w:ilvl="0" w:tplc="E56CE25E">
      <w:start w:val="1"/>
      <w:numFmt w:val="bullet"/>
      <w:lvlText w:val=""/>
      <w:lvlJc w:val="left"/>
      <w:pPr>
        <w:ind w:left="360" w:hanging="360"/>
      </w:pPr>
      <w:rPr>
        <w:rFonts w:ascii="Symbol" w:hAnsi="Symbol" w:hint="default"/>
      </w:rPr>
    </w:lvl>
    <w:lvl w:ilvl="1" w:tplc="F45E8258">
      <w:start w:val="1"/>
      <w:numFmt w:val="bullet"/>
      <w:lvlText w:val="o"/>
      <w:lvlJc w:val="left"/>
      <w:pPr>
        <w:ind w:left="1080" w:hanging="360"/>
      </w:pPr>
      <w:rPr>
        <w:rFonts w:ascii="Courier New" w:hAnsi="Courier New" w:hint="default"/>
      </w:rPr>
    </w:lvl>
    <w:lvl w:ilvl="2" w:tplc="D94858B8">
      <w:start w:val="1"/>
      <w:numFmt w:val="bullet"/>
      <w:lvlText w:val=""/>
      <w:lvlJc w:val="left"/>
      <w:pPr>
        <w:ind w:left="1800" w:hanging="360"/>
      </w:pPr>
      <w:rPr>
        <w:rFonts w:ascii="Wingdings" w:hAnsi="Wingdings" w:hint="default"/>
      </w:rPr>
    </w:lvl>
    <w:lvl w:ilvl="3" w:tplc="1C6006D6">
      <w:start w:val="1"/>
      <w:numFmt w:val="bullet"/>
      <w:lvlText w:val=""/>
      <w:lvlJc w:val="left"/>
      <w:pPr>
        <w:ind w:left="2520" w:hanging="360"/>
      </w:pPr>
      <w:rPr>
        <w:rFonts w:ascii="Symbol" w:hAnsi="Symbol" w:hint="default"/>
      </w:rPr>
    </w:lvl>
    <w:lvl w:ilvl="4" w:tplc="8D7A092C">
      <w:start w:val="1"/>
      <w:numFmt w:val="bullet"/>
      <w:lvlText w:val="o"/>
      <w:lvlJc w:val="left"/>
      <w:pPr>
        <w:ind w:left="3240" w:hanging="360"/>
      </w:pPr>
      <w:rPr>
        <w:rFonts w:ascii="Courier New" w:hAnsi="Courier New" w:hint="default"/>
      </w:rPr>
    </w:lvl>
    <w:lvl w:ilvl="5" w:tplc="5734F37A">
      <w:start w:val="1"/>
      <w:numFmt w:val="bullet"/>
      <w:lvlText w:val=""/>
      <w:lvlJc w:val="left"/>
      <w:pPr>
        <w:ind w:left="3960" w:hanging="360"/>
      </w:pPr>
      <w:rPr>
        <w:rFonts w:ascii="Wingdings" w:hAnsi="Wingdings" w:hint="default"/>
      </w:rPr>
    </w:lvl>
    <w:lvl w:ilvl="6" w:tplc="4732AF0E">
      <w:start w:val="1"/>
      <w:numFmt w:val="bullet"/>
      <w:lvlText w:val=""/>
      <w:lvlJc w:val="left"/>
      <w:pPr>
        <w:ind w:left="4680" w:hanging="360"/>
      </w:pPr>
      <w:rPr>
        <w:rFonts w:ascii="Symbol" w:hAnsi="Symbol" w:hint="default"/>
      </w:rPr>
    </w:lvl>
    <w:lvl w:ilvl="7" w:tplc="1E04E3DA">
      <w:start w:val="1"/>
      <w:numFmt w:val="bullet"/>
      <w:lvlText w:val="o"/>
      <w:lvlJc w:val="left"/>
      <w:pPr>
        <w:ind w:left="5400" w:hanging="360"/>
      </w:pPr>
      <w:rPr>
        <w:rFonts w:ascii="Courier New" w:hAnsi="Courier New" w:hint="default"/>
      </w:rPr>
    </w:lvl>
    <w:lvl w:ilvl="8" w:tplc="E066431C">
      <w:start w:val="1"/>
      <w:numFmt w:val="bullet"/>
      <w:lvlText w:val=""/>
      <w:lvlJc w:val="left"/>
      <w:pPr>
        <w:ind w:left="6120" w:hanging="360"/>
      </w:pPr>
      <w:rPr>
        <w:rFonts w:ascii="Wingdings" w:hAnsi="Wingdings" w:hint="default"/>
      </w:rPr>
    </w:lvl>
  </w:abstractNum>
  <w:abstractNum w:abstractNumId="8" w15:restartNumberingAfterBreak="0">
    <w:nsid w:val="19FA39D2"/>
    <w:multiLevelType w:val="hybridMultilevel"/>
    <w:tmpl w:val="C22CB7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EEB129B"/>
    <w:multiLevelType w:val="hybridMultilevel"/>
    <w:tmpl w:val="09229916"/>
    <w:lvl w:ilvl="0" w:tplc="4BB48A3E">
      <w:start w:val="1"/>
      <w:numFmt w:val="bullet"/>
      <w:lvlText w:val=""/>
      <w:lvlJc w:val="left"/>
      <w:pPr>
        <w:ind w:left="360" w:hanging="360"/>
      </w:pPr>
      <w:rPr>
        <w:rFonts w:ascii="Symbol" w:hAnsi="Symbol" w:hint="default"/>
      </w:rPr>
    </w:lvl>
    <w:lvl w:ilvl="1" w:tplc="D36C51BE">
      <w:start w:val="1"/>
      <w:numFmt w:val="bullet"/>
      <w:lvlText w:val="o"/>
      <w:lvlJc w:val="left"/>
      <w:pPr>
        <w:ind w:left="1080" w:hanging="360"/>
      </w:pPr>
      <w:rPr>
        <w:rFonts w:ascii="Courier New" w:hAnsi="Courier New" w:hint="default"/>
      </w:rPr>
    </w:lvl>
    <w:lvl w:ilvl="2" w:tplc="547EC07E">
      <w:start w:val="1"/>
      <w:numFmt w:val="bullet"/>
      <w:lvlText w:val=""/>
      <w:lvlJc w:val="left"/>
      <w:pPr>
        <w:ind w:left="1800" w:hanging="360"/>
      </w:pPr>
      <w:rPr>
        <w:rFonts w:ascii="Wingdings" w:hAnsi="Wingdings" w:hint="default"/>
      </w:rPr>
    </w:lvl>
    <w:lvl w:ilvl="3" w:tplc="5CD0F492">
      <w:start w:val="1"/>
      <w:numFmt w:val="bullet"/>
      <w:lvlText w:val=""/>
      <w:lvlJc w:val="left"/>
      <w:pPr>
        <w:ind w:left="2520" w:hanging="360"/>
      </w:pPr>
      <w:rPr>
        <w:rFonts w:ascii="Symbol" w:hAnsi="Symbol" w:hint="default"/>
      </w:rPr>
    </w:lvl>
    <w:lvl w:ilvl="4" w:tplc="50D46466">
      <w:start w:val="1"/>
      <w:numFmt w:val="bullet"/>
      <w:lvlText w:val="o"/>
      <w:lvlJc w:val="left"/>
      <w:pPr>
        <w:ind w:left="3240" w:hanging="360"/>
      </w:pPr>
      <w:rPr>
        <w:rFonts w:ascii="Courier New" w:hAnsi="Courier New" w:hint="default"/>
      </w:rPr>
    </w:lvl>
    <w:lvl w:ilvl="5" w:tplc="228463CC">
      <w:start w:val="1"/>
      <w:numFmt w:val="bullet"/>
      <w:lvlText w:val=""/>
      <w:lvlJc w:val="left"/>
      <w:pPr>
        <w:ind w:left="3960" w:hanging="360"/>
      </w:pPr>
      <w:rPr>
        <w:rFonts w:ascii="Wingdings" w:hAnsi="Wingdings" w:hint="default"/>
      </w:rPr>
    </w:lvl>
    <w:lvl w:ilvl="6" w:tplc="23F4C4BE">
      <w:start w:val="1"/>
      <w:numFmt w:val="bullet"/>
      <w:lvlText w:val=""/>
      <w:lvlJc w:val="left"/>
      <w:pPr>
        <w:ind w:left="4680" w:hanging="360"/>
      </w:pPr>
      <w:rPr>
        <w:rFonts w:ascii="Symbol" w:hAnsi="Symbol" w:hint="default"/>
      </w:rPr>
    </w:lvl>
    <w:lvl w:ilvl="7" w:tplc="6414F232">
      <w:start w:val="1"/>
      <w:numFmt w:val="bullet"/>
      <w:lvlText w:val="o"/>
      <w:lvlJc w:val="left"/>
      <w:pPr>
        <w:ind w:left="5400" w:hanging="360"/>
      </w:pPr>
      <w:rPr>
        <w:rFonts w:ascii="Courier New" w:hAnsi="Courier New" w:hint="default"/>
      </w:rPr>
    </w:lvl>
    <w:lvl w:ilvl="8" w:tplc="F2B82A74">
      <w:start w:val="1"/>
      <w:numFmt w:val="bullet"/>
      <w:lvlText w:val=""/>
      <w:lvlJc w:val="left"/>
      <w:pPr>
        <w:ind w:left="6120" w:hanging="360"/>
      </w:pPr>
      <w:rPr>
        <w:rFonts w:ascii="Wingdings" w:hAnsi="Wingdings" w:hint="default"/>
      </w:rPr>
    </w:lvl>
  </w:abstractNum>
  <w:abstractNum w:abstractNumId="10" w15:restartNumberingAfterBreak="0">
    <w:nsid w:val="200A6943"/>
    <w:multiLevelType w:val="hybridMultilevel"/>
    <w:tmpl w:val="01347D1C"/>
    <w:lvl w:ilvl="0" w:tplc="2B66538E">
      <w:start w:val="1"/>
      <w:numFmt w:val="bullet"/>
      <w:lvlText w:val="•"/>
      <w:lvlJc w:val="left"/>
      <w:pPr>
        <w:ind w:left="720" w:hanging="360"/>
      </w:pPr>
    </w:lvl>
    <w:lvl w:ilvl="1" w:tplc="DE2CE86E">
      <w:numFmt w:val="decimal"/>
      <w:lvlText w:val=""/>
      <w:lvlJc w:val="left"/>
    </w:lvl>
    <w:lvl w:ilvl="2" w:tplc="767E6294">
      <w:numFmt w:val="decimal"/>
      <w:lvlText w:val=""/>
      <w:lvlJc w:val="left"/>
    </w:lvl>
    <w:lvl w:ilvl="3" w:tplc="5D06099A">
      <w:numFmt w:val="decimal"/>
      <w:lvlText w:val=""/>
      <w:lvlJc w:val="left"/>
    </w:lvl>
    <w:lvl w:ilvl="4" w:tplc="A5E4ADBA">
      <w:numFmt w:val="decimal"/>
      <w:lvlText w:val=""/>
      <w:lvlJc w:val="left"/>
    </w:lvl>
    <w:lvl w:ilvl="5" w:tplc="6A5E3884">
      <w:numFmt w:val="decimal"/>
      <w:lvlText w:val=""/>
      <w:lvlJc w:val="left"/>
    </w:lvl>
    <w:lvl w:ilvl="6" w:tplc="AF4EE248">
      <w:numFmt w:val="decimal"/>
      <w:lvlText w:val=""/>
      <w:lvlJc w:val="left"/>
    </w:lvl>
    <w:lvl w:ilvl="7" w:tplc="A8DA39B0">
      <w:numFmt w:val="decimal"/>
      <w:lvlText w:val=""/>
      <w:lvlJc w:val="left"/>
    </w:lvl>
    <w:lvl w:ilvl="8" w:tplc="9C9EF224">
      <w:numFmt w:val="decimal"/>
      <w:lvlText w:val=""/>
      <w:lvlJc w:val="left"/>
    </w:lvl>
  </w:abstractNum>
  <w:abstractNum w:abstractNumId="11" w15:restartNumberingAfterBreak="0">
    <w:nsid w:val="2148EFF8"/>
    <w:multiLevelType w:val="hybridMultilevel"/>
    <w:tmpl w:val="35A8E29E"/>
    <w:lvl w:ilvl="0" w:tplc="488C957E">
      <w:start w:val="1"/>
      <w:numFmt w:val="bullet"/>
      <w:lvlText w:val=""/>
      <w:lvlJc w:val="left"/>
      <w:pPr>
        <w:ind w:left="360" w:hanging="360"/>
      </w:pPr>
      <w:rPr>
        <w:rFonts w:ascii="Symbol" w:hAnsi="Symbol" w:hint="default"/>
      </w:rPr>
    </w:lvl>
    <w:lvl w:ilvl="1" w:tplc="7958B35A">
      <w:start w:val="1"/>
      <w:numFmt w:val="bullet"/>
      <w:lvlText w:val="o"/>
      <w:lvlJc w:val="left"/>
      <w:pPr>
        <w:ind w:left="1080" w:hanging="360"/>
      </w:pPr>
      <w:rPr>
        <w:rFonts w:ascii="Courier New" w:hAnsi="Courier New" w:hint="default"/>
      </w:rPr>
    </w:lvl>
    <w:lvl w:ilvl="2" w:tplc="207C829A">
      <w:start w:val="1"/>
      <w:numFmt w:val="bullet"/>
      <w:lvlText w:val=""/>
      <w:lvlJc w:val="left"/>
      <w:pPr>
        <w:ind w:left="1800" w:hanging="360"/>
      </w:pPr>
      <w:rPr>
        <w:rFonts w:ascii="Wingdings" w:hAnsi="Wingdings" w:hint="default"/>
      </w:rPr>
    </w:lvl>
    <w:lvl w:ilvl="3" w:tplc="CF0ECDF0">
      <w:start w:val="1"/>
      <w:numFmt w:val="bullet"/>
      <w:lvlText w:val=""/>
      <w:lvlJc w:val="left"/>
      <w:pPr>
        <w:ind w:left="2520" w:hanging="360"/>
      </w:pPr>
      <w:rPr>
        <w:rFonts w:ascii="Symbol" w:hAnsi="Symbol" w:hint="default"/>
      </w:rPr>
    </w:lvl>
    <w:lvl w:ilvl="4" w:tplc="2CC024EC">
      <w:start w:val="1"/>
      <w:numFmt w:val="bullet"/>
      <w:lvlText w:val="o"/>
      <w:lvlJc w:val="left"/>
      <w:pPr>
        <w:ind w:left="3240" w:hanging="360"/>
      </w:pPr>
      <w:rPr>
        <w:rFonts w:ascii="Courier New" w:hAnsi="Courier New" w:hint="default"/>
      </w:rPr>
    </w:lvl>
    <w:lvl w:ilvl="5" w:tplc="C41AD2B8">
      <w:start w:val="1"/>
      <w:numFmt w:val="bullet"/>
      <w:lvlText w:val=""/>
      <w:lvlJc w:val="left"/>
      <w:pPr>
        <w:ind w:left="3960" w:hanging="360"/>
      </w:pPr>
      <w:rPr>
        <w:rFonts w:ascii="Wingdings" w:hAnsi="Wingdings" w:hint="default"/>
      </w:rPr>
    </w:lvl>
    <w:lvl w:ilvl="6" w:tplc="9072EE3A">
      <w:start w:val="1"/>
      <w:numFmt w:val="bullet"/>
      <w:lvlText w:val=""/>
      <w:lvlJc w:val="left"/>
      <w:pPr>
        <w:ind w:left="4680" w:hanging="360"/>
      </w:pPr>
      <w:rPr>
        <w:rFonts w:ascii="Symbol" w:hAnsi="Symbol" w:hint="default"/>
      </w:rPr>
    </w:lvl>
    <w:lvl w:ilvl="7" w:tplc="E288FE40">
      <w:start w:val="1"/>
      <w:numFmt w:val="bullet"/>
      <w:lvlText w:val="o"/>
      <w:lvlJc w:val="left"/>
      <w:pPr>
        <w:ind w:left="5400" w:hanging="360"/>
      </w:pPr>
      <w:rPr>
        <w:rFonts w:ascii="Courier New" w:hAnsi="Courier New" w:hint="default"/>
      </w:rPr>
    </w:lvl>
    <w:lvl w:ilvl="8" w:tplc="74EE4EAC">
      <w:start w:val="1"/>
      <w:numFmt w:val="bullet"/>
      <w:lvlText w:val=""/>
      <w:lvlJc w:val="left"/>
      <w:pPr>
        <w:ind w:left="6120" w:hanging="360"/>
      </w:pPr>
      <w:rPr>
        <w:rFonts w:ascii="Wingdings" w:hAnsi="Wingdings" w:hint="default"/>
      </w:rPr>
    </w:lvl>
  </w:abstractNum>
  <w:abstractNum w:abstractNumId="12" w15:restartNumberingAfterBreak="0">
    <w:nsid w:val="214D4223"/>
    <w:multiLevelType w:val="hybridMultilevel"/>
    <w:tmpl w:val="C68EDDB6"/>
    <w:lvl w:ilvl="0" w:tplc="E29E753A">
      <w:start w:val="2"/>
      <w:numFmt w:val="bullet"/>
      <w:lvlText w:val="-"/>
      <w:lvlJc w:val="left"/>
      <w:pPr>
        <w:ind w:left="720" w:hanging="360"/>
      </w:pPr>
      <w:rPr>
        <w:rFonts w:ascii="Bookman Old Style" w:eastAsia="Cambria" w:hAnsi="Bookman Old Style"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D7F325"/>
    <w:multiLevelType w:val="hybridMultilevel"/>
    <w:tmpl w:val="DFEA966C"/>
    <w:lvl w:ilvl="0" w:tplc="1818AF6C">
      <w:start w:val="1"/>
      <w:numFmt w:val="bullet"/>
      <w:lvlText w:val=""/>
      <w:lvlJc w:val="left"/>
      <w:pPr>
        <w:ind w:left="360" w:hanging="360"/>
      </w:pPr>
      <w:rPr>
        <w:rFonts w:ascii="Symbol" w:hAnsi="Symbol" w:hint="default"/>
      </w:rPr>
    </w:lvl>
    <w:lvl w:ilvl="1" w:tplc="6F7A22BE">
      <w:start w:val="1"/>
      <w:numFmt w:val="bullet"/>
      <w:lvlText w:val="o"/>
      <w:lvlJc w:val="left"/>
      <w:pPr>
        <w:ind w:left="1080" w:hanging="360"/>
      </w:pPr>
      <w:rPr>
        <w:rFonts w:ascii="Courier New" w:hAnsi="Courier New" w:hint="default"/>
      </w:rPr>
    </w:lvl>
    <w:lvl w:ilvl="2" w:tplc="3788BD5C">
      <w:start w:val="1"/>
      <w:numFmt w:val="bullet"/>
      <w:lvlText w:val=""/>
      <w:lvlJc w:val="left"/>
      <w:pPr>
        <w:ind w:left="1800" w:hanging="360"/>
      </w:pPr>
      <w:rPr>
        <w:rFonts w:ascii="Wingdings" w:hAnsi="Wingdings" w:hint="default"/>
      </w:rPr>
    </w:lvl>
    <w:lvl w:ilvl="3" w:tplc="07640BA2">
      <w:start w:val="1"/>
      <w:numFmt w:val="bullet"/>
      <w:lvlText w:val=""/>
      <w:lvlJc w:val="left"/>
      <w:pPr>
        <w:ind w:left="2520" w:hanging="360"/>
      </w:pPr>
      <w:rPr>
        <w:rFonts w:ascii="Symbol" w:hAnsi="Symbol" w:hint="default"/>
      </w:rPr>
    </w:lvl>
    <w:lvl w:ilvl="4" w:tplc="BC941534">
      <w:start w:val="1"/>
      <w:numFmt w:val="bullet"/>
      <w:lvlText w:val="o"/>
      <w:lvlJc w:val="left"/>
      <w:pPr>
        <w:ind w:left="3240" w:hanging="360"/>
      </w:pPr>
      <w:rPr>
        <w:rFonts w:ascii="Courier New" w:hAnsi="Courier New" w:hint="default"/>
      </w:rPr>
    </w:lvl>
    <w:lvl w:ilvl="5" w:tplc="C0AC15C2">
      <w:start w:val="1"/>
      <w:numFmt w:val="bullet"/>
      <w:lvlText w:val=""/>
      <w:lvlJc w:val="left"/>
      <w:pPr>
        <w:ind w:left="3960" w:hanging="360"/>
      </w:pPr>
      <w:rPr>
        <w:rFonts w:ascii="Wingdings" w:hAnsi="Wingdings" w:hint="default"/>
      </w:rPr>
    </w:lvl>
    <w:lvl w:ilvl="6" w:tplc="2C923738">
      <w:start w:val="1"/>
      <w:numFmt w:val="bullet"/>
      <w:lvlText w:val=""/>
      <w:lvlJc w:val="left"/>
      <w:pPr>
        <w:ind w:left="4680" w:hanging="360"/>
      </w:pPr>
      <w:rPr>
        <w:rFonts w:ascii="Symbol" w:hAnsi="Symbol" w:hint="default"/>
      </w:rPr>
    </w:lvl>
    <w:lvl w:ilvl="7" w:tplc="B3787EF8">
      <w:start w:val="1"/>
      <w:numFmt w:val="bullet"/>
      <w:lvlText w:val="o"/>
      <w:lvlJc w:val="left"/>
      <w:pPr>
        <w:ind w:left="5400" w:hanging="360"/>
      </w:pPr>
      <w:rPr>
        <w:rFonts w:ascii="Courier New" w:hAnsi="Courier New" w:hint="default"/>
      </w:rPr>
    </w:lvl>
    <w:lvl w:ilvl="8" w:tplc="622E195A">
      <w:start w:val="1"/>
      <w:numFmt w:val="bullet"/>
      <w:lvlText w:val=""/>
      <w:lvlJc w:val="left"/>
      <w:pPr>
        <w:ind w:left="6120" w:hanging="360"/>
      </w:pPr>
      <w:rPr>
        <w:rFonts w:ascii="Wingdings" w:hAnsi="Wingdings" w:hint="default"/>
      </w:rPr>
    </w:lvl>
  </w:abstractNum>
  <w:abstractNum w:abstractNumId="14" w15:restartNumberingAfterBreak="0">
    <w:nsid w:val="23F474CD"/>
    <w:multiLevelType w:val="multilevel"/>
    <w:tmpl w:val="5094D044"/>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275F2AE4"/>
    <w:multiLevelType w:val="hybridMultilevel"/>
    <w:tmpl w:val="4F2A65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22DECE"/>
    <w:multiLevelType w:val="hybridMultilevel"/>
    <w:tmpl w:val="FFFFFFFF"/>
    <w:lvl w:ilvl="0" w:tplc="4864A030">
      <w:start w:val="1"/>
      <w:numFmt w:val="bullet"/>
      <w:lvlText w:val="•"/>
      <w:lvlJc w:val="left"/>
      <w:pPr>
        <w:ind w:left="720" w:hanging="360"/>
      </w:pPr>
    </w:lvl>
    <w:lvl w:ilvl="1" w:tplc="FDC4FE1C">
      <w:numFmt w:val="decimal"/>
      <w:lvlText w:val=""/>
      <w:lvlJc w:val="left"/>
    </w:lvl>
    <w:lvl w:ilvl="2" w:tplc="2166964A">
      <w:numFmt w:val="decimal"/>
      <w:lvlText w:val=""/>
      <w:lvlJc w:val="left"/>
    </w:lvl>
    <w:lvl w:ilvl="3" w:tplc="0528207A">
      <w:numFmt w:val="decimal"/>
      <w:lvlText w:val=""/>
      <w:lvlJc w:val="left"/>
    </w:lvl>
    <w:lvl w:ilvl="4" w:tplc="3B06C0F0">
      <w:numFmt w:val="decimal"/>
      <w:lvlText w:val=""/>
      <w:lvlJc w:val="left"/>
    </w:lvl>
    <w:lvl w:ilvl="5" w:tplc="60806BBE">
      <w:numFmt w:val="decimal"/>
      <w:lvlText w:val=""/>
      <w:lvlJc w:val="left"/>
    </w:lvl>
    <w:lvl w:ilvl="6" w:tplc="EC6EEB16">
      <w:numFmt w:val="decimal"/>
      <w:lvlText w:val=""/>
      <w:lvlJc w:val="left"/>
    </w:lvl>
    <w:lvl w:ilvl="7" w:tplc="6C0432B2">
      <w:numFmt w:val="decimal"/>
      <w:lvlText w:val=""/>
      <w:lvlJc w:val="left"/>
    </w:lvl>
    <w:lvl w:ilvl="8" w:tplc="5FEA1746">
      <w:numFmt w:val="decimal"/>
      <w:lvlText w:val=""/>
      <w:lvlJc w:val="left"/>
    </w:lvl>
  </w:abstractNum>
  <w:abstractNum w:abstractNumId="17" w15:restartNumberingAfterBreak="0">
    <w:nsid w:val="2C619C5B"/>
    <w:multiLevelType w:val="hybridMultilevel"/>
    <w:tmpl w:val="1C50918A"/>
    <w:lvl w:ilvl="0" w:tplc="D05E2708">
      <w:start w:val="1"/>
      <w:numFmt w:val="bullet"/>
      <w:lvlText w:val=""/>
      <w:lvlJc w:val="left"/>
      <w:pPr>
        <w:ind w:left="360" w:hanging="360"/>
      </w:pPr>
      <w:rPr>
        <w:rFonts w:ascii="Symbol" w:hAnsi="Symbol" w:hint="default"/>
      </w:rPr>
    </w:lvl>
    <w:lvl w:ilvl="1" w:tplc="D068E432">
      <w:start w:val="1"/>
      <w:numFmt w:val="bullet"/>
      <w:lvlText w:val="o"/>
      <w:lvlJc w:val="left"/>
      <w:pPr>
        <w:ind w:left="1080" w:hanging="360"/>
      </w:pPr>
      <w:rPr>
        <w:rFonts w:ascii="Courier New" w:hAnsi="Courier New" w:hint="default"/>
      </w:rPr>
    </w:lvl>
    <w:lvl w:ilvl="2" w:tplc="E846849A">
      <w:start w:val="1"/>
      <w:numFmt w:val="bullet"/>
      <w:lvlText w:val=""/>
      <w:lvlJc w:val="left"/>
      <w:pPr>
        <w:ind w:left="1800" w:hanging="360"/>
      </w:pPr>
      <w:rPr>
        <w:rFonts w:ascii="Wingdings" w:hAnsi="Wingdings" w:hint="default"/>
      </w:rPr>
    </w:lvl>
    <w:lvl w:ilvl="3" w:tplc="82F80B56">
      <w:start w:val="1"/>
      <w:numFmt w:val="bullet"/>
      <w:lvlText w:val=""/>
      <w:lvlJc w:val="left"/>
      <w:pPr>
        <w:ind w:left="2520" w:hanging="360"/>
      </w:pPr>
      <w:rPr>
        <w:rFonts w:ascii="Symbol" w:hAnsi="Symbol" w:hint="default"/>
      </w:rPr>
    </w:lvl>
    <w:lvl w:ilvl="4" w:tplc="588E969C">
      <w:start w:val="1"/>
      <w:numFmt w:val="bullet"/>
      <w:lvlText w:val="o"/>
      <w:lvlJc w:val="left"/>
      <w:pPr>
        <w:ind w:left="3240" w:hanging="360"/>
      </w:pPr>
      <w:rPr>
        <w:rFonts w:ascii="Courier New" w:hAnsi="Courier New" w:hint="default"/>
      </w:rPr>
    </w:lvl>
    <w:lvl w:ilvl="5" w:tplc="6E46003C">
      <w:start w:val="1"/>
      <w:numFmt w:val="bullet"/>
      <w:lvlText w:val=""/>
      <w:lvlJc w:val="left"/>
      <w:pPr>
        <w:ind w:left="3960" w:hanging="360"/>
      </w:pPr>
      <w:rPr>
        <w:rFonts w:ascii="Wingdings" w:hAnsi="Wingdings" w:hint="default"/>
      </w:rPr>
    </w:lvl>
    <w:lvl w:ilvl="6" w:tplc="6688F26E">
      <w:start w:val="1"/>
      <w:numFmt w:val="bullet"/>
      <w:lvlText w:val=""/>
      <w:lvlJc w:val="left"/>
      <w:pPr>
        <w:ind w:left="4680" w:hanging="360"/>
      </w:pPr>
      <w:rPr>
        <w:rFonts w:ascii="Symbol" w:hAnsi="Symbol" w:hint="default"/>
      </w:rPr>
    </w:lvl>
    <w:lvl w:ilvl="7" w:tplc="0BD2CA8C">
      <w:start w:val="1"/>
      <w:numFmt w:val="bullet"/>
      <w:lvlText w:val="o"/>
      <w:lvlJc w:val="left"/>
      <w:pPr>
        <w:ind w:left="5400" w:hanging="360"/>
      </w:pPr>
      <w:rPr>
        <w:rFonts w:ascii="Courier New" w:hAnsi="Courier New" w:hint="default"/>
      </w:rPr>
    </w:lvl>
    <w:lvl w:ilvl="8" w:tplc="E6E6A028">
      <w:start w:val="1"/>
      <w:numFmt w:val="bullet"/>
      <w:lvlText w:val=""/>
      <w:lvlJc w:val="left"/>
      <w:pPr>
        <w:ind w:left="6120" w:hanging="360"/>
      </w:pPr>
      <w:rPr>
        <w:rFonts w:ascii="Wingdings" w:hAnsi="Wingdings" w:hint="default"/>
      </w:rPr>
    </w:lvl>
  </w:abstractNum>
  <w:abstractNum w:abstractNumId="18" w15:restartNumberingAfterBreak="0">
    <w:nsid w:val="2DAF5BEE"/>
    <w:multiLevelType w:val="multilevel"/>
    <w:tmpl w:val="CAE2E0B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06696B8"/>
    <w:multiLevelType w:val="hybridMultilevel"/>
    <w:tmpl w:val="389C4750"/>
    <w:lvl w:ilvl="0" w:tplc="318404CC">
      <w:start w:val="1"/>
      <w:numFmt w:val="bullet"/>
      <w:lvlText w:val=""/>
      <w:lvlJc w:val="left"/>
      <w:pPr>
        <w:ind w:left="360" w:hanging="360"/>
      </w:pPr>
      <w:rPr>
        <w:rFonts w:ascii="Symbol" w:hAnsi="Symbol" w:hint="default"/>
      </w:rPr>
    </w:lvl>
    <w:lvl w:ilvl="1" w:tplc="86C0EB68">
      <w:start w:val="1"/>
      <w:numFmt w:val="bullet"/>
      <w:lvlText w:val="o"/>
      <w:lvlJc w:val="left"/>
      <w:pPr>
        <w:ind w:left="1080" w:hanging="360"/>
      </w:pPr>
      <w:rPr>
        <w:rFonts w:ascii="Courier New" w:hAnsi="Courier New" w:hint="default"/>
      </w:rPr>
    </w:lvl>
    <w:lvl w:ilvl="2" w:tplc="B456DFD6">
      <w:start w:val="1"/>
      <w:numFmt w:val="bullet"/>
      <w:lvlText w:val=""/>
      <w:lvlJc w:val="left"/>
      <w:pPr>
        <w:ind w:left="1800" w:hanging="360"/>
      </w:pPr>
      <w:rPr>
        <w:rFonts w:ascii="Wingdings" w:hAnsi="Wingdings" w:hint="default"/>
      </w:rPr>
    </w:lvl>
    <w:lvl w:ilvl="3" w:tplc="967825BC">
      <w:start w:val="1"/>
      <w:numFmt w:val="bullet"/>
      <w:lvlText w:val=""/>
      <w:lvlJc w:val="left"/>
      <w:pPr>
        <w:ind w:left="2520" w:hanging="360"/>
      </w:pPr>
      <w:rPr>
        <w:rFonts w:ascii="Symbol" w:hAnsi="Symbol" w:hint="default"/>
      </w:rPr>
    </w:lvl>
    <w:lvl w:ilvl="4" w:tplc="E2928DD4">
      <w:start w:val="1"/>
      <w:numFmt w:val="bullet"/>
      <w:lvlText w:val="o"/>
      <w:lvlJc w:val="left"/>
      <w:pPr>
        <w:ind w:left="3240" w:hanging="360"/>
      </w:pPr>
      <w:rPr>
        <w:rFonts w:ascii="Courier New" w:hAnsi="Courier New" w:hint="default"/>
      </w:rPr>
    </w:lvl>
    <w:lvl w:ilvl="5" w:tplc="95880268">
      <w:start w:val="1"/>
      <w:numFmt w:val="bullet"/>
      <w:lvlText w:val=""/>
      <w:lvlJc w:val="left"/>
      <w:pPr>
        <w:ind w:left="3960" w:hanging="360"/>
      </w:pPr>
      <w:rPr>
        <w:rFonts w:ascii="Wingdings" w:hAnsi="Wingdings" w:hint="default"/>
      </w:rPr>
    </w:lvl>
    <w:lvl w:ilvl="6" w:tplc="C08E88BC">
      <w:start w:val="1"/>
      <w:numFmt w:val="bullet"/>
      <w:lvlText w:val=""/>
      <w:lvlJc w:val="left"/>
      <w:pPr>
        <w:ind w:left="4680" w:hanging="360"/>
      </w:pPr>
      <w:rPr>
        <w:rFonts w:ascii="Symbol" w:hAnsi="Symbol" w:hint="default"/>
      </w:rPr>
    </w:lvl>
    <w:lvl w:ilvl="7" w:tplc="00168EAA">
      <w:start w:val="1"/>
      <w:numFmt w:val="bullet"/>
      <w:lvlText w:val="o"/>
      <w:lvlJc w:val="left"/>
      <w:pPr>
        <w:ind w:left="5400" w:hanging="360"/>
      </w:pPr>
      <w:rPr>
        <w:rFonts w:ascii="Courier New" w:hAnsi="Courier New" w:hint="default"/>
      </w:rPr>
    </w:lvl>
    <w:lvl w:ilvl="8" w:tplc="8C12F708">
      <w:start w:val="1"/>
      <w:numFmt w:val="bullet"/>
      <w:lvlText w:val=""/>
      <w:lvlJc w:val="left"/>
      <w:pPr>
        <w:ind w:left="6120" w:hanging="360"/>
      </w:pPr>
      <w:rPr>
        <w:rFonts w:ascii="Wingdings" w:hAnsi="Wingdings" w:hint="default"/>
      </w:rPr>
    </w:lvl>
  </w:abstractNum>
  <w:abstractNum w:abstractNumId="20" w15:restartNumberingAfterBreak="0">
    <w:nsid w:val="34A55D9D"/>
    <w:multiLevelType w:val="hybridMultilevel"/>
    <w:tmpl w:val="0EBE12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85FF181"/>
    <w:multiLevelType w:val="hybridMultilevel"/>
    <w:tmpl w:val="45AE9534"/>
    <w:lvl w:ilvl="0" w:tplc="7B5E555C">
      <w:start w:val="1"/>
      <w:numFmt w:val="bullet"/>
      <w:lvlText w:val=""/>
      <w:lvlJc w:val="left"/>
      <w:pPr>
        <w:ind w:left="360" w:hanging="360"/>
      </w:pPr>
      <w:rPr>
        <w:rFonts w:ascii="Symbol" w:hAnsi="Symbol" w:hint="default"/>
      </w:rPr>
    </w:lvl>
    <w:lvl w:ilvl="1" w:tplc="0300536A">
      <w:start w:val="1"/>
      <w:numFmt w:val="bullet"/>
      <w:lvlText w:val="o"/>
      <w:lvlJc w:val="left"/>
      <w:pPr>
        <w:ind w:left="1080" w:hanging="360"/>
      </w:pPr>
      <w:rPr>
        <w:rFonts w:ascii="Courier New" w:hAnsi="Courier New" w:hint="default"/>
      </w:rPr>
    </w:lvl>
    <w:lvl w:ilvl="2" w:tplc="71BEE2EC">
      <w:start w:val="1"/>
      <w:numFmt w:val="bullet"/>
      <w:lvlText w:val=""/>
      <w:lvlJc w:val="left"/>
      <w:pPr>
        <w:ind w:left="1800" w:hanging="360"/>
      </w:pPr>
      <w:rPr>
        <w:rFonts w:ascii="Wingdings" w:hAnsi="Wingdings" w:hint="default"/>
      </w:rPr>
    </w:lvl>
    <w:lvl w:ilvl="3" w:tplc="39B08D1E">
      <w:start w:val="1"/>
      <w:numFmt w:val="bullet"/>
      <w:lvlText w:val=""/>
      <w:lvlJc w:val="left"/>
      <w:pPr>
        <w:ind w:left="2520" w:hanging="360"/>
      </w:pPr>
      <w:rPr>
        <w:rFonts w:ascii="Symbol" w:hAnsi="Symbol" w:hint="default"/>
      </w:rPr>
    </w:lvl>
    <w:lvl w:ilvl="4" w:tplc="4ACE4802">
      <w:start w:val="1"/>
      <w:numFmt w:val="bullet"/>
      <w:lvlText w:val="o"/>
      <w:lvlJc w:val="left"/>
      <w:pPr>
        <w:ind w:left="3240" w:hanging="360"/>
      </w:pPr>
      <w:rPr>
        <w:rFonts w:ascii="Courier New" w:hAnsi="Courier New" w:hint="default"/>
      </w:rPr>
    </w:lvl>
    <w:lvl w:ilvl="5" w:tplc="C30C32CE">
      <w:start w:val="1"/>
      <w:numFmt w:val="bullet"/>
      <w:lvlText w:val=""/>
      <w:lvlJc w:val="left"/>
      <w:pPr>
        <w:ind w:left="3960" w:hanging="360"/>
      </w:pPr>
      <w:rPr>
        <w:rFonts w:ascii="Wingdings" w:hAnsi="Wingdings" w:hint="default"/>
      </w:rPr>
    </w:lvl>
    <w:lvl w:ilvl="6" w:tplc="5D0C1494">
      <w:start w:val="1"/>
      <w:numFmt w:val="bullet"/>
      <w:lvlText w:val=""/>
      <w:lvlJc w:val="left"/>
      <w:pPr>
        <w:ind w:left="4680" w:hanging="360"/>
      </w:pPr>
      <w:rPr>
        <w:rFonts w:ascii="Symbol" w:hAnsi="Symbol" w:hint="default"/>
      </w:rPr>
    </w:lvl>
    <w:lvl w:ilvl="7" w:tplc="B01478D4">
      <w:start w:val="1"/>
      <w:numFmt w:val="bullet"/>
      <w:lvlText w:val="o"/>
      <w:lvlJc w:val="left"/>
      <w:pPr>
        <w:ind w:left="5400" w:hanging="360"/>
      </w:pPr>
      <w:rPr>
        <w:rFonts w:ascii="Courier New" w:hAnsi="Courier New" w:hint="default"/>
      </w:rPr>
    </w:lvl>
    <w:lvl w:ilvl="8" w:tplc="C0527C56">
      <w:start w:val="1"/>
      <w:numFmt w:val="bullet"/>
      <w:lvlText w:val=""/>
      <w:lvlJc w:val="left"/>
      <w:pPr>
        <w:ind w:left="6120" w:hanging="360"/>
      </w:pPr>
      <w:rPr>
        <w:rFonts w:ascii="Wingdings" w:hAnsi="Wingdings" w:hint="default"/>
      </w:rPr>
    </w:lvl>
  </w:abstractNum>
  <w:abstractNum w:abstractNumId="22" w15:restartNumberingAfterBreak="0">
    <w:nsid w:val="3A202E58"/>
    <w:multiLevelType w:val="hybridMultilevel"/>
    <w:tmpl w:val="9866E7DC"/>
    <w:lvl w:ilvl="0" w:tplc="8ADA5590">
      <w:start w:val="1"/>
      <w:numFmt w:val="bullet"/>
      <w:lvlText w:val=""/>
      <w:lvlJc w:val="left"/>
      <w:pPr>
        <w:ind w:left="360" w:hanging="360"/>
      </w:pPr>
      <w:rPr>
        <w:rFonts w:ascii="Symbol" w:hAnsi="Symbol" w:hint="default"/>
      </w:rPr>
    </w:lvl>
    <w:lvl w:ilvl="1" w:tplc="F8F20FAE">
      <w:start w:val="1"/>
      <w:numFmt w:val="bullet"/>
      <w:lvlText w:val="o"/>
      <w:lvlJc w:val="left"/>
      <w:pPr>
        <w:ind w:left="1080" w:hanging="360"/>
      </w:pPr>
      <w:rPr>
        <w:rFonts w:ascii="Courier New" w:hAnsi="Courier New" w:hint="default"/>
      </w:rPr>
    </w:lvl>
    <w:lvl w:ilvl="2" w:tplc="C68C6B8A">
      <w:start w:val="1"/>
      <w:numFmt w:val="bullet"/>
      <w:lvlText w:val=""/>
      <w:lvlJc w:val="left"/>
      <w:pPr>
        <w:ind w:left="1800" w:hanging="360"/>
      </w:pPr>
      <w:rPr>
        <w:rFonts w:ascii="Wingdings" w:hAnsi="Wingdings" w:hint="default"/>
      </w:rPr>
    </w:lvl>
    <w:lvl w:ilvl="3" w:tplc="F034B8C8">
      <w:start w:val="1"/>
      <w:numFmt w:val="bullet"/>
      <w:lvlText w:val=""/>
      <w:lvlJc w:val="left"/>
      <w:pPr>
        <w:ind w:left="2520" w:hanging="360"/>
      </w:pPr>
      <w:rPr>
        <w:rFonts w:ascii="Symbol" w:hAnsi="Symbol" w:hint="default"/>
      </w:rPr>
    </w:lvl>
    <w:lvl w:ilvl="4" w:tplc="650C074A">
      <w:start w:val="1"/>
      <w:numFmt w:val="bullet"/>
      <w:lvlText w:val="o"/>
      <w:lvlJc w:val="left"/>
      <w:pPr>
        <w:ind w:left="3240" w:hanging="360"/>
      </w:pPr>
      <w:rPr>
        <w:rFonts w:ascii="Courier New" w:hAnsi="Courier New" w:hint="default"/>
      </w:rPr>
    </w:lvl>
    <w:lvl w:ilvl="5" w:tplc="0CE4C5F8">
      <w:start w:val="1"/>
      <w:numFmt w:val="bullet"/>
      <w:lvlText w:val=""/>
      <w:lvlJc w:val="left"/>
      <w:pPr>
        <w:ind w:left="3960" w:hanging="360"/>
      </w:pPr>
      <w:rPr>
        <w:rFonts w:ascii="Wingdings" w:hAnsi="Wingdings" w:hint="default"/>
      </w:rPr>
    </w:lvl>
    <w:lvl w:ilvl="6" w:tplc="7514067E">
      <w:start w:val="1"/>
      <w:numFmt w:val="bullet"/>
      <w:lvlText w:val=""/>
      <w:lvlJc w:val="left"/>
      <w:pPr>
        <w:ind w:left="4680" w:hanging="360"/>
      </w:pPr>
      <w:rPr>
        <w:rFonts w:ascii="Symbol" w:hAnsi="Symbol" w:hint="default"/>
      </w:rPr>
    </w:lvl>
    <w:lvl w:ilvl="7" w:tplc="81FAB640">
      <w:start w:val="1"/>
      <w:numFmt w:val="bullet"/>
      <w:lvlText w:val="o"/>
      <w:lvlJc w:val="left"/>
      <w:pPr>
        <w:ind w:left="5400" w:hanging="360"/>
      </w:pPr>
      <w:rPr>
        <w:rFonts w:ascii="Courier New" w:hAnsi="Courier New" w:hint="default"/>
      </w:rPr>
    </w:lvl>
    <w:lvl w:ilvl="8" w:tplc="2778A3E0">
      <w:start w:val="1"/>
      <w:numFmt w:val="bullet"/>
      <w:lvlText w:val=""/>
      <w:lvlJc w:val="left"/>
      <w:pPr>
        <w:ind w:left="6120" w:hanging="360"/>
      </w:pPr>
      <w:rPr>
        <w:rFonts w:ascii="Wingdings" w:hAnsi="Wingdings" w:hint="default"/>
      </w:rPr>
    </w:lvl>
  </w:abstractNum>
  <w:abstractNum w:abstractNumId="23" w15:restartNumberingAfterBreak="0">
    <w:nsid w:val="3A27D6C0"/>
    <w:multiLevelType w:val="hybridMultilevel"/>
    <w:tmpl w:val="8730CB14"/>
    <w:lvl w:ilvl="0" w:tplc="3E6074BE">
      <w:start w:val="1"/>
      <w:numFmt w:val="bullet"/>
      <w:lvlText w:val=""/>
      <w:lvlJc w:val="left"/>
      <w:pPr>
        <w:ind w:left="360" w:hanging="360"/>
      </w:pPr>
      <w:rPr>
        <w:rFonts w:ascii="Symbol" w:hAnsi="Symbol" w:hint="default"/>
      </w:rPr>
    </w:lvl>
    <w:lvl w:ilvl="1" w:tplc="39249A50">
      <w:start w:val="1"/>
      <w:numFmt w:val="bullet"/>
      <w:lvlText w:val="o"/>
      <w:lvlJc w:val="left"/>
      <w:pPr>
        <w:ind w:left="1080" w:hanging="360"/>
      </w:pPr>
      <w:rPr>
        <w:rFonts w:ascii="Courier New" w:hAnsi="Courier New" w:hint="default"/>
      </w:rPr>
    </w:lvl>
    <w:lvl w:ilvl="2" w:tplc="56E630A8">
      <w:start w:val="1"/>
      <w:numFmt w:val="bullet"/>
      <w:lvlText w:val=""/>
      <w:lvlJc w:val="left"/>
      <w:pPr>
        <w:ind w:left="1800" w:hanging="360"/>
      </w:pPr>
      <w:rPr>
        <w:rFonts w:ascii="Wingdings" w:hAnsi="Wingdings" w:hint="default"/>
      </w:rPr>
    </w:lvl>
    <w:lvl w:ilvl="3" w:tplc="1638AAB4">
      <w:start w:val="1"/>
      <w:numFmt w:val="bullet"/>
      <w:lvlText w:val=""/>
      <w:lvlJc w:val="left"/>
      <w:pPr>
        <w:ind w:left="2520" w:hanging="360"/>
      </w:pPr>
      <w:rPr>
        <w:rFonts w:ascii="Symbol" w:hAnsi="Symbol" w:hint="default"/>
      </w:rPr>
    </w:lvl>
    <w:lvl w:ilvl="4" w:tplc="578CF576">
      <w:start w:val="1"/>
      <w:numFmt w:val="bullet"/>
      <w:lvlText w:val="o"/>
      <w:lvlJc w:val="left"/>
      <w:pPr>
        <w:ind w:left="3240" w:hanging="360"/>
      </w:pPr>
      <w:rPr>
        <w:rFonts w:ascii="Courier New" w:hAnsi="Courier New" w:hint="default"/>
      </w:rPr>
    </w:lvl>
    <w:lvl w:ilvl="5" w:tplc="32DEF30E">
      <w:start w:val="1"/>
      <w:numFmt w:val="bullet"/>
      <w:lvlText w:val=""/>
      <w:lvlJc w:val="left"/>
      <w:pPr>
        <w:ind w:left="3960" w:hanging="360"/>
      </w:pPr>
      <w:rPr>
        <w:rFonts w:ascii="Wingdings" w:hAnsi="Wingdings" w:hint="default"/>
      </w:rPr>
    </w:lvl>
    <w:lvl w:ilvl="6" w:tplc="1336535A">
      <w:start w:val="1"/>
      <w:numFmt w:val="bullet"/>
      <w:lvlText w:val=""/>
      <w:lvlJc w:val="left"/>
      <w:pPr>
        <w:ind w:left="4680" w:hanging="360"/>
      </w:pPr>
      <w:rPr>
        <w:rFonts w:ascii="Symbol" w:hAnsi="Symbol" w:hint="default"/>
      </w:rPr>
    </w:lvl>
    <w:lvl w:ilvl="7" w:tplc="0F2A308E">
      <w:start w:val="1"/>
      <w:numFmt w:val="bullet"/>
      <w:lvlText w:val="o"/>
      <w:lvlJc w:val="left"/>
      <w:pPr>
        <w:ind w:left="5400" w:hanging="360"/>
      </w:pPr>
      <w:rPr>
        <w:rFonts w:ascii="Courier New" w:hAnsi="Courier New" w:hint="default"/>
      </w:rPr>
    </w:lvl>
    <w:lvl w:ilvl="8" w:tplc="1C76389C">
      <w:start w:val="1"/>
      <w:numFmt w:val="bullet"/>
      <w:lvlText w:val=""/>
      <w:lvlJc w:val="left"/>
      <w:pPr>
        <w:ind w:left="6120" w:hanging="360"/>
      </w:pPr>
      <w:rPr>
        <w:rFonts w:ascii="Wingdings" w:hAnsi="Wingdings" w:hint="default"/>
      </w:rPr>
    </w:lvl>
  </w:abstractNum>
  <w:abstractNum w:abstractNumId="24" w15:restartNumberingAfterBreak="0">
    <w:nsid w:val="3BF4918B"/>
    <w:multiLevelType w:val="hybridMultilevel"/>
    <w:tmpl w:val="EAFC445A"/>
    <w:lvl w:ilvl="0" w:tplc="B9162C06">
      <w:start w:val="1"/>
      <w:numFmt w:val="bullet"/>
      <w:lvlText w:val=""/>
      <w:lvlJc w:val="left"/>
      <w:pPr>
        <w:ind w:left="720" w:hanging="360"/>
      </w:pPr>
      <w:rPr>
        <w:rFonts w:ascii="Symbol" w:hAnsi="Symbol" w:hint="default"/>
      </w:rPr>
    </w:lvl>
    <w:lvl w:ilvl="1" w:tplc="6AA604CE">
      <w:start w:val="1"/>
      <w:numFmt w:val="bullet"/>
      <w:lvlText w:val="o"/>
      <w:lvlJc w:val="left"/>
      <w:pPr>
        <w:ind w:left="1440" w:hanging="360"/>
      </w:pPr>
      <w:rPr>
        <w:rFonts w:ascii="Courier New" w:hAnsi="Courier New" w:hint="default"/>
      </w:rPr>
    </w:lvl>
    <w:lvl w:ilvl="2" w:tplc="C2E8E75A">
      <w:start w:val="1"/>
      <w:numFmt w:val="bullet"/>
      <w:lvlText w:val=""/>
      <w:lvlJc w:val="left"/>
      <w:pPr>
        <w:ind w:left="2160" w:hanging="360"/>
      </w:pPr>
      <w:rPr>
        <w:rFonts w:ascii="Wingdings" w:hAnsi="Wingdings" w:hint="default"/>
      </w:rPr>
    </w:lvl>
    <w:lvl w:ilvl="3" w:tplc="1BB65E40">
      <w:start w:val="1"/>
      <w:numFmt w:val="bullet"/>
      <w:lvlText w:val=""/>
      <w:lvlJc w:val="left"/>
      <w:pPr>
        <w:ind w:left="2880" w:hanging="360"/>
      </w:pPr>
      <w:rPr>
        <w:rFonts w:ascii="Symbol" w:hAnsi="Symbol" w:hint="default"/>
      </w:rPr>
    </w:lvl>
    <w:lvl w:ilvl="4" w:tplc="4EE2B926">
      <w:start w:val="1"/>
      <w:numFmt w:val="bullet"/>
      <w:lvlText w:val="o"/>
      <w:lvlJc w:val="left"/>
      <w:pPr>
        <w:ind w:left="3600" w:hanging="360"/>
      </w:pPr>
      <w:rPr>
        <w:rFonts w:ascii="Courier New" w:hAnsi="Courier New" w:hint="default"/>
      </w:rPr>
    </w:lvl>
    <w:lvl w:ilvl="5" w:tplc="9F60BB7E">
      <w:start w:val="1"/>
      <w:numFmt w:val="bullet"/>
      <w:lvlText w:val=""/>
      <w:lvlJc w:val="left"/>
      <w:pPr>
        <w:ind w:left="4320" w:hanging="360"/>
      </w:pPr>
      <w:rPr>
        <w:rFonts w:ascii="Wingdings" w:hAnsi="Wingdings" w:hint="default"/>
      </w:rPr>
    </w:lvl>
    <w:lvl w:ilvl="6" w:tplc="8A9E5C38">
      <w:start w:val="1"/>
      <w:numFmt w:val="bullet"/>
      <w:lvlText w:val=""/>
      <w:lvlJc w:val="left"/>
      <w:pPr>
        <w:ind w:left="5040" w:hanging="360"/>
      </w:pPr>
      <w:rPr>
        <w:rFonts w:ascii="Symbol" w:hAnsi="Symbol" w:hint="default"/>
      </w:rPr>
    </w:lvl>
    <w:lvl w:ilvl="7" w:tplc="6C520A60">
      <w:start w:val="1"/>
      <w:numFmt w:val="bullet"/>
      <w:lvlText w:val="o"/>
      <w:lvlJc w:val="left"/>
      <w:pPr>
        <w:ind w:left="5760" w:hanging="360"/>
      </w:pPr>
      <w:rPr>
        <w:rFonts w:ascii="Courier New" w:hAnsi="Courier New" w:hint="default"/>
      </w:rPr>
    </w:lvl>
    <w:lvl w:ilvl="8" w:tplc="7400A55C">
      <w:start w:val="1"/>
      <w:numFmt w:val="bullet"/>
      <w:lvlText w:val=""/>
      <w:lvlJc w:val="left"/>
      <w:pPr>
        <w:ind w:left="6480" w:hanging="360"/>
      </w:pPr>
      <w:rPr>
        <w:rFonts w:ascii="Wingdings" w:hAnsi="Wingdings" w:hint="default"/>
      </w:rPr>
    </w:lvl>
  </w:abstractNum>
  <w:abstractNum w:abstractNumId="25" w15:restartNumberingAfterBreak="0">
    <w:nsid w:val="3E565DF0"/>
    <w:multiLevelType w:val="hybridMultilevel"/>
    <w:tmpl w:val="8D3A9366"/>
    <w:lvl w:ilvl="0" w:tplc="4BCC23B6">
      <w:start w:val="1"/>
      <w:numFmt w:val="bullet"/>
      <w:lvlText w:val=""/>
      <w:lvlJc w:val="left"/>
      <w:pPr>
        <w:ind w:left="360" w:hanging="360"/>
      </w:pPr>
      <w:rPr>
        <w:rFonts w:ascii="Symbol" w:hAnsi="Symbol" w:hint="default"/>
      </w:rPr>
    </w:lvl>
    <w:lvl w:ilvl="1" w:tplc="3E8CD7B8">
      <w:start w:val="1"/>
      <w:numFmt w:val="bullet"/>
      <w:lvlText w:val="o"/>
      <w:lvlJc w:val="left"/>
      <w:pPr>
        <w:ind w:left="1080" w:hanging="360"/>
      </w:pPr>
      <w:rPr>
        <w:rFonts w:ascii="Courier New" w:hAnsi="Courier New" w:hint="default"/>
      </w:rPr>
    </w:lvl>
    <w:lvl w:ilvl="2" w:tplc="4844B5C0">
      <w:start w:val="1"/>
      <w:numFmt w:val="bullet"/>
      <w:lvlText w:val=""/>
      <w:lvlJc w:val="left"/>
      <w:pPr>
        <w:ind w:left="1800" w:hanging="360"/>
      </w:pPr>
      <w:rPr>
        <w:rFonts w:ascii="Wingdings" w:hAnsi="Wingdings" w:hint="default"/>
      </w:rPr>
    </w:lvl>
    <w:lvl w:ilvl="3" w:tplc="11B0F26C">
      <w:start w:val="1"/>
      <w:numFmt w:val="bullet"/>
      <w:lvlText w:val=""/>
      <w:lvlJc w:val="left"/>
      <w:pPr>
        <w:ind w:left="2520" w:hanging="360"/>
      </w:pPr>
      <w:rPr>
        <w:rFonts w:ascii="Symbol" w:hAnsi="Symbol" w:hint="default"/>
      </w:rPr>
    </w:lvl>
    <w:lvl w:ilvl="4" w:tplc="C936C2B0">
      <w:start w:val="1"/>
      <w:numFmt w:val="bullet"/>
      <w:lvlText w:val="o"/>
      <w:lvlJc w:val="left"/>
      <w:pPr>
        <w:ind w:left="3240" w:hanging="360"/>
      </w:pPr>
      <w:rPr>
        <w:rFonts w:ascii="Courier New" w:hAnsi="Courier New" w:hint="default"/>
      </w:rPr>
    </w:lvl>
    <w:lvl w:ilvl="5" w:tplc="58505338">
      <w:start w:val="1"/>
      <w:numFmt w:val="bullet"/>
      <w:lvlText w:val=""/>
      <w:lvlJc w:val="left"/>
      <w:pPr>
        <w:ind w:left="3960" w:hanging="360"/>
      </w:pPr>
      <w:rPr>
        <w:rFonts w:ascii="Wingdings" w:hAnsi="Wingdings" w:hint="default"/>
      </w:rPr>
    </w:lvl>
    <w:lvl w:ilvl="6" w:tplc="F39EA1E0">
      <w:start w:val="1"/>
      <w:numFmt w:val="bullet"/>
      <w:lvlText w:val=""/>
      <w:lvlJc w:val="left"/>
      <w:pPr>
        <w:ind w:left="4680" w:hanging="360"/>
      </w:pPr>
      <w:rPr>
        <w:rFonts w:ascii="Symbol" w:hAnsi="Symbol" w:hint="default"/>
      </w:rPr>
    </w:lvl>
    <w:lvl w:ilvl="7" w:tplc="B484A5E4">
      <w:start w:val="1"/>
      <w:numFmt w:val="bullet"/>
      <w:lvlText w:val="o"/>
      <w:lvlJc w:val="left"/>
      <w:pPr>
        <w:ind w:left="5400" w:hanging="360"/>
      </w:pPr>
      <w:rPr>
        <w:rFonts w:ascii="Courier New" w:hAnsi="Courier New" w:hint="default"/>
      </w:rPr>
    </w:lvl>
    <w:lvl w:ilvl="8" w:tplc="A5647370">
      <w:start w:val="1"/>
      <w:numFmt w:val="bullet"/>
      <w:lvlText w:val=""/>
      <w:lvlJc w:val="left"/>
      <w:pPr>
        <w:ind w:left="6120" w:hanging="360"/>
      </w:pPr>
      <w:rPr>
        <w:rFonts w:ascii="Wingdings" w:hAnsi="Wingdings" w:hint="default"/>
      </w:rPr>
    </w:lvl>
  </w:abstractNum>
  <w:abstractNum w:abstractNumId="26" w15:restartNumberingAfterBreak="0">
    <w:nsid w:val="47D79E0B"/>
    <w:multiLevelType w:val="hybridMultilevel"/>
    <w:tmpl w:val="31482566"/>
    <w:lvl w:ilvl="0" w:tplc="086A4E52">
      <w:start w:val="1"/>
      <w:numFmt w:val="bullet"/>
      <w:lvlText w:val=""/>
      <w:lvlJc w:val="left"/>
      <w:pPr>
        <w:ind w:left="720" w:hanging="360"/>
      </w:pPr>
      <w:rPr>
        <w:rFonts w:ascii="Symbol" w:hAnsi="Symbol" w:hint="default"/>
      </w:rPr>
    </w:lvl>
    <w:lvl w:ilvl="1" w:tplc="F482E138">
      <w:start w:val="1"/>
      <w:numFmt w:val="bullet"/>
      <w:lvlText w:val="o"/>
      <w:lvlJc w:val="left"/>
      <w:pPr>
        <w:ind w:left="1440" w:hanging="360"/>
      </w:pPr>
      <w:rPr>
        <w:rFonts w:ascii="Courier New" w:hAnsi="Courier New" w:hint="default"/>
      </w:rPr>
    </w:lvl>
    <w:lvl w:ilvl="2" w:tplc="E0C8D9B0">
      <w:start w:val="1"/>
      <w:numFmt w:val="bullet"/>
      <w:lvlText w:val=""/>
      <w:lvlJc w:val="left"/>
      <w:pPr>
        <w:ind w:left="2160" w:hanging="360"/>
      </w:pPr>
      <w:rPr>
        <w:rFonts w:ascii="Wingdings" w:hAnsi="Wingdings" w:hint="default"/>
      </w:rPr>
    </w:lvl>
    <w:lvl w:ilvl="3" w:tplc="EA10FC9E">
      <w:start w:val="1"/>
      <w:numFmt w:val="bullet"/>
      <w:lvlText w:val=""/>
      <w:lvlJc w:val="left"/>
      <w:pPr>
        <w:ind w:left="2880" w:hanging="360"/>
      </w:pPr>
      <w:rPr>
        <w:rFonts w:ascii="Symbol" w:hAnsi="Symbol" w:hint="default"/>
      </w:rPr>
    </w:lvl>
    <w:lvl w:ilvl="4" w:tplc="E47A9C90">
      <w:start w:val="1"/>
      <w:numFmt w:val="bullet"/>
      <w:lvlText w:val="o"/>
      <w:lvlJc w:val="left"/>
      <w:pPr>
        <w:ind w:left="3600" w:hanging="360"/>
      </w:pPr>
      <w:rPr>
        <w:rFonts w:ascii="Courier New" w:hAnsi="Courier New" w:hint="default"/>
      </w:rPr>
    </w:lvl>
    <w:lvl w:ilvl="5" w:tplc="A5C63AC4">
      <w:start w:val="1"/>
      <w:numFmt w:val="bullet"/>
      <w:lvlText w:val=""/>
      <w:lvlJc w:val="left"/>
      <w:pPr>
        <w:ind w:left="4320" w:hanging="360"/>
      </w:pPr>
      <w:rPr>
        <w:rFonts w:ascii="Wingdings" w:hAnsi="Wingdings" w:hint="default"/>
      </w:rPr>
    </w:lvl>
    <w:lvl w:ilvl="6" w:tplc="BDFCEC6E">
      <w:start w:val="1"/>
      <w:numFmt w:val="bullet"/>
      <w:lvlText w:val=""/>
      <w:lvlJc w:val="left"/>
      <w:pPr>
        <w:ind w:left="5040" w:hanging="360"/>
      </w:pPr>
      <w:rPr>
        <w:rFonts w:ascii="Symbol" w:hAnsi="Symbol" w:hint="default"/>
      </w:rPr>
    </w:lvl>
    <w:lvl w:ilvl="7" w:tplc="C568E112">
      <w:start w:val="1"/>
      <w:numFmt w:val="bullet"/>
      <w:lvlText w:val="o"/>
      <w:lvlJc w:val="left"/>
      <w:pPr>
        <w:ind w:left="5760" w:hanging="360"/>
      </w:pPr>
      <w:rPr>
        <w:rFonts w:ascii="Courier New" w:hAnsi="Courier New" w:hint="default"/>
      </w:rPr>
    </w:lvl>
    <w:lvl w:ilvl="8" w:tplc="19A051BA">
      <w:start w:val="1"/>
      <w:numFmt w:val="bullet"/>
      <w:lvlText w:val=""/>
      <w:lvlJc w:val="left"/>
      <w:pPr>
        <w:ind w:left="6480" w:hanging="360"/>
      </w:pPr>
      <w:rPr>
        <w:rFonts w:ascii="Wingdings" w:hAnsi="Wingdings" w:hint="default"/>
      </w:rPr>
    </w:lvl>
  </w:abstractNum>
  <w:abstractNum w:abstractNumId="27" w15:restartNumberingAfterBreak="0">
    <w:nsid w:val="4C872FF4"/>
    <w:multiLevelType w:val="hybridMultilevel"/>
    <w:tmpl w:val="61C2B5A0"/>
    <w:lvl w:ilvl="0" w:tplc="2E90B8F0">
      <w:start w:val="1"/>
      <w:numFmt w:val="bullet"/>
      <w:lvlText w:val=""/>
      <w:lvlJc w:val="left"/>
      <w:pPr>
        <w:ind w:left="360" w:hanging="360"/>
      </w:pPr>
      <w:rPr>
        <w:rFonts w:ascii="Symbol" w:hAnsi="Symbol" w:hint="default"/>
      </w:rPr>
    </w:lvl>
    <w:lvl w:ilvl="1" w:tplc="56008EA6">
      <w:start w:val="1"/>
      <w:numFmt w:val="bullet"/>
      <w:lvlText w:val="o"/>
      <w:lvlJc w:val="left"/>
      <w:pPr>
        <w:ind w:left="1080" w:hanging="360"/>
      </w:pPr>
      <w:rPr>
        <w:rFonts w:ascii="Courier New" w:hAnsi="Courier New" w:hint="default"/>
      </w:rPr>
    </w:lvl>
    <w:lvl w:ilvl="2" w:tplc="F9BA1604">
      <w:start w:val="1"/>
      <w:numFmt w:val="bullet"/>
      <w:lvlText w:val=""/>
      <w:lvlJc w:val="left"/>
      <w:pPr>
        <w:ind w:left="1800" w:hanging="360"/>
      </w:pPr>
      <w:rPr>
        <w:rFonts w:ascii="Wingdings" w:hAnsi="Wingdings" w:hint="default"/>
      </w:rPr>
    </w:lvl>
    <w:lvl w:ilvl="3" w:tplc="E4C2AB92">
      <w:start w:val="1"/>
      <w:numFmt w:val="bullet"/>
      <w:lvlText w:val=""/>
      <w:lvlJc w:val="left"/>
      <w:pPr>
        <w:ind w:left="2520" w:hanging="360"/>
      </w:pPr>
      <w:rPr>
        <w:rFonts w:ascii="Symbol" w:hAnsi="Symbol" w:hint="default"/>
      </w:rPr>
    </w:lvl>
    <w:lvl w:ilvl="4" w:tplc="6B1446A2">
      <w:start w:val="1"/>
      <w:numFmt w:val="bullet"/>
      <w:lvlText w:val="o"/>
      <w:lvlJc w:val="left"/>
      <w:pPr>
        <w:ind w:left="3240" w:hanging="360"/>
      </w:pPr>
      <w:rPr>
        <w:rFonts w:ascii="Courier New" w:hAnsi="Courier New" w:hint="default"/>
      </w:rPr>
    </w:lvl>
    <w:lvl w:ilvl="5" w:tplc="423C8B86">
      <w:start w:val="1"/>
      <w:numFmt w:val="bullet"/>
      <w:lvlText w:val=""/>
      <w:lvlJc w:val="left"/>
      <w:pPr>
        <w:ind w:left="3960" w:hanging="360"/>
      </w:pPr>
      <w:rPr>
        <w:rFonts w:ascii="Wingdings" w:hAnsi="Wingdings" w:hint="default"/>
      </w:rPr>
    </w:lvl>
    <w:lvl w:ilvl="6" w:tplc="38048216">
      <w:start w:val="1"/>
      <w:numFmt w:val="bullet"/>
      <w:lvlText w:val=""/>
      <w:lvlJc w:val="left"/>
      <w:pPr>
        <w:ind w:left="4680" w:hanging="360"/>
      </w:pPr>
      <w:rPr>
        <w:rFonts w:ascii="Symbol" w:hAnsi="Symbol" w:hint="default"/>
      </w:rPr>
    </w:lvl>
    <w:lvl w:ilvl="7" w:tplc="1E784CB6">
      <w:start w:val="1"/>
      <w:numFmt w:val="bullet"/>
      <w:lvlText w:val="o"/>
      <w:lvlJc w:val="left"/>
      <w:pPr>
        <w:ind w:left="5400" w:hanging="360"/>
      </w:pPr>
      <w:rPr>
        <w:rFonts w:ascii="Courier New" w:hAnsi="Courier New" w:hint="default"/>
      </w:rPr>
    </w:lvl>
    <w:lvl w:ilvl="8" w:tplc="601CA96C">
      <w:start w:val="1"/>
      <w:numFmt w:val="bullet"/>
      <w:lvlText w:val=""/>
      <w:lvlJc w:val="left"/>
      <w:pPr>
        <w:ind w:left="6120" w:hanging="360"/>
      </w:pPr>
      <w:rPr>
        <w:rFonts w:ascii="Wingdings" w:hAnsi="Wingdings" w:hint="default"/>
      </w:rPr>
    </w:lvl>
  </w:abstractNum>
  <w:abstractNum w:abstractNumId="28" w15:restartNumberingAfterBreak="0">
    <w:nsid w:val="4D77C8D0"/>
    <w:multiLevelType w:val="hybridMultilevel"/>
    <w:tmpl w:val="2612D59E"/>
    <w:lvl w:ilvl="0" w:tplc="CAB8A94C">
      <w:start w:val="1"/>
      <w:numFmt w:val="bullet"/>
      <w:lvlText w:val=""/>
      <w:lvlJc w:val="left"/>
      <w:pPr>
        <w:ind w:left="360" w:hanging="360"/>
      </w:pPr>
      <w:rPr>
        <w:rFonts w:ascii="Symbol" w:hAnsi="Symbol" w:hint="default"/>
      </w:rPr>
    </w:lvl>
    <w:lvl w:ilvl="1" w:tplc="4562304C">
      <w:start w:val="1"/>
      <w:numFmt w:val="bullet"/>
      <w:lvlText w:val="o"/>
      <w:lvlJc w:val="left"/>
      <w:pPr>
        <w:ind w:left="1080" w:hanging="360"/>
      </w:pPr>
      <w:rPr>
        <w:rFonts w:ascii="Courier New" w:hAnsi="Courier New" w:hint="default"/>
      </w:rPr>
    </w:lvl>
    <w:lvl w:ilvl="2" w:tplc="4A0AEE48">
      <w:start w:val="1"/>
      <w:numFmt w:val="bullet"/>
      <w:lvlText w:val=""/>
      <w:lvlJc w:val="left"/>
      <w:pPr>
        <w:ind w:left="1800" w:hanging="360"/>
      </w:pPr>
      <w:rPr>
        <w:rFonts w:ascii="Wingdings" w:hAnsi="Wingdings" w:hint="default"/>
      </w:rPr>
    </w:lvl>
    <w:lvl w:ilvl="3" w:tplc="E5242F52">
      <w:start w:val="1"/>
      <w:numFmt w:val="bullet"/>
      <w:lvlText w:val=""/>
      <w:lvlJc w:val="left"/>
      <w:pPr>
        <w:ind w:left="2520" w:hanging="360"/>
      </w:pPr>
      <w:rPr>
        <w:rFonts w:ascii="Symbol" w:hAnsi="Symbol" w:hint="default"/>
      </w:rPr>
    </w:lvl>
    <w:lvl w:ilvl="4" w:tplc="C90EA1FA">
      <w:start w:val="1"/>
      <w:numFmt w:val="bullet"/>
      <w:lvlText w:val="o"/>
      <w:lvlJc w:val="left"/>
      <w:pPr>
        <w:ind w:left="3240" w:hanging="360"/>
      </w:pPr>
      <w:rPr>
        <w:rFonts w:ascii="Courier New" w:hAnsi="Courier New" w:hint="default"/>
      </w:rPr>
    </w:lvl>
    <w:lvl w:ilvl="5" w:tplc="9FDC3230">
      <w:start w:val="1"/>
      <w:numFmt w:val="bullet"/>
      <w:lvlText w:val=""/>
      <w:lvlJc w:val="left"/>
      <w:pPr>
        <w:ind w:left="3960" w:hanging="360"/>
      </w:pPr>
      <w:rPr>
        <w:rFonts w:ascii="Wingdings" w:hAnsi="Wingdings" w:hint="default"/>
      </w:rPr>
    </w:lvl>
    <w:lvl w:ilvl="6" w:tplc="A6603316">
      <w:start w:val="1"/>
      <w:numFmt w:val="bullet"/>
      <w:lvlText w:val=""/>
      <w:lvlJc w:val="left"/>
      <w:pPr>
        <w:ind w:left="4680" w:hanging="360"/>
      </w:pPr>
      <w:rPr>
        <w:rFonts w:ascii="Symbol" w:hAnsi="Symbol" w:hint="default"/>
      </w:rPr>
    </w:lvl>
    <w:lvl w:ilvl="7" w:tplc="62F01966">
      <w:start w:val="1"/>
      <w:numFmt w:val="bullet"/>
      <w:lvlText w:val="o"/>
      <w:lvlJc w:val="left"/>
      <w:pPr>
        <w:ind w:left="5400" w:hanging="360"/>
      </w:pPr>
      <w:rPr>
        <w:rFonts w:ascii="Courier New" w:hAnsi="Courier New" w:hint="default"/>
      </w:rPr>
    </w:lvl>
    <w:lvl w:ilvl="8" w:tplc="E634FCCA">
      <w:start w:val="1"/>
      <w:numFmt w:val="bullet"/>
      <w:lvlText w:val=""/>
      <w:lvlJc w:val="left"/>
      <w:pPr>
        <w:ind w:left="6120" w:hanging="360"/>
      </w:pPr>
      <w:rPr>
        <w:rFonts w:ascii="Wingdings" w:hAnsi="Wingdings" w:hint="default"/>
      </w:rPr>
    </w:lvl>
  </w:abstractNum>
  <w:abstractNum w:abstractNumId="29" w15:restartNumberingAfterBreak="0">
    <w:nsid w:val="51F17C08"/>
    <w:multiLevelType w:val="hybridMultilevel"/>
    <w:tmpl w:val="62769E14"/>
    <w:lvl w:ilvl="0" w:tplc="F0D4A042">
      <w:start w:val="1"/>
      <w:numFmt w:val="bullet"/>
      <w:lvlText w:val=""/>
      <w:lvlJc w:val="left"/>
      <w:pPr>
        <w:ind w:left="720" w:hanging="360"/>
      </w:pPr>
      <w:rPr>
        <w:rFonts w:ascii="Symbol" w:hAnsi="Symbol" w:hint="default"/>
      </w:rPr>
    </w:lvl>
    <w:lvl w:ilvl="1" w:tplc="6F00F092">
      <w:start w:val="1"/>
      <w:numFmt w:val="bullet"/>
      <w:lvlText w:val="o"/>
      <w:lvlJc w:val="left"/>
      <w:pPr>
        <w:ind w:left="1440" w:hanging="360"/>
      </w:pPr>
      <w:rPr>
        <w:rFonts w:ascii="Courier New" w:hAnsi="Courier New" w:hint="default"/>
      </w:rPr>
    </w:lvl>
    <w:lvl w:ilvl="2" w:tplc="B20019CA">
      <w:start w:val="1"/>
      <w:numFmt w:val="bullet"/>
      <w:lvlText w:val=""/>
      <w:lvlJc w:val="left"/>
      <w:pPr>
        <w:ind w:left="2160" w:hanging="360"/>
      </w:pPr>
      <w:rPr>
        <w:rFonts w:ascii="Wingdings" w:hAnsi="Wingdings" w:hint="default"/>
      </w:rPr>
    </w:lvl>
    <w:lvl w:ilvl="3" w:tplc="D5A25576">
      <w:start w:val="1"/>
      <w:numFmt w:val="bullet"/>
      <w:lvlText w:val=""/>
      <w:lvlJc w:val="left"/>
      <w:pPr>
        <w:ind w:left="2880" w:hanging="360"/>
      </w:pPr>
      <w:rPr>
        <w:rFonts w:ascii="Symbol" w:hAnsi="Symbol" w:hint="default"/>
      </w:rPr>
    </w:lvl>
    <w:lvl w:ilvl="4" w:tplc="13D4F9FE">
      <w:start w:val="1"/>
      <w:numFmt w:val="bullet"/>
      <w:lvlText w:val="o"/>
      <w:lvlJc w:val="left"/>
      <w:pPr>
        <w:ind w:left="3600" w:hanging="360"/>
      </w:pPr>
      <w:rPr>
        <w:rFonts w:ascii="Courier New" w:hAnsi="Courier New" w:hint="default"/>
      </w:rPr>
    </w:lvl>
    <w:lvl w:ilvl="5" w:tplc="1F9880E2">
      <w:start w:val="1"/>
      <w:numFmt w:val="bullet"/>
      <w:lvlText w:val=""/>
      <w:lvlJc w:val="left"/>
      <w:pPr>
        <w:ind w:left="4320" w:hanging="360"/>
      </w:pPr>
      <w:rPr>
        <w:rFonts w:ascii="Wingdings" w:hAnsi="Wingdings" w:hint="default"/>
      </w:rPr>
    </w:lvl>
    <w:lvl w:ilvl="6" w:tplc="FB36E9AC">
      <w:start w:val="1"/>
      <w:numFmt w:val="bullet"/>
      <w:lvlText w:val=""/>
      <w:lvlJc w:val="left"/>
      <w:pPr>
        <w:ind w:left="5040" w:hanging="360"/>
      </w:pPr>
      <w:rPr>
        <w:rFonts w:ascii="Symbol" w:hAnsi="Symbol" w:hint="default"/>
      </w:rPr>
    </w:lvl>
    <w:lvl w:ilvl="7" w:tplc="0472CBAC">
      <w:start w:val="1"/>
      <w:numFmt w:val="bullet"/>
      <w:lvlText w:val="o"/>
      <w:lvlJc w:val="left"/>
      <w:pPr>
        <w:ind w:left="5760" w:hanging="360"/>
      </w:pPr>
      <w:rPr>
        <w:rFonts w:ascii="Courier New" w:hAnsi="Courier New" w:hint="default"/>
      </w:rPr>
    </w:lvl>
    <w:lvl w:ilvl="8" w:tplc="35F0A4E4">
      <w:start w:val="1"/>
      <w:numFmt w:val="bullet"/>
      <w:lvlText w:val=""/>
      <w:lvlJc w:val="left"/>
      <w:pPr>
        <w:ind w:left="6480" w:hanging="360"/>
      </w:pPr>
      <w:rPr>
        <w:rFonts w:ascii="Wingdings" w:hAnsi="Wingdings" w:hint="default"/>
      </w:rPr>
    </w:lvl>
  </w:abstractNum>
  <w:abstractNum w:abstractNumId="30" w15:restartNumberingAfterBreak="0">
    <w:nsid w:val="53868A89"/>
    <w:multiLevelType w:val="hybridMultilevel"/>
    <w:tmpl w:val="E9E0B4B6"/>
    <w:lvl w:ilvl="0" w:tplc="1E0E7BB8">
      <w:start w:val="1"/>
      <w:numFmt w:val="bullet"/>
      <w:lvlText w:val=""/>
      <w:lvlJc w:val="left"/>
      <w:pPr>
        <w:ind w:left="720" w:hanging="360"/>
      </w:pPr>
      <w:rPr>
        <w:rFonts w:ascii="Symbol" w:hAnsi="Symbol" w:hint="default"/>
      </w:rPr>
    </w:lvl>
    <w:lvl w:ilvl="1" w:tplc="A016DF64">
      <w:start w:val="1"/>
      <w:numFmt w:val="bullet"/>
      <w:lvlText w:val="o"/>
      <w:lvlJc w:val="left"/>
      <w:pPr>
        <w:ind w:left="1440" w:hanging="360"/>
      </w:pPr>
      <w:rPr>
        <w:rFonts w:ascii="Courier New" w:hAnsi="Courier New" w:hint="default"/>
      </w:rPr>
    </w:lvl>
    <w:lvl w:ilvl="2" w:tplc="ADDE966E">
      <w:start w:val="1"/>
      <w:numFmt w:val="bullet"/>
      <w:lvlText w:val=""/>
      <w:lvlJc w:val="left"/>
      <w:pPr>
        <w:ind w:left="2160" w:hanging="360"/>
      </w:pPr>
      <w:rPr>
        <w:rFonts w:ascii="Wingdings" w:hAnsi="Wingdings" w:hint="default"/>
      </w:rPr>
    </w:lvl>
    <w:lvl w:ilvl="3" w:tplc="9CF04FB4">
      <w:start w:val="1"/>
      <w:numFmt w:val="bullet"/>
      <w:lvlText w:val=""/>
      <w:lvlJc w:val="left"/>
      <w:pPr>
        <w:ind w:left="2880" w:hanging="360"/>
      </w:pPr>
      <w:rPr>
        <w:rFonts w:ascii="Symbol" w:hAnsi="Symbol" w:hint="default"/>
      </w:rPr>
    </w:lvl>
    <w:lvl w:ilvl="4" w:tplc="23F4B5AE">
      <w:start w:val="1"/>
      <w:numFmt w:val="bullet"/>
      <w:lvlText w:val="o"/>
      <w:lvlJc w:val="left"/>
      <w:pPr>
        <w:ind w:left="3600" w:hanging="360"/>
      </w:pPr>
      <w:rPr>
        <w:rFonts w:ascii="Courier New" w:hAnsi="Courier New" w:hint="default"/>
      </w:rPr>
    </w:lvl>
    <w:lvl w:ilvl="5" w:tplc="73006712">
      <w:start w:val="1"/>
      <w:numFmt w:val="bullet"/>
      <w:lvlText w:val=""/>
      <w:lvlJc w:val="left"/>
      <w:pPr>
        <w:ind w:left="4320" w:hanging="360"/>
      </w:pPr>
      <w:rPr>
        <w:rFonts w:ascii="Wingdings" w:hAnsi="Wingdings" w:hint="default"/>
      </w:rPr>
    </w:lvl>
    <w:lvl w:ilvl="6" w:tplc="8E76BF2C">
      <w:start w:val="1"/>
      <w:numFmt w:val="bullet"/>
      <w:lvlText w:val=""/>
      <w:lvlJc w:val="left"/>
      <w:pPr>
        <w:ind w:left="5040" w:hanging="360"/>
      </w:pPr>
      <w:rPr>
        <w:rFonts w:ascii="Symbol" w:hAnsi="Symbol" w:hint="default"/>
      </w:rPr>
    </w:lvl>
    <w:lvl w:ilvl="7" w:tplc="B254EAF0">
      <w:start w:val="1"/>
      <w:numFmt w:val="bullet"/>
      <w:lvlText w:val="o"/>
      <w:lvlJc w:val="left"/>
      <w:pPr>
        <w:ind w:left="5760" w:hanging="360"/>
      </w:pPr>
      <w:rPr>
        <w:rFonts w:ascii="Courier New" w:hAnsi="Courier New" w:hint="default"/>
      </w:rPr>
    </w:lvl>
    <w:lvl w:ilvl="8" w:tplc="8DB24D3C">
      <w:start w:val="1"/>
      <w:numFmt w:val="bullet"/>
      <w:lvlText w:val=""/>
      <w:lvlJc w:val="left"/>
      <w:pPr>
        <w:ind w:left="6480" w:hanging="360"/>
      </w:pPr>
      <w:rPr>
        <w:rFonts w:ascii="Wingdings" w:hAnsi="Wingdings" w:hint="default"/>
      </w:rPr>
    </w:lvl>
  </w:abstractNum>
  <w:abstractNum w:abstractNumId="31" w15:restartNumberingAfterBreak="0">
    <w:nsid w:val="70471495"/>
    <w:multiLevelType w:val="hybridMultilevel"/>
    <w:tmpl w:val="DB7A84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1B9A928"/>
    <w:multiLevelType w:val="hybridMultilevel"/>
    <w:tmpl w:val="C2664C86"/>
    <w:lvl w:ilvl="0" w:tplc="2D4280FE">
      <w:start w:val="1"/>
      <w:numFmt w:val="bullet"/>
      <w:lvlText w:val=""/>
      <w:lvlJc w:val="left"/>
      <w:pPr>
        <w:ind w:left="720" w:hanging="360"/>
      </w:pPr>
      <w:rPr>
        <w:rFonts w:ascii="Symbol" w:hAnsi="Symbol" w:hint="default"/>
      </w:rPr>
    </w:lvl>
    <w:lvl w:ilvl="1" w:tplc="10DE92D0">
      <w:start w:val="1"/>
      <w:numFmt w:val="bullet"/>
      <w:lvlText w:val="o"/>
      <w:lvlJc w:val="left"/>
      <w:pPr>
        <w:ind w:left="1440" w:hanging="360"/>
      </w:pPr>
      <w:rPr>
        <w:rFonts w:ascii="Courier New" w:hAnsi="Courier New" w:hint="default"/>
      </w:rPr>
    </w:lvl>
    <w:lvl w:ilvl="2" w:tplc="CBA89E9C">
      <w:start w:val="1"/>
      <w:numFmt w:val="bullet"/>
      <w:lvlText w:val=""/>
      <w:lvlJc w:val="left"/>
      <w:pPr>
        <w:ind w:left="2160" w:hanging="360"/>
      </w:pPr>
      <w:rPr>
        <w:rFonts w:ascii="Wingdings" w:hAnsi="Wingdings" w:hint="default"/>
      </w:rPr>
    </w:lvl>
    <w:lvl w:ilvl="3" w:tplc="4088EEEA">
      <w:start w:val="1"/>
      <w:numFmt w:val="bullet"/>
      <w:lvlText w:val=""/>
      <w:lvlJc w:val="left"/>
      <w:pPr>
        <w:ind w:left="2880" w:hanging="360"/>
      </w:pPr>
      <w:rPr>
        <w:rFonts w:ascii="Symbol" w:hAnsi="Symbol" w:hint="default"/>
      </w:rPr>
    </w:lvl>
    <w:lvl w:ilvl="4" w:tplc="3BFCAFBE">
      <w:start w:val="1"/>
      <w:numFmt w:val="bullet"/>
      <w:lvlText w:val="o"/>
      <w:lvlJc w:val="left"/>
      <w:pPr>
        <w:ind w:left="3600" w:hanging="360"/>
      </w:pPr>
      <w:rPr>
        <w:rFonts w:ascii="Courier New" w:hAnsi="Courier New" w:hint="default"/>
      </w:rPr>
    </w:lvl>
    <w:lvl w:ilvl="5" w:tplc="79B6AEF8">
      <w:start w:val="1"/>
      <w:numFmt w:val="bullet"/>
      <w:lvlText w:val=""/>
      <w:lvlJc w:val="left"/>
      <w:pPr>
        <w:ind w:left="4320" w:hanging="360"/>
      </w:pPr>
      <w:rPr>
        <w:rFonts w:ascii="Wingdings" w:hAnsi="Wingdings" w:hint="default"/>
      </w:rPr>
    </w:lvl>
    <w:lvl w:ilvl="6" w:tplc="00FC2EDA">
      <w:start w:val="1"/>
      <w:numFmt w:val="bullet"/>
      <w:lvlText w:val=""/>
      <w:lvlJc w:val="left"/>
      <w:pPr>
        <w:ind w:left="5040" w:hanging="360"/>
      </w:pPr>
      <w:rPr>
        <w:rFonts w:ascii="Symbol" w:hAnsi="Symbol" w:hint="default"/>
      </w:rPr>
    </w:lvl>
    <w:lvl w:ilvl="7" w:tplc="F05C8278">
      <w:start w:val="1"/>
      <w:numFmt w:val="bullet"/>
      <w:lvlText w:val="o"/>
      <w:lvlJc w:val="left"/>
      <w:pPr>
        <w:ind w:left="5760" w:hanging="360"/>
      </w:pPr>
      <w:rPr>
        <w:rFonts w:ascii="Courier New" w:hAnsi="Courier New" w:hint="default"/>
      </w:rPr>
    </w:lvl>
    <w:lvl w:ilvl="8" w:tplc="97703D7A">
      <w:start w:val="1"/>
      <w:numFmt w:val="bullet"/>
      <w:lvlText w:val=""/>
      <w:lvlJc w:val="left"/>
      <w:pPr>
        <w:ind w:left="6480" w:hanging="360"/>
      </w:pPr>
      <w:rPr>
        <w:rFonts w:ascii="Wingdings" w:hAnsi="Wingdings" w:hint="default"/>
      </w:rPr>
    </w:lvl>
  </w:abstractNum>
  <w:abstractNum w:abstractNumId="33" w15:restartNumberingAfterBreak="0">
    <w:nsid w:val="734A57C4"/>
    <w:multiLevelType w:val="hybridMultilevel"/>
    <w:tmpl w:val="9BFA32EE"/>
    <w:lvl w:ilvl="0" w:tplc="485A0060">
      <w:start w:val="1"/>
      <w:numFmt w:val="bullet"/>
      <w:lvlText w:val=""/>
      <w:lvlJc w:val="left"/>
      <w:pPr>
        <w:ind w:left="720" w:hanging="360"/>
      </w:pPr>
      <w:rPr>
        <w:rFonts w:ascii="Symbol" w:hAnsi="Symbol" w:hint="default"/>
      </w:rPr>
    </w:lvl>
    <w:lvl w:ilvl="1" w:tplc="BEFC7072">
      <w:start w:val="1"/>
      <w:numFmt w:val="bullet"/>
      <w:lvlText w:val="o"/>
      <w:lvlJc w:val="left"/>
      <w:pPr>
        <w:ind w:left="1440" w:hanging="360"/>
      </w:pPr>
      <w:rPr>
        <w:rFonts w:ascii="Courier New" w:hAnsi="Courier New" w:hint="default"/>
      </w:rPr>
    </w:lvl>
    <w:lvl w:ilvl="2" w:tplc="20967068">
      <w:start w:val="1"/>
      <w:numFmt w:val="bullet"/>
      <w:lvlText w:val=""/>
      <w:lvlJc w:val="left"/>
      <w:pPr>
        <w:ind w:left="2160" w:hanging="360"/>
      </w:pPr>
      <w:rPr>
        <w:rFonts w:ascii="Wingdings" w:hAnsi="Wingdings" w:hint="default"/>
      </w:rPr>
    </w:lvl>
    <w:lvl w:ilvl="3" w:tplc="D5F83AAA">
      <w:start w:val="1"/>
      <w:numFmt w:val="bullet"/>
      <w:lvlText w:val=""/>
      <w:lvlJc w:val="left"/>
      <w:pPr>
        <w:ind w:left="2880" w:hanging="360"/>
      </w:pPr>
      <w:rPr>
        <w:rFonts w:ascii="Symbol" w:hAnsi="Symbol" w:hint="default"/>
      </w:rPr>
    </w:lvl>
    <w:lvl w:ilvl="4" w:tplc="D9203B92">
      <w:start w:val="1"/>
      <w:numFmt w:val="bullet"/>
      <w:lvlText w:val="o"/>
      <w:lvlJc w:val="left"/>
      <w:pPr>
        <w:ind w:left="3600" w:hanging="360"/>
      </w:pPr>
      <w:rPr>
        <w:rFonts w:ascii="Courier New" w:hAnsi="Courier New" w:hint="default"/>
      </w:rPr>
    </w:lvl>
    <w:lvl w:ilvl="5" w:tplc="C5D4E4F6">
      <w:start w:val="1"/>
      <w:numFmt w:val="bullet"/>
      <w:lvlText w:val=""/>
      <w:lvlJc w:val="left"/>
      <w:pPr>
        <w:ind w:left="4320" w:hanging="360"/>
      </w:pPr>
      <w:rPr>
        <w:rFonts w:ascii="Wingdings" w:hAnsi="Wingdings" w:hint="default"/>
      </w:rPr>
    </w:lvl>
    <w:lvl w:ilvl="6" w:tplc="4B3A70F8">
      <w:start w:val="1"/>
      <w:numFmt w:val="bullet"/>
      <w:lvlText w:val=""/>
      <w:lvlJc w:val="left"/>
      <w:pPr>
        <w:ind w:left="5040" w:hanging="360"/>
      </w:pPr>
      <w:rPr>
        <w:rFonts w:ascii="Symbol" w:hAnsi="Symbol" w:hint="default"/>
      </w:rPr>
    </w:lvl>
    <w:lvl w:ilvl="7" w:tplc="32704880">
      <w:start w:val="1"/>
      <w:numFmt w:val="bullet"/>
      <w:lvlText w:val="o"/>
      <w:lvlJc w:val="left"/>
      <w:pPr>
        <w:ind w:left="5760" w:hanging="360"/>
      </w:pPr>
      <w:rPr>
        <w:rFonts w:ascii="Courier New" w:hAnsi="Courier New" w:hint="default"/>
      </w:rPr>
    </w:lvl>
    <w:lvl w:ilvl="8" w:tplc="C5225486">
      <w:start w:val="1"/>
      <w:numFmt w:val="bullet"/>
      <w:lvlText w:val=""/>
      <w:lvlJc w:val="left"/>
      <w:pPr>
        <w:ind w:left="6480" w:hanging="360"/>
      </w:pPr>
      <w:rPr>
        <w:rFonts w:ascii="Wingdings" w:hAnsi="Wingdings" w:hint="default"/>
      </w:rPr>
    </w:lvl>
  </w:abstractNum>
  <w:abstractNum w:abstractNumId="34" w15:restartNumberingAfterBreak="0">
    <w:nsid w:val="744A10F3"/>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75F29BF9"/>
    <w:multiLevelType w:val="hybridMultilevel"/>
    <w:tmpl w:val="E6E6C50C"/>
    <w:lvl w:ilvl="0" w:tplc="101E94BE">
      <w:start w:val="1"/>
      <w:numFmt w:val="bullet"/>
      <w:lvlText w:val=""/>
      <w:lvlJc w:val="left"/>
      <w:pPr>
        <w:ind w:left="720" w:hanging="360"/>
      </w:pPr>
      <w:rPr>
        <w:rFonts w:ascii="Symbol" w:hAnsi="Symbol" w:hint="default"/>
      </w:rPr>
    </w:lvl>
    <w:lvl w:ilvl="1" w:tplc="E84C2C3C">
      <w:start w:val="1"/>
      <w:numFmt w:val="bullet"/>
      <w:lvlText w:val="o"/>
      <w:lvlJc w:val="left"/>
      <w:pPr>
        <w:ind w:left="1440" w:hanging="360"/>
      </w:pPr>
      <w:rPr>
        <w:rFonts w:ascii="Courier New" w:hAnsi="Courier New" w:hint="default"/>
      </w:rPr>
    </w:lvl>
    <w:lvl w:ilvl="2" w:tplc="5314B6B6">
      <w:start w:val="1"/>
      <w:numFmt w:val="bullet"/>
      <w:lvlText w:val=""/>
      <w:lvlJc w:val="left"/>
      <w:pPr>
        <w:ind w:left="2160" w:hanging="360"/>
      </w:pPr>
      <w:rPr>
        <w:rFonts w:ascii="Wingdings" w:hAnsi="Wingdings" w:hint="default"/>
      </w:rPr>
    </w:lvl>
    <w:lvl w:ilvl="3" w:tplc="E110DDF4">
      <w:start w:val="1"/>
      <w:numFmt w:val="bullet"/>
      <w:lvlText w:val=""/>
      <w:lvlJc w:val="left"/>
      <w:pPr>
        <w:ind w:left="2880" w:hanging="360"/>
      </w:pPr>
      <w:rPr>
        <w:rFonts w:ascii="Symbol" w:hAnsi="Symbol" w:hint="default"/>
      </w:rPr>
    </w:lvl>
    <w:lvl w:ilvl="4" w:tplc="863AD63C">
      <w:start w:val="1"/>
      <w:numFmt w:val="bullet"/>
      <w:lvlText w:val="o"/>
      <w:lvlJc w:val="left"/>
      <w:pPr>
        <w:ind w:left="3600" w:hanging="360"/>
      </w:pPr>
      <w:rPr>
        <w:rFonts w:ascii="Courier New" w:hAnsi="Courier New" w:hint="default"/>
      </w:rPr>
    </w:lvl>
    <w:lvl w:ilvl="5" w:tplc="74A8DA2A">
      <w:start w:val="1"/>
      <w:numFmt w:val="bullet"/>
      <w:lvlText w:val=""/>
      <w:lvlJc w:val="left"/>
      <w:pPr>
        <w:ind w:left="4320" w:hanging="360"/>
      </w:pPr>
      <w:rPr>
        <w:rFonts w:ascii="Wingdings" w:hAnsi="Wingdings" w:hint="default"/>
      </w:rPr>
    </w:lvl>
    <w:lvl w:ilvl="6" w:tplc="F7669684">
      <w:start w:val="1"/>
      <w:numFmt w:val="bullet"/>
      <w:lvlText w:val=""/>
      <w:lvlJc w:val="left"/>
      <w:pPr>
        <w:ind w:left="5040" w:hanging="360"/>
      </w:pPr>
      <w:rPr>
        <w:rFonts w:ascii="Symbol" w:hAnsi="Symbol" w:hint="default"/>
      </w:rPr>
    </w:lvl>
    <w:lvl w:ilvl="7" w:tplc="ECA07B3C">
      <w:start w:val="1"/>
      <w:numFmt w:val="bullet"/>
      <w:lvlText w:val="o"/>
      <w:lvlJc w:val="left"/>
      <w:pPr>
        <w:ind w:left="5760" w:hanging="360"/>
      </w:pPr>
      <w:rPr>
        <w:rFonts w:ascii="Courier New" w:hAnsi="Courier New" w:hint="default"/>
      </w:rPr>
    </w:lvl>
    <w:lvl w:ilvl="8" w:tplc="0B80AED6">
      <w:start w:val="1"/>
      <w:numFmt w:val="bullet"/>
      <w:lvlText w:val=""/>
      <w:lvlJc w:val="left"/>
      <w:pPr>
        <w:ind w:left="6480" w:hanging="360"/>
      </w:pPr>
      <w:rPr>
        <w:rFonts w:ascii="Wingdings" w:hAnsi="Wingdings" w:hint="default"/>
      </w:rPr>
    </w:lvl>
  </w:abstractNum>
  <w:abstractNum w:abstractNumId="36" w15:restartNumberingAfterBreak="0">
    <w:nsid w:val="76F6E0F1"/>
    <w:multiLevelType w:val="hybridMultilevel"/>
    <w:tmpl w:val="BFDAB26E"/>
    <w:lvl w:ilvl="0" w:tplc="C9F2F4C4">
      <w:start w:val="1"/>
      <w:numFmt w:val="bullet"/>
      <w:lvlText w:val=""/>
      <w:lvlJc w:val="left"/>
      <w:pPr>
        <w:ind w:left="360" w:hanging="360"/>
      </w:pPr>
      <w:rPr>
        <w:rFonts w:ascii="Symbol" w:hAnsi="Symbol" w:hint="default"/>
      </w:rPr>
    </w:lvl>
    <w:lvl w:ilvl="1" w:tplc="9680211E">
      <w:start w:val="1"/>
      <w:numFmt w:val="bullet"/>
      <w:lvlText w:val="o"/>
      <w:lvlJc w:val="left"/>
      <w:pPr>
        <w:ind w:left="1080" w:hanging="360"/>
      </w:pPr>
      <w:rPr>
        <w:rFonts w:ascii="Courier New" w:hAnsi="Courier New" w:hint="default"/>
      </w:rPr>
    </w:lvl>
    <w:lvl w:ilvl="2" w:tplc="F9A4B866">
      <w:start w:val="1"/>
      <w:numFmt w:val="bullet"/>
      <w:lvlText w:val=""/>
      <w:lvlJc w:val="left"/>
      <w:pPr>
        <w:ind w:left="1800" w:hanging="360"/>
      </w:pPr>
      <w:rPr>
        <w:rFonts w:ascii="Wingdings" w:hAnsi="Wingdings" w:hint="default"/>
      </w:rPr>
    </w:lvl>
    <w:lvl w:ilvl="3" w:tplc="AD46F95E">
      <w:start w:val="1"/>
      <w:numFmt w:val="bullet"/>
      <w:lvlText w:val=""/>
      <w:lvlJc w:val="left"/>
      <w:pPr>
        <w:ind w:left="2520" w:hanging="360"/>
      </w:pPr>
      <w:rPr>
        <w:rFonts w:ascii="Symbol" w:hAnsi="Symbol" w:hint="default"/>
      </w:rPr>
    </w:lvl>
    <w:lvl w:ilvl="4" w:tplc="48E4B6A2">
      <w:start w:val="1"/>
      <w:numFmt w:val="bullet"/>
      <w:lvlText w:val="o"/>
      <w:lvlJc w:val="left"/>
      <w:pPr>
        <w:ind w:left="3240" w:hanging="360"/>
      </w:pPr>
      <w:rPr>
        <w:rFonts w:ascii="Courier New" w:hAnsi="Courier New" w:hint="default"/>
      </w:rPr>
    </w:lvl>
    <w:lvl w:ilvl="5" w:tplc="DC7C2F4A">
      <w:start w:val="1"/>
      <w:numFmt w:val="bullet"/>
      <w:lvlText w:val=""/>
      <w:lvlJc w:val="left"/>
      <w:pPr>
        <w:ind w:left="3960" w:hanging="360"/>
      </w:pPr>
      <w:rPr>
        <w:rFonts w:ascii="Wingdings" w:hAnsi="Wingdings" w:hint="default"/>
      </w:rPr>
    </w:lvl>
    <w:lvl w:ilvl="6" w:tplc="7DA22668">
      <w:start w:val="1"/>
      <w:numFmt w:val="bullet"/>
      <w:lvlText w:val=""/>
      <w:lvlJc w:val="left"/>
      <w:pPr>
        <w:ind w:left="4680" w:hanging="360"/>
      </w:pPr>
      <w:rPr>
        <w:rFonts w:ascii="Symbol" w:hAnsi="Symbol" w:hint="default"/>
      </w:rPr>
    </w:lvl>
    <w:lvl w:ilvl="7" w:tplc="D43C9502">
      <w:start w:val="1"/>
      <w:numFmt w:val="bullet"/>
      <w:lvlText w:val="o"/>
      <w:lvlJc w:val="left"/>
      <w:pPr>
        <w:ind w:left="5400" w:hanging="360"/>
      </w:pPr>
      <w:rPr>
        <w:rFonts w:ascii="Courier New" w:hAnsi="Courier New" w:hint="default"/>
      </w:rPr>
    </w:lvl>
    <w:lvl w:ilvl="8" w:tplc="1B724B36">
      <w:start w:val="1"/>
      <w:numFmt w:val="bullet"/>
      <w:lvlText w:val=""/>
      <w:lvlJc w:val="left"/>
      <w:pPr>
        <w:ind w:left="6120" w:hanging="360"/>
      </w:pPr>
      <w:rPr>
        <w:rFonts w:ascii="Wingdings" w:hAnsi="Wingdings" w:hint="default"/>
      </w:rPr>
    </w:lvl>
  </w:abstractNum>
  <w:abstractNum w:abstractNumId="37" w15:restartNumberingAfterBreak="0">
    <w:nsid w:val="7AC11945"/>
    <w:multiLevelType w:val="hybridMultilevel"/>
    <w:tmpl w:val="2E5A95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B9328B5"/>
    <w:multiLevelType w:val="hybridMultilevel"/>
    <w:tmpl w:val="DAAEDC68"/>
    <w:lvl w:ilvl="0" w:tplc="272AE14A">
      <w:start w:val="1"/>
      <w:numFmt w:val="bullet"/>
      <w:lvlText w:val=""/>
      <w:lvlJc w:val="left"/>
      <w:pPr>
        <w:ind w:left="360" w:hanging="360"/>
      </w:pPr>
      <w:rPr>
        <w:rFonts w:ascii="Symbol" w:hAnsi="Symbol" w:hint="default"/>
      </w:rPr>
    </w:lvl>
    <w:lvl w:ilvl="1" w:tplc="5DFE774E">
      <w:start w:val="1"/>
      <w:numFmt w:val="bullet"/>
      <w:lvlText w:val="o"/>
      <w:lvlJc w:val="left"/>
      <w:pPr>
        <w:ind w:left="1080" w:hanging="360"/>
      </w:pPr>
      <w:rPr>
        <w:rFonts w:ascii="Courier New" w:hAnsi="Courier New" w:hint="default"/>
      </w:rPr>
    </w:lvl>
    <w:lvl w:ilvl="2" w:tplc="498026A8">
      <w:start w:val="1"/>
      <w:numFmt w:val="bullet"/>
      <w:lvlText w:val=""/>
      <w:lvlJc w:val="left"/>
      <w:pPr>
        <w:ind w:left="1800" w:hanging="360"/>
      </w:pPr>
      <w:rPr>
        <w:rFonts w:ascii="Wingdings" w:hAnsi="Wingdings" w:hint="default"/>
      </w:rPr>
    </w:lvl>
    <w:lvl w:ilvl="3" w:tplc="7ACEB7A6">
      <w:start w:val="1"/>
      <w:numFmt w:val="bullet"/>
      <w:lvlText w:val=""/>
      <w:lvlJc w:val="left"/>
      <w:pPr>
        <w:ind w:left="2520" w:hanging="360"/>
      </w:pPr>
      <w:rPr>
        <w:rFonts w:ascii="Symbol" w:hAnsi="Symbol" w:hint="default"/>
      </w:rPr>
    </w:lvl>
    <w:lvl w:ilvl="4" w:tplc="E0E8AC38">
      <w:start w:val="1"/>
      <w:numFmt w:val="bullet"/>
      <w:lvlText w:val="o"/>
      <w:lvlJc w:val="left"/>
      <w:pPr>
        <w:ind w:left="3240" w:hanging="360"/>
      </w:pPr>
      <w:rPr>
        <w:rFonts w:ascii="Courier New" w:hAnsi="Courier New" w:hint="default"/>
      </w:rPr>
    </w:lvl>
    <w:lvl w:ilvl="5" w:tplc="7016824E">
      <w:start w:val="1"/>
      <w:numFmt w:val="bullet"/>
      <w:lvlText w:val=""/>
      <w:lvlJc w:val="left"/>
      <w:pPr>
        <w:ind w:left="3960" w:hanging="360"/>
      </w:pPr>
      <w:rPr>
        <w:rFonts w:ascii="Wingdings" w:hAnsi="Wingdings" w:hint="default"/>
      </w:rPr>
    </w:lvl>
    <w:lvl w:ilvl="6" w:tplc="929A840C">
      <w:start w:val="1"/>
      <w:numFmt w:val="bullet"/>
      <w:lvlText w:val=""/>
      <w:lvlJc w:val="left"/>
      <w:pPr>
        <w:ind w:left="4680" w:hanging="360"/>
      </w:pPr>
      <w:rPr>
        <w:rFonts w:ascii="Symbol" w:hAnsi="Symbol" w:hint="default"/>
      </w:rPr>
    </w:lvl>
    <w:lvl w:ilvl="7" w:tplc="480C482C">
      <w:start w:val="1"/>
      <w:numFmt w:val="bullet"/>
      <w:lvlText w:val="o"/>
      <w:lvlJc w:val="left"/>
      <w:pPr>
        <w:ind w:left="5400" w:hanging="360"/>
      </w:pPr>
      <w:rPr>
        <w:rFonts w:ascii="Courier New" w:hAnsi="Courier New" w:hint="default"/>
      </w:rPr>
    </w:lvl>
    <w:lvl w:ilvl="8" w:tplc="26108C4E">
      <w:start w:val="1"/>
      <w:numFmt w:val="bullet"/>
      <w:lvlText w:val=""/>
      <w:lvlJc w:val="left"/>
      <w:pPr>
        <w:ind w:left="6120" w:hanging="360"/>
      </w:pPr>
      <w:rPr>
        <w:rFonts w:ascii="Wingdings" w:hAnsi="Wingdings" w:hint="default"/>
      </w:rPr>
    </w:lvl>
  </w:abstractNum>
  <w:abstractNum w:abstractNumId="39" w15:restartNumberingAfterBreak="0">
    <w:nsid w:val="7D0428F2"/>
    <w:multiLevelType w:val="hybridMultilevel"/>
    <w:tmpl w:val="2EEC6EDC"/>
    <w:lvl w:ilvl="0" w:tplc="8DB02E7A">
      <w:start w:val="1"/>
      <w:numFmt w:val="bullet"/>
      <w:lvlText w:val=""/>
      <w:lvlJc w:val="left"/>
      <w:pPr>
        <w:ind w:left="360" w:hanging="360"/>
      </w:pPr>
      <w:rPr>
        <w:rFonts w:ascii="Symbol" w:hAnsi="Symbol" w:hint="default"/>
      </w:rPr>
    </w:lvl>
    <w:lvl w:ilvl="1" w:tplc="5B1A8934">
      <w:start w:val="1"/>
      <w:numFmt w:val="bullet"/>
      <w:lvlText w:val="o"/>
      <w:lvlJc w:val="left"/>
      <w:pPr>
        <w:ind w:left="1080" w:hanging="360"/>
      </w:pPr>
      <w:rPr>
        <w:rFonts w:ascii="Courier New" w:hAnsi="Courier New" w:hint="default"/>
      </w:rPr>
    </w:lvl>
    <w:lvl w:ilvl="2" w:tplc="0F4E9724">
      <w:start w:val="1"/>
      <w:numFmt w:val="bullet"/>
      <w:lvlText w:val=""/>
      <w:lvlJc w:val="left"/>
      <w:pPr>
        <w:ind w:left="1800" w:hanging="360"/>
      </w:pPr>
      <w:rPr>
        <w:rFonts w:ascii="Wingdings" w:hAnsi="Wingdings" w:hint="default"/>
      </w:rPr>
    </w:lvl>
    <w:lvl w:ilvl="3" w:tplc="CB4E1B56">
      <w:start w:val="1"/>
      <w:numFmt w:val="bullet"/>
      <w:lvlText w:val=""/>
      <w:lvlJc w:val="left"/>
      <w:pPr>
        <w:ind w:left="2520" w:hanging="360"/>
      </w:pPr>
      <w:rPr>
        <w:rFonts w:ascii="Symbol" w:hAnsi="Symbol" w:hint="default"/>
      </w:rPr>
    </w:lvl>
    <w:lvl w:ilvl="4" w:tplc="2CAC251E">
      <w:start w:val="1"/>
      <w:numFmt w:val="bullet"/>
      <w:lvlText w:val="o"/>
      <w:lvlJc w:val="left"/>
      <w:pPr>
        <w:ind w:left="3240" w:hanging="360"/>
      </w:pPr>
      <w:rPr>
        <w:rFonts w:ascii="Courier New" w:hAnsi="Courier New" w:hint="default"/>
      </w:rPr>
    </w:lvl>
    <w:lvl w:ilvl="5" w:tplc="33E404DA">
      <w:start w:val="1"/>
      <w:numFmt w:val="bullet"/>
      <w:lvlText w:val=""/>
      <w:lvlJc w:val="left"/>
      <w:pPr>
        <w:ind w:left="3960" w:hanging="360"/>
      </w:pPr>
      <w:rPr>
        <w:rFonts w:ascii="Wingdings" w:hAnsi="Wingdings" w:hint="default"/>
      </w:rPr>
    </w:lvl>
    <w:lvl w:ilvl="6" w:tplc="A35A4790">
      <w:start w:val="1"/>
      <w:numFmt w:val="bullet"/>
      <w:lvlText w:val=""/>
      <w:lvlJc w:val="left"/>
      <w:pPr>
        <w:ind w:left="4680" w:hanging="360"/>
      </w:pPr>
      <w:rPr>
        <w:rFonts w:ascii="Symbol" w:hAnsi="Symbol" w:hint="default"/>
      </w:rPr>
    </w:lvl>
    <w:lvl w:ilvl="7" w:tplc="CBD4FA00">
      <w:start w:val="1"/>
      <w:numFmt w:val="bullet"/>
      <w:lvlText w:val="o"/>
      <w:lvlJc w:val="left"/>
      <w:pPr>
        <w:ind w:left="5400" w:hanging="360"/>
      </w:pPr>
      <w:rPr>
        <w:rFonts w:ascii="Courier New" w:hAnsi="Courier New" w:hint="default"/>
      </w:rPr>
    </w:lvl>
    <w:lvl w:ilvl="8" w:tplc="84400CA2">
      <w:start w:val="1"/>
      <w:numFmt w:val="bullet"/>
      <w:lvlText w:val=""/>
      <w:lvlJc w:val="left"/>
      <w:pPr>
        <w:ind w:left="6120" w:hanging="360"/>
      </w:pPr>
      <w:rPr>
        <w:rFonts w:ascii="Wingdings" w:hAnsi="Wingdings" w:hint="default"/>
      </w:rPr>
    </w:lvl>
  </w:abstractNum>
  <w:abstractNum w:abstractNumId="40" w15:restartNumberingAfterBreak="0">
    <w:nsid w:val="7D07A2E7"/>
    <w:multiLevelType w:val="hybridMultilevel"/>
    <w:tmpl w:val="86B4357A"/>
    <w:lvl w:ilvl="0" w:tplc="F1A87C04">
      <w:start w:val="1"/>
      <w:numFmt w:val="bullet"/>
      <w:lvlText w:val=""/>
      <w:lvlJc w:val="left"/>
      <w:pPr>
        <w:ind w:left="360" w:hanging="360"/>
      </w:pPr>
      <w:rPr>
        <w:rFonts w:ascii="Symbol" w:hAnsi="Symbol" w:hint="default"/>
      </w:rPr>
    </w:lvl>
    <w:lvl w:ilvl="1" w:tplc="4A1EB7F8">
      <w:start w:val="1"/>
      <w:numFmt w:val="bullet"/>
      <w:lvlText w:val="o"/>
      <w:lvlJc w:val="left"/>
      <w:pPr>
        <w:ind w:left="1080" w:hanging="360"/>
      </w:pPr>
      <w:rPr>
        <w:rFonts w:ascii="Courier New" w:hAnsi="Courier New" w:hint="default"/>
      </w:rPr>
    </w:lvl>
    <w:lvl w:ilvl="2" w:tplc="41A4B216">
      <w:start w:val="1"/>
      <w:numFmt w:val="bullet"/>
      <w:lvlText w:val=""/>
      <w:lvlJc w:val="left"/>
      <w:pPr>
        <w:ind w:left="1800" w:hanging="360"/>
      </w:pPr>
      <w:rPr>
        <w:rFonts w:ascii="Wingdings" w:hAnsi="Wingdings" w:hint="default"/>
      </w:rPr>
    </w:lvl>
    <w:lvl w:ilvl="3" w:tplc="9A8EB844">
      <w:start w:val="1"/>
      <w:numFmt w:val="bullet"/>
      <w:lvlText w:val=""/>
      <w:lvlJc w:val="left"/>
      <w:pPr>
        <w:ind w:left="2520" w:hanging="360"/>
      </w:pPr>
      <w:rPr>
        <w:rFonts w:ascii="Symbol" w:hAnsi="Symbol" w:hint="default"/>
      </w:rPr>
    </w:lvl>
    <w:lvl w:ilvl="4" w:tplc="A8D817C4">
      <w:start w:val="1"/>
      <w:numFmt w:val="bullet"/>
      <w:lvlText w:val="o"/>
      <w:lvlJc w:val="left"/>
      <w:pPr>
        <w:ind w:left="3240" w:hanging="360"/>
      </w:pPr>
      <w:rPr>
        <w:rFonts w:ascii="Courier New" w:hAnsi="Courier New" w:hint="default"/>
      </w:rPr>
    </w:lvl>
    <w:lvl w:ilvl="5" w:tplc="35E4C4A0">
      <w:start w:val="1"/>
      <w:numFmt w:val="bullet"/>
      <w:lvlText w:val=""/>
      <w:lvlJc w:val="left"/>
      <w:pPr>
        <w:ind w:left="3960" w:hanging="360"/>
      </w:pPr>
      <w:rPr>
        <w:rFonts w:ascii="Wingdings" w:hAnsi="Wingdings" w:hint="default"/>
      </w:rPr>
    </w:lvl>
    <w:lvl w:ilvl="6" w:tplc="BBD679B8">
      <w:start w:val="1"/>
      <w:numFmt w:val="bullet"/>
      <w:lvlText w:val=""/>
      <w:lvlJc w:val="left"/>
      <w:pPr>
        <w:ind w:left="4680" w:hanging="360"/>
      </w:pPr>
      <w:rPr>
        <w:rFonts w:ascii="Symbol" w:hAnsi="Symbol" w:hint="default"/>
      </w:rPr>
    </w:lvl>
    <w:lvl w:ilvl="7" w:tplc="217046F4">
      <w:start w:val="1"/>
      <w:numFmt w:val="bullet"/>
      <w:lvlText w:val="o"/>
      <w:lvlJc w:val="left"/>
      <w:pPr>
        <w:ind w:left="5400" w:hanging="360"/>
      </w:pPr>
      <w:rPr>
        <w:rFonts w:ascii="Courier New" w:hAnsi="Courier New" w:hint="default"/>
      </w:rPr>
    </w:lvl>
    <w:lvl w:ilvl="8" w:tplc="646E352C">
      <w:start w:val="1"/>
      <w:numFmt w:val="bullet"/>
      <w:lvlText w:val=""/>
      <w:lvlJc w:val="left"/>
      <w:pPr>
        <w:ind w:left="6120" w:hanging="360"/>
      </w:pPr>
      <w:rPr>
        <w:rFonts w:ascii="Wingdings" w:hAnsi="Wingdings" w:hint="default"/>
      </w:rPr>
    </w:lvl>
  </w:abstractNum>
  <w:abstractNum w:abstractNumId="41" w15:restartNumberingAfterBreak="0">
    <w:nsid w:val="7DAE60EF"/>
    <w:multiLevelType w:val="hybridMultilevel"/>
    <w:tmpl w:val="6EC846A0"/>
    <w:lvl w:ilvl="0" w:tplc="E59AD59E">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0">
    <w:lvl w:ilvl="0">
      <w:start w:val="1"/>
      <w:numFmt w:val="bullet"/>
      <w:lvlText w:val="•"/>
      <w:pPr>
        <w:ind w:left="567" w:hanging="284"/>
      </w:pPr>
    </w:lvl>
    <w:lvl w:ilvl="1">
      <w:start w:val="1"/>
      <w:numFmt w:val="bullet"/>
      <w:lvlText w:val="•"/>
      <w:pPr>
        <w:ind w:left="1134" w:hanging="284"/>
      </w:pPr>
    </w:lvl>
  </w:abstractNum>
  <w:abstractNum w:abstractNumId="901">
    <w:lvl w:ilvl="0">
      <w:start w:val="1"/>
      <w:numFmt w:val="decimal"/>
      <w:lvlText w:val="%1."/>
      <w:pPr>
        <w:ind w:left="567" w:hanging="284"/>
      </w:pPr>
    </w:lvl>
    <w:lvl w:ilvl="1">
      <w:start w:val="1"/>
      <w:numFmt w:val="lowerLetter"/>
      <w:lvlText w:val="%2."/>
      <w:pPr>
        <w:ind w:left="1134" w:hanging="284"/>
      </w:pPr>
    </w:lvl>
  </w:abstractNum>
  <w:num w:numId="1">
    <w:abstractNumId w:val="23"/>
  </w:num>
  <w:num w:numId="2">
    <w:abstractNumId w:val="33"/>
  </w:num>
  <w:num w:numId="3">
    <w:abstractNumId w:val="5"/>
  </w:num>
  <w:num w:numId="4">
    <w:abstractNumId w:val="35"/>
  </w:num>
  <w:num w:numId="5">
    <w:abstractNumId w:val="24"/>
  </w:num>
  <w:num w:numId="6">
    <w:abstractNumId w:val="1"/>
  </w:num>
  <w:num w:numId="7">
    <w:abstractNumId w:val="21"/>
  </w:num>
  <w:num w:numId="8">
    <w:abstractNumId w:val="40"/>
  </w:num>
  <w:num w:numId="9">
    <w:abstractNumId w:val="27"/>
  </w:num>
  <w:num w:numId="10">
    <w:abstractNumId w:val="9"/>
  </w:num>
  <w:num w:numId="11">
    <w:abstractNumId w:val="4"/>
  </w:num>
  <w:num w:numId="12">
    <w:abstractNumId w:val="30"/>
  </w:num>
  <w:num w:numId="13">
    <w:abstractNumId w:val="29"/>
  </w:num>
  <w:num w:numId="14">
    <w:abstractNumId w:val="26"/>
  </w:num>
  <w:num w:numId="15">
    <w:abstractNumId w:val="32"/>
  </w:num>
  <w:num w:numId="16">
    <w:abstractNumId w:val="39"/>
  </w:num>
  <w:num w:numId="17">
    <w:abstractNumId w:val="17"/>
  </w:num>
  <w:num w:numId="18">
    <w:abstractNumId w:val="22"/>
  </w:num>
  <w:num w:numId="19">
    <w:abstractNumId w:val="36"/>
  </w:num>
  <w:num w:numId="20">
    <w:abstractNumId w:val="38"/>
  </w:num>
  <w:num w:numId="21">
    <w:abstractNumId w:val="11"/>
  </w:num>
  <w:num w:numId="22">
    <w:abstractNumId w:val="25"/>
  </w:num>
  <w:num w:numId="23">
    <w:abstractNumId w:val="28"/>
  </w:num>
  <w:num w:numId="24">
    <w:abstractNumId w:val="7"/>
  </w:num>
  <w:num w:numId="25">
    <w:abstractNumId w:val="13"/>
  </w:num>
  <w:num w:numId="26">
    <w:abstractNumId w:val="6"/>
  </w:num>
  <w:num w:numId="27">
    <w:abstractNumId w:val="19"/>
  </w:num>
  <w:num w:numId="28">
    <w:abstractNumId w:val="16"/>
    <w:lvlOverride w:ilvl="0">
      <w:startOverride w:val="1"/>
    </w:lvlOverride>
  </w:num>
  <w:num w:numId="29">
    <w:abstractNumId w:val="31"/>
  </w:num>
  <w:num w:numId="30">
    <w:abstractNumId w:val="20"/>
  </w:num>
  <w:num w:numId="31">
    <w:abstractNumId w:val="2"/>
  </w:num>
  <w:num w:numId="32">
    <w:abstractNumId w:val="0"/>
  </w:num>
  <w:num w:numId="33">
    <w:abstractNumId w:val="18"/>
  </w:num>
  <w:num w:numId="34">
    <w:abstractNumId w:val="34"/>
  </w:num>
  <w:num w:numId="35">
    <w:abstractNumId w:val="8"/>
  </w:num>
  <w:num w:numId="36">
    <w:abstractNumId w:val="41"/>
  </w:num>
  <w:num w:numId="37">
    <w:abstractNumId w:val="14"/>
  </w:num>
  <w:num w:numId="38">
    <w:abstractNumId w:val="10"/>
    <w:lvlOverride w:ilvl="0">
      <w:startOverride w:val="1"/>
    </w:lvlOverride>
  </w:num>
  <w:num w:numId="39">
    <w:abstractNumId w:val="3"/>
  </w:num>
  <w:num w:numId="40">
    <w:abstractNumId w:val="12"/>
  </w:num>
  <w:num w:numId="41">
    <w:abstractNumId w:val="37"/>
  </w:num>
  <w:num w:numId="42">
    <w:abstractNumId w:val="15"/>
  </w:num>
  <w:numIdMacAtCleanup w:val="34"/>
  <w:num w:numId="901">
    <w:abstractNumId w:val="900"/>
    <w:lvlOverride w:ilvl="0">
      <w:startOverride w:val="1"/>
    </w:lvlOverride>
  </w:num>
  <w:num w:numId="902">
    <w:abstractNumId w:val="900"/>
    <w:lvlOverride w:ilvl="0">
      <w:startOverride w:val="1"/>
    </w:lvlOverride>
  </w:num>
  <w:num w:numId="903">
    <w:abstractNumId w:val="900"/>
    <w:lvlOverride w:ilvl="0">
      <w:startOverride w:val="1"/>
    </w:lvlOverride>
  </w:num>
  <w:num w:numId="904">
    <w:abstractNumId w:val="900"/>
    <w:lvlOverride w:ilvl="0">
      <w:startOverride w:val="1"/>
    </w:lvlOverride>
  </w:num>
  <w:num w:numId="905">
    <w:abstractNumId w:val="900"/>
    <w:lvlOverride w:ilvl="0">
      <w:startOverride w:val="1"/>
    </w:lvlOverride>
  </w:num>
  <w:num w:numId="906">
    <w:abstractNumId w:val="900"/>
    <w:lvlOverride w:ilvl="0">
      <w:startOverride w:val="1"/>
    </w:lvlOverride>
  </w:num>
  <w:num w:numId="907">
    <w:abstractNumId w:val="900"/>
    <w:lvlOverride w:ilvl="0">
      <w:startOverride w:val="1"/>
    </w:lvlOverride>
  </w:num>
  <w:num w:numId="908">
    <w:abstractNumId w:val="900"/>
    <w:lvlOverride w:ilvl="0">
      <w:startOverride w:val="1"/>
    </w:lvlOverride>
  </w:num>
  <w:num w:numId="909">
    <w:abstractNumId w:val="900"/>
    <w:lvlOverride w:ilvl="0">
      <w:startOverride w:val="1"/>
    </w:lvlOverride>
  </w:num>
  <w:num w:numId="910">
    <w:abstractNumId w:val="900"/>
    <w:lvlOverride w:ilvl="0">
      <w:startOverride w:val="1"/>
    </w:lvlOverride>
  </w:num>
  <w:num w:numId="911">
    <w:abstractNumId w:val="900"/>
    <w:lvlOverride w:ilvl="0">
      <w:startOverride w:val="1"/>
    </w:lvlOverride>
  </w:num>
  <w:num w:numId="912">
    <w:abstractNumId w:val="900"/>
    <w:lvlOverride w:ilvl="0">
      <w:startOverride w:val="1"/>
    </w:lvlOverride>
  </w:num>
  <w:num w:numId="913">
    <w:abstractNumId w:val="90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displayBackgroundShape/>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B19F403"/>
    <w:rsid w:val="000008F8"/>
    <w:rsid w:val="00003853"/>
    <w:rsid w:val="000061BA"/>
    <w:rsid w:val="000069B6"/>
    <w:rsid w:val="00010333"/>
    <w:rsid w:val="0001033C"/>
    <w:rsid w:val="00013EDD"/>
    <w:rsid w:val="00020D57"/>
    <w:rsid w:val="000217EB"/>
    <w:rsid w:val="0002449C"/>
    <w:rsid w:val="00025EB4"/>
    <w:rsid w:val="000332AE"/>
    <w:rsid w:val="00035616"/>
    <w:rsid w:val="000378BA"/>
    <w:rsid w:val="00037926"/>
    <w:rsid w:val="0004634B"/>
    <w:rsid w:val="00052CD4"/>
    <w:rsid w:val="000537D4"/>
    <w:rsid w:val="00053ABB"/>
    <w:rsid w:val="00056EF2"/>
    <w:rsid w:val="000576F7"/>
    <w:rsid w:val="000627C6"/>
    <w:rsid w:val="0006462E"/>
    <w:rsid w:val="000665D1"/>
    <w:rsid w:val="0006712E"/>
    <w:rsid w:val="0006B6E1"/>
    <w:rsid w:val="00070C00"/>
    <w:rsid w:val="00082D4E"/>
    <w:rsid w:val="00090A18"/>
    <w:rsid w:val="0009146A"/>
    <w:rsid w:val="00091DFC"/>
    <w:rsid w:val="00092CF9"/>
    <w:rsid w:val="000930E1"/>
    <w:rsid w:val="0009683B"/>
    <w:rsid w:val="00096CCF"/>
    <w:rsid w:val="00097754"/>
    <w:rsid w:val="000A2BFF"/>
    <w:rsid w:val="000A468C"/>
    <w:rsid w:val="000A5E08"/>
    <w:rsid w:val="000A7D36"/>
    <w:rsid w:val="000AEB2D"/>
    <w:rsid w:val="000B14D6"/>
    <w:rsid w:val="000B217A"/>
    <w:rsid w:val="000B2A89"/>
    <w:rsid w:val="000B3954"/>
    <w:rsid w:val="000B52D0"/>
    <w:rsid w:val="000B6440"/>
    <w:rsid w:val="000C2847"/>
    <w:rsid w:val="000C334F"/>
    <w:rsid w:val="000C46A0"/>
    <w:rsid w:val="000C6529"/>
    <w:rsid w:val="000D20BE"/>
    <w:rsid w:val="000D47AC"/>
    <w:rsid w:val="000D4BDE"/>
    <w:rsid w:val="000D5C7C"/>
    <w:rsid w:val="000D6DD7"/>
    <w:rsid w:val="000E18A4"/>
    <w:rsid w:val="000E640A"/>
    <w:rsid w:val="000E6C47"/>
    <w:rsid w:val="000F000F"/>
    <w:rsid w:val="000F6004"/>
    <w:rsid w:val="000F7471"/>
    <w:rsid w:val="001024AD"/>
    <w:rsid w:val="00102CBF"/>
    <w:rsid w:val="00103814"/>
    <w:rsid w:val="00104898"/>
    <w:rsid w:val="00107390"/>
    <w:rsid w:val="00107A2E"/>
    <w:rsid w:val="00111D18"/>
    <w:rsid w:val="001136AD"/>
    <w:rsid w:val="00113EFF"/>
    <w:rsid w:val="00120046"/>
    <w:rsid w:val="00120155"/>
    <w:rsid w:val="0012030D"/>
    <w:rsid w:val="00120EAC"/>
    <w:rsid w:val="0012492C"/>
    <w:rsid w:val="00126CCA"/>
    <w:rsid w:val="00132FAE"/>
    <w:rsid w:val="00136697"/>
    <w:rsid w:val="001378F7"/>
    <w:rsid w:val="001442DA"/>
    <w:rsid w:val="00150BE4"/>
    <w:rsid w:val="00152BA9"/>
    <w:rsid w:val="00152EB4"/>
    <w:rsid w:val="00153969"/>
    <w:rsid w:val="0015637F"/>
    <w:rsid w:val="00156C66"/>
    <w:rsid w:val="00157852"/>
    <w:rsid w:val="00157F33"/>
    <w:rsid w:val="001607BA"/>
    <w:rsid w:val="0016254F"/>
    <w:rsid w:val="00167056"/>
    <w:rsid w:val="0017178D"/>
    <w:rsid w:val="001717C0"/>
    <w:rsid w:val="00171EC5"/>
    <w:rsid w:val="0017236C"/>
    <w:rsid w:val="00174A8B"/>
    <w:rsid w:val="001755B3"/>
    <w:rsid w:val="00183965"/>
    <w:rsid w:val="00184C81"/>
    <w:rsid w:val="00186438"/>
    <w:rsid w:val="001938A8"/>
    <w:rsid w:val="0019491B"/>
    <w:rsid w:val="001960F7"/>
    <w:rsid w:val="001A0ADF"/>
    <w:rsid w:val="001A2D2D"/>
    <w:rsid w:val="001A6BB9"/>
    <w:rsid w:val="001B0443"/>
    <w:rsid w:val="001B071E"/>
    <w:rsid w:val="001B0EFB"/>
    <w:rsid w:val="001B2535"/>
    <w:rsid w:val="001B2EE3"/>
    <w:rsid w:val="001B386D"/>
    <w:rsid w:val="001B40BF"/>
    <w:rsid w:val="001B4403"/>
    <w:rsid w:val="001B45E2"/>
    <w:rsid w:val="001C5FA9"/>
    <w:rsid w:val="001D07CF"/>
    <w:rsid w:val="001D1A0B"/>
    <w:rsid w:val="001D1A8C"/>
    <w:rsid w:val="001D25B0"/>
    <w:rsid w:val="001D32A7"/>
    <w:rsid w:val="001D32C5"/>
    <w:rsid w:val="001D3854"/>
    <w:rsid w:val="001D64F0"/>
    <w:rsid w:val="001D6FF6"/>
    <w:rsid w:val="001E0DEF"/>
    <w:rsid w:val="001E1995"/>
    <w:rsid w:val="001E2AFD"/>
    <w:rsid w:val="001E572C"/>
    <w:rsid w:val="001E6261"/>
    <w:rsid w:val="001E725C"/>
    <w:rsid w:val="001E7CB3"/>
    <w:rsid w:val="001F2612"/>
    <w:rsid w:val="001F28BD"/>
    <w:rsid w:val="001F2BE7"/>
    <w:rsid w:val="001F2D6D"/>
    <w:rsid w:val="001F3030"/>
    <w:rsid w:val="001F32DC"/>
    <w:rsid w:val="001F3F84"/>
    <w:rsid w:val="001F408F"/>
    <w:rsid w:val="001F44EF"/>
    <w:rsid w:val="002025C1"/>
    <w:rsid w:val="00203E03"/>
    <w:rsid w:val="002043B8"/>
    <w:rsid w:val="0020566E"/>
    <w:rsid w:val="00210936"/>
    <w:rsid w:val="00210DC3"/>
    <w:rsid w:val="00211A29"/>
    <w:rsid w:val="00213191"/>
    <w:rsid w:val="0021335A"/>
    <w:rsid w:val="00213F96"/>
    <w:rsid w:val="002145EF"/>
    <w:rsid w:val="0021621D"/>
    <w:rsid w:val="002214A9"/>
    <w:rsid w:val="002230CD"/>
    <w:rsid w:val="00224661"/>
    <w:rsid w:val="002248FC"/>
    <w:rsid w:val="002257B6"/>
    <w:rsid w:val="00225E69"/>
    <w:rsid w:val="00226CAF"/>
    <w:rsid w:val="00230724"/>
    <w:rsid w:val="002312BC"/>
    <w:rsid w:val="002316FA"/>
    <w:rsid w:val="00233144"/>
    <w:rsid w:val="00236251"/>
    <w:rsid w:val="002367E2"/>
    <w:rsid w:val="00236B12"/>
    <w:rsid w:val="00237FB0"/>
    <w:rsid w:val="002412F7"/>
    <w:rsid w:val="00241FB1"/>
    <w:rsid w:val="00244941"/>
    <w:rsid w:val="00244DDF"/>
    <w:rsid w:val="002459F9"/>
    <w:rsid w:val="002505F5"/>
    <w:rsid w:val="002513CB"/>
    <w:rsid w:val="00261D6E"/>
    <w:rsid w:val="00272D31"/>
    <w:rsid w:val="00285087"/>
    <w:rsid w:val="00287400"/>
    <w:rsid w:val="00287F41"/>
    <w:rsid w:val="00291005"/>
    <w:rsid w:val="00291790"/>
    <w:rsid w:val="00291FD2"/>
    <w:rsid w:val="00292306"/>
    <w:rsid w:val="00293F60"/>
    <w:rsid w:val="00294ED5"/>
    <w:rsid w:val="00295BCD"/>
    <w:rsid w:val="00297DFF"/>
    <w:rsid w:val="00297F0F"/>
    <w:rsid w:val="002A0DA0"/>
    <w:rsid w:val="002A3807"/>
    <w:rsid w:val="002A5911"/>
    <w:rsid w:val="002B00E7"/>
    <w:rsid w:val="002B045C"/>
    <w:rsid w:val="002B0970"/>
    <w:rsid w:val="002B0E61"/>
    <w:rsid w:val="002B0F5C"/>
    <w:rsid w:val="002B18F2"/>
    <w:rsid w:val="002B1ACF"/>
    <w:rsid w:val="002B2473"/>
    <w:rsid w:val="002B27B9"/>
    <w:rsid w:val="002B2AF3"/>
    <w:rsid w:val="002B5E95"/>
    <w:rsid w:val="002B5FB2"/>
    <w:rsid w:val="002C05CC"/>
    <w:rsid w:val="002C4AFF"/>
    <w:rsid w:val="002C7E22"/>
    <w:rsid w:val="002D0407"/>
    <w:rsid w:val="002D14F9"/>
    <w:rsid w:val="002D1E03"/>
    <w:rsid w:val="002D4739"/>
    <w:rsid w:val="002D64C1"/>
    <w:rsid w:val="002D6A5C"/>
    <w:rsid w:val="002D6AB0"/>
    <w:rsid w:val="002D6D20"/>
    <w:rsid w:val="002E008C"/>
    <w:rsid w:val="002E0C7E"/>
    <w:rsid w:val="002E31B0"/>
    <w:rsid w:val="002E7A56"/>
    <w:rsid w:val="002F1070"/>
    <w:rsid w:val="002F1E74"/>
    <w:rsid w:val="002F1FD7"/>
    <w:rsid w:val="002F2FE1"/>
    <w:rsid w:val="002F39BF"/>
    <w:rsid w:val="002F573F"/>
    <w:rsid w:val="00301378"/>
    <w:rsid w:val="00303BFE"/>
    <w:rsid w:val="0030647F"/>
    <w:rsid w:val="00306759"/>
    <w:rsid w:val="00307078"/>
    <w:rsid w:val="0031128B"/>
    <w:rsid w:val="0031395D"/>
    <w:rsid w:val="00313DE3"/>
    <w:rsid w:val="00316C06"/>
    <w:rsid w:val="00317065"/>
    <w:rsid w:val="00320E26"/>
    <w:rsid w:val="00321D02"/>
    <w:rsid w:val="00322EF5"/>
    <w:rsid w:val="003236CF"/>
    <w:rsid w:val="003238EB"/>
    <w:rsid w:val="00330A1C"/>
    <w:rsid w:val="00334B0F"/>
    <w:rsid w:val="003359AE"/>
    <w:rsid w:val="00335BCB"/>
    <w:rsid w:val="003376F2"/>
    <w:rsid w:val="0033878A"/>
    <w:rsid w:val="00340054"/>
    <w:rsid w:val="003400C6"/>
    <w:rsid w:val="00341AC8"/>
    <w:rsid w:val="003430F9"/>
    <w:rsid w:val="0034321C"/>
    <w:rsid w:val="00346533"/>
    <w:rsid w:val="003524AF"/>
    <w:rsid w:val="00352D4C"/>
    <w:rsid w:val="00355F96"/>
    <w:rsid w:val="0035627B"/>
    <w:rsid w:val="00356F92"/>
    <w:rsid w:val="00357382"/>
    <w:rsid w:val="003637CD"/>
    <w:rsid w:val="003713C4"/>
    <w:rsid w:val="00371A3F"/>
    <w:rsid w:val="003739FD"/>
    <w:rsid w:val="0037413A"/>
    <w:rsid w:val="003748B6"/>
    <w:rsid w:val="00374D3C"/>
    <w:rsid w:val="00380A6B"/>
    <w:rsid w:val="003853E1"/>
    <w:rsid w:val="003854A7"/>
    <w:rsid w:val="00390705"/>
    <w:rsid w:val="00390C75"/>
    <w:rsid w:val="00391466"/>
    <w:rsid w:val="00391528"/>
    <w:rsid w:val="00391772"/>
    <w:rsid w:val="00392258"/>
    <w:rsid w:val="00393618"/>
    <w:rsid w:val="00394942"/>
    <w:rsid w:val="00395866"/>
    <w:rsid w:val="003971B8"/>
    <w:rsid w:val="003A3B2F"/>
    <w:rsid w:val="003A3B78"/>
    <w:rsid w:val="003A484E"/>
    <w:rsid w:val="003A7C6B"/>
    <w:rsid w:val="003B0CC8"/>
    <w:rsid w:val="003B624D"/>
    <w:rsid w:val="003C14F0"/>
    <w:rsid w:val="003C17CC"/>
    <w:rsid w:val="003C2E4A"/>
    <w:rsid w:val="003C3C67"/>
    <w:rsid w:val="003C6A59"/>
    <w:rsid w:val="003D0E7B"/>
    <w:rsid w:val="003D2352"/>
    <w:rsid w:val="003D400E"/>
    <w:rsid w:val="003D4DD1"/>
    <w:rsid w:val="003E16C3"/>
    <w:rsid w:val="003E1912"/>
    <w:rsid w:val="003E1B57"/>
    <w:rsid w:val="003E263E"/>
    <w:rsid w:val="003E47C5"/>
    <w:rsid w:val="003E532D"/>
    <w:rsid w:val="003E5402"/>
    <w:rsid w:val="003E5EB8"/>
    <w:rsid w:val="003E66E0"/>
    <w:rsid w:val="003E6A85"/>
    <w:rsid w:val="003E7AF2"/>
    <w:rsid w:val="003F0F81"/>
    <w:rsid w:val="003F2284"/>
    <w:rsid w:val="003F4004"/>
    <w:rsid w:val="003F4C0A"/>
    <w:rsid w:val="003F4D2D"/>
    <w:rsid w:val="003F741D"/>
    <w:rsid w:val="003F7719"/>
    <w:rsid w:val="004011F2"/>
    <w:rsid w:val="0040193E"/>
    <w:rsid w:val="00402E81"/>
    <w:rsid w:val="00403D9C"/>
    <w:rsid w:val="004054B3"/>
    <w:rsid w:val="0040580F"/>
    <w:rsid w:val="0041021D"/>
    <w:rsid w:val="0041030D"/>
    <w:rsid w:val="00410D0A"/>
    <w:rsid w:val="00414626"/>
    <w:rsid w:val="00416737"/>
    <w:rsid w:val="00416B20"/>
    <w:rsid w:val="00417885"/>
    <w:rsid w:val="0042173A"/>
    <w:rsid w:val="00422FD8"/>
    <w:rsid w:val="00423CD7"/>
    <w:rsid w:val="004261E2"/>
    <w:rsid w:val="00431EFA"/>
    <w:rsid w:val="00441E9E"/>
    <w:rsid w:val="00444967"/>
    <w:rsid w:val="004451BA"/>
    <w:rsid w:val="00445312"/>
    <w:rsid w:val="00445DBE"/>
    <w:rsid w:val="004463BB"/>
    <w:rsid w:val="00446651"/>
    <w:rsid w:val="0044669F"/>
    <w:rsid w:val="004510BE"/>
    <w:rsid w:val="00451AE3"/>
    <w:rsid w:val="00453A81"/>
    <w:rsid w:val="00455DDD"/>
    <w:rsid w:val="004568DB"/>
    <w:rsid w:val="00461FDC"/>
    <w:rsid w:val="00463A6F"/>
    <w:rsid w:val="0046557F"/>
    <w:rsid w:val="00471A52"/>
    <w:rsid w:val="00474494"/>
    <w:rsid w:val="00474FF3"/>
    <w:rsid w:val="004816B9"/>
    <w:rsid w:val="00481AC3"/>
    <w:rsid w:val="00485EF6"/>
    <w:rsid w:val="0049304C"/>
    <w:rsid w:val="00495218"/>
    <w:rsid w:val="00495CF6"/>
    <w:rsid w:val="00496148"/>
    <w:rsid w:val="00496A5E"/>
    <w:rsid w:val="00497054"/>
    <w:rsid w:val="004A28DD"/>
    <w:rsid w:val="004A2C4E"/>
    <w:rsid w:val="004A314C"/>
    <w:rsid w:val="004A65D5"/>
    <w:rsid w:val="004A7F7F"/>
    <w:rsid w:val="004B0569"/>
    <w:rsid w:val="004B3D9F"/>
    <w:rsid w:val="004B445C"/>
    <w:rsid w:val="004B4819"/>
    <w:rsid w:val="004B49D1"/>
    <w:rsid w:val="004B5225"/>
    <w:rsid w:val="004C1274"/>
    <w:rsid w:val="004C15D3"/>
    <w:rsid w:val="004C288B"/>
    <w:rsid w:val="004C481C"/>
    <w:rsid w:val="004C6562"/>
    <w:rsid w:val="004D0407"/>
    <w:rsid w:val="004D0F8A"/>
    <w:rsid w:val="004D1408"/>
    <w:rsid w:val="004D1B31"/>
    <w:rsid w:val="004D21CC"/>
    <w:rsid w:val="004D5FB7"/>
    <w:rsid w:val="004D6E8F"/>
    <w:rsid w:val="004E023C"/>
    <w:rsid w:val="004E0B51"/>
    <w:rsid w:val="004E1DE7"/>
    <w:rsid w:val="004E3BF6"/>
    <w:rsid w:val="004E554F"/>
    <w:rsid w:val="004E584E"/>
    <w:rsid w:val="004E5E79"/>
    <w:rsid w:val="004E5F73"/>
    <w:rsid w:val="004F135A"/>
    <w:rsid w:val="004F44C9"/>
    <w:rsid w:val="004F44FD"/>
    <w:rsid w:val="004F4F41"/>
    <w:rsid w:val="004F738D"/>
    <w:rsid w:val="005002DC"/>
    <w:rsid w:val="00504BBB"/>
    <w:rsid w:val="00506BF0"/>
    <w:rsid w:val="00514027"/>
    <w:rsid w:val="0051683E"/>
    <w:rsid w:val="00520173"/>
    <w:rsid w:val="00521FB4"/>
    <w:rsid w:val="005237C8"/>
    <w:rsid w:val="005255D2"/>
    <w:rsid w:val="00527272"/>
    <w:rsid w:val="00530185"/>
    <w:rsid w:val="005306EF"/>
    <w:rsid w:val="00530A76"/>
    <w:rsid w:val="00531B07"/>
    <w:rsid w:val="00531F3C"/>
    <w:rsid w:val="00536A0F"/>
    <w:rsid w:val="005377C0"/>
    <w:rsid w:val="005438EE"/>
    <w:rsid w:val="005451E4"/>
    <w:rsid w:val="00550F7B"/>
    <w:rsid w:val="005543A1"/>
    <w:rsid w:val="0055505B"/>
    <w:rsid w:val="00555C69"/>
    <w:rsid w:val="00560930"/>
    <w:rsid w:val="00560F70"/>
    <w:rsid w:val="00561371"/>
    <w:rsid w:val="00562683"/>
    <w:rsid w:val="00565003"/>
    <w:rsid w:val="00570B12"/>
    <w:rsid w:val="00574837"/>
    <w:rsid w:val="00574DC0"/>
    <w:rsid w:val="005759FA"/>
    <w:rsid w:val="005768D4"/>
    <w:rsid w:val="00577036"/>
    <w:rsid w:val="005771B1"/>
    <w:rsid w:val="005813BE"/>
    <w:rsid w:val="00582460"/>
    <w:rsid w:val="00582558"/>
    <w:rsid w:val="00583DCC"/>
    <w:rsid w:val="00584D53"/>
    <w:rsid w:val="0059021C"/>
    <w:rsid w:val="00594242"/>
    <w:rsid w:val="0059462D"/>
    <w:rsid w:val="00596362"/>
    <w:rsid w:val="005A4C37"/>
    <w:rsid w:val="005A59FD"/>
    <w:rsid w:val="005A7A6D"/>
    <w:rsid w:val="005B04DE"/>
    <w:rsid w:val="005B25A0"/>
    <w:rsid w:val="005B33C2"/>
    <w:rsid w:val="005B48A1"/>
    <w:rsid w:val="005B52E0"/>
    <w:rsid w:val="005B6D23"/>
    <w:rsid w:val="005C2BD7"/>
    <w:rsid w:val="005C47BC"/>
    <w:rsid w:val="005D3F1B"/>
    <w:rsid w:val="005D4808"/>
    <w:rsid w:val="005E5899"/>
    <w:rsid w:val="005E653B"/>
    <w:rsid w:val="005F06F0"/>
    <w:rsid w:val="005F1374"/>
    <w:rsid w:val="005F168A"/>
    <w:rsid w:val="005F1B32"/>
    <w:rsid w:val="005F44CC"/>
    <w:rsid w:val="005F6362"/>
    <w:rsid w:val="005F6939"/>
    <w:rsid w:val="00601052"/>
    <w:rsid w:val="00602953"/>
    <w:rsid w:val="00602F34"/>
    <w:rsid w:val="006061A5"/>
    <w:rsid w:val="00613153"/>
    <w:rsid w:val="00616B0D"/>
    <w:rsid w:val="006178FE"/>
    <w:rsid w:val="006202F2"/>
    <w:rsid w:val="00621183"/>
    <w:rsid w:val="00622579"/>
    <w:rsid w:val="00631E8C"/>
    <w:rsid w:val="006336A6"/>
    <w:rsid w:val="00633B84"/>
    <w:rsid w:val="00633C4C"/>
    <w:rsid w:val="00635872"/>
    <w:rsid w:val="00635E1F"/>
    <w:rsid w:val="00636BB3"/>
    <w:rsid w:val="00640F1C"/>
    <w:rsid w:val="00642233"/>
    <w:rsid w:val="006449DA"/>
    <w:rsid w:val="006464A9"/>
    <w:rsid w:val="0064654D"/>
    <w:rsid w:val="00646C6E"/>
    <w:rsid w:val="00650601"/>
    <w:rsid w:val="00650ECB"/>
    <w:rsid w:val="00651D25"/>
    <w:rsid w:val="0065405D"/>
    <w:rsid w:val="00655843"/>
    <w:rsid w:val="0066187A"/>
    <w:rsid w:val="006618CF"/>
    <w:rsid w:val="00661D8B"/>
    <w:rsid w:val="006626FA"/>
    <w:rsid w:val="00662F7C"/>
    <w:rsid w:val="00663AE0"/>
    <w:rsid w:val="00664094"/>
    <w:rsid w:val="00665594"/>
    <w:rsid w:val="006659ED"/>
    <w:rsid w:val="0067072C"/>
    <w:rsid w:val="006717DF"/>
    <w:rsid w:val="00672F6C"/>
    <w:rsid w:val="006738C6"/>
    <w:rsid w:val="006772C2"/>
    <w:rsid w:val="0067744C"/>
    <w:rsid w:val="006838CD"/>
    <w:rsid w:val="00683DDA"/>
    <w:rsid w:val="00685263"/>
    <w:rsid w:val="006866A7"/>
    <w:rsid w:val="0069141F"/>
    <w:rsid w:val="00695EA7"/>
    <w:rsid w:val="00696128"/>
    <w:rsid w:val="006A23BC"/>
    <w:rsid w:val="006A248A"/>
    <w:rsid w:val="006A3B22"/>
    <w:rsid w:val="006B5661"/>
    <w:rsid w:val="006B5F03"/>
    <w:rsid w:val="006B6876"/>
    <w:rsid w:val="006B6B22"/>
    <w:rsid w:val="006B71DC"/>
    <w:rsid w:val="006B7CB7"/>
    <w:rsid w:val="006C0823"/>
    <w:rsid w:val="006C1CEA"/>
    <w:rsid w:val="006C2A73"/>
    <w:rsid w:val="006C2D96"/>
    <w:rsid w:val="006C64B2"/>
    <w:rsid w:val="006D0B6B"/>
    <w:rsid w:val="006D3027"/>
    <w:rsid w:val="006D5E7F"/>
    <w:rsid w:val="006D6099"/>
    <w:rsid w:val="006D7709"/>
    <w:rsid w:val="006D7E65"/>
    <w:rsid w:val="006E10F9"/>
    <w:rsid w:val="006E37F4"/>
    <w:rsid w:val="006E3E72"/>
    <w:rsid w:val="006E423A"/>
    <w:rsid w:val="006E4C6F"/>
    <w:rsid w:val="006E4CB5"/>
    <w:rsid w:val="006E4D58"/>
    <w:rsid w:val="006F0E1B"/>
    <w:rsid w:val="006F1F88"/>
    <w:rsid w:val="006F502C"/>
    <w:rsid w:val="006F5FD5"/>
    <w:rsid w:val="006F647E"/>
    <w:rsid w:val="007015CF"/>
    <w:rsid w:val="007037E8"/>
    <w:rsid w:val="00704537"/>
    <w:rsid w:val="007055B6"/>
    <w:rsid w:val="00707751"/>
    <w:rsid w:val="00707D4F"/>
    <w:rsid w:val="007102D3"/>
    <w:rsid w:val="00712019"/>
    <w:rsid w:val="0071256B"/>
    <w:rsid w:val="00712A62"/>
    <w:rsid w:val="00713B8A"/>
    <w:rsid w:val="00714C78"/>
    <w:rsid w:val="0072074B"/>
    <w:rsid w:val="007217DE"/>
    <w:rsid w:val="00723DAA"/>
    <w:rsid w:val="00730EDD"/>
    <w:rsid w:val="00732E65"/>
    <w:rsid w:val="00734B70"/>
    <w:rsid w:val="0073587F"/>
    <w:rsid w:val="00735A6E"/>
    <w:rsid w:val="00736170"/>
    <w:rsid w:val="00737079"/>
    <w:rsid w:val="00737731"/>
    <w:rsid w:val="00737FB9"/>
    <w:rsid w:val="00741AC8"/>
    <w:rsid w:val="00743EC5"/>
    <w:rsid w:val="00744956"/>
    <w:rsid w:val="00747B57"/>
    <w:rsid w:val="00754A98"/>
    <w:rsid w:val="007554EA"/>
    <w:rsid w:val="007579ED"/>
    <w:rsid w:val="007601F4"/>
    <w:rsid w:val="00760D4B"/>
    <w:rsid w:val="007613F4"/>
    <w:rsid w:val="007647BE"/>
    <w:rsid w:val="00764D8F"/>
    <w:rsid w:val="00764FC0"/>
    <w:rsid w:val="00770572"/>
    <w:rsid w:val="0077165F"/>
    <w:rsid w:val="00771A2D"/>
    <w:rsid w:val="00771F58"/>
    <w:rsid w:val="00772386"/>
    <w:rsid w:val="007725EC"/>
    <w:rsid w:val="007727F6"/>
    <w:rsid w:val="007737EF"/>
    <w:rsid w:val="00774C54"/>
    <w:rsid w:val="0078079E"/>
    <w:rsid w:val="0078224B"/>
    <w:rsid w:val="007836B4"/>
    <w:rsid w:val="00785102"/>
    <w:rsid w:val="00785F5A"/>
    <w:rsid w:val="00786A3A"/>
    <w:rsid w:val="007872AC"/>
    <w:rsid w:val="0079181B"/>
    <w:rsid w:val="007955BF"/>
    <w:rsid w:val="0079597B"/>
    <w:rsid w:val="00796E85"/>
    <w:rsid w:val="007A1BA6"/>
    <w:rsid w:val="007A21A6"/>
    <w:rsid w:val="007A44E9"/>
    <w:rsid w:val="007A4CB2"/>
    <w:rsid w:val="007A6180"/>
    <w:rsid w:val="007A7F8C"/>
    <w:rsid w:val="007B01FE"/>
    <w:rsid w:val="007B2642"/>
    <w:rsid w:val="007B28BD"/>
    <w:rsid w:val="007B3D56"/>
    <w:rsid w:val="007B4949"/>
    <w:rsid w:val="007B55D9"/>
    <w:rsid w:val="007B6202"/>
    <w:rsid w:val="007C0D2C"/>
    <w:rsid w:val="007C3ADF"/>
    <w:rsid w:val="007C54B2"/>
    <w:rsid w:val="007D17A3"/>
    <w:rsid w:val="007D41FB"/>
    <w:rsid w:val="007D4AB7"/>
    <w:rsid w:val="007D4B42"/>
    <w:rsid w:val="007D54D2"/>
    <w:rsid w:val="007E2873"/>
    <w:rsid w:val="007E4138"/>
    <w:rsid w:val="007E42B3"/>
    <w:rsid w:val="007E7C94"/>
    <w:rsid w:val="007F00AA"/>
    <w:rsid w:val="007F2B2C"/>
    <w:rsid w:val="00801C80"/>
    <w:rsid w:val="008043CB"/>
    <w:rsid w:val="00811814"/>
    <w:rsid w:val="008126C5"/>
    <w:rsid w:val="00812F13"/>
    <w:rsid w:val="00814C01"/>
    <w:rsid w:val="00815D3F"/>
    <w:rsid w:val="008161F9"/>
    <w:rsid w:val="00821CB5"/>
    <w:rsid w:val="008224A8"/>
    <w:rsid w:val="00822C64"/>
    <w:rsid w:val="00825F96"/>
    <w:rsid w:val="00830C38"/>
    <w:rsid w:val="008319CB"/>
    <w:rsid w:val="00832EDF"/>
    <w:rsid w:val="008341F0"/>
    <w:rsid w:val="00836BDE"/>
    <w:rsid w:val="00837515"/>
    <w:rsid w:val="00842C7C"/>
    <w:rsid w:val="00844C06"/>
    <w:rsid w:val="008479D8"/>
    <w:rsid w:val="008515E0"/>
    <w:rsid w:val="008521E1"/>
    <w:rsid w:val="00852515"/>
    <w:rsid w:val="008526AD"/>
    <w:rsid w:val="008533B7"/>
    <w:rsid w:val="008557DD"/>
    <w:rsid w:val="00856657"/>
    <w:rsid w:val="0085694E"/>
    <w:rsid w:val="00857BBC"/>
    <w:rsid w:val="008623F3"/>
    <w:rsid w:val="0086463B"/>
    <w:rsid w:val="008658E6"/>
    <w:rsid w:val="00873644"/>
    <w:rsid w:val="00874450"/>
    <w:rsid w:val="008747DD"/>
    <w:rsid w:val="008765CC"/>
    <w:rsid w:val="00880926"/>
    <w:rsid w:val="00882DE5"/>
    <w:rsid w:val="008923D6"/>
    <w:rsid w:val="00893AB1"/>
    <w:rsid w:val="00896036"/>
    <w:rsid w:val="00896D6B"/>
    <w:rsid w:val="008A0CCA"/>
    <w:rsid w:val="008A40EB"/>
    <w:rsid w:val="008A49E0"/>
    <w:rsid w:val="008A586F"/>
    <w:rsid w:val="008B24FC"/>
    <w:rsid w:val="008B4896"/>
    <w:rsid w:val="008C1564"/>
    <w:rsid w:val="008C320A"/>
    <w:rsid w:val="008C4423"/>
    <w:rsid w:val="008D0B9B"/>
    <w:rsid w:val="008D0ECB"/>
    <w:rsid w:val="008D2DC1"/>
    <w:rsid w:val="008D354F"/>
    <w:rsid w:val="008D5367"/>
    <w:rsid w:val="008D72BF"/>
    <w:rsid w:val="008E1948"/>
    <w:rsid w:val="008E4640"/>
    <w:rsid w:val="008E4BD8"/>
    <w:rsid w:val="008E5F17"/>
    <w:rsid w:val="008F1EC5"/>
    <w:rsid w:val="008F34C1"/>
    <w:rsid w:val="008F5897"/>
    <w:rsid w:val="008F61B9"/>
    <w:rsid w:val="008F64CA"/>
    <w:rsid w:val="008F6E7C"/>
    <w:rsid w:val="00900451"/>
    <w:rsid w:val="00901051"/>
    <w:rsid w:val="00902853"/>
    <w:rsid w:val="00903ED1"/>
    <w:rsid w:val="0090413E"/>
    <w:rsid w:val="009049E8"/>
    <w:rsid w:val="00904C23"/>
    <w:rsid w:val="00907709"/>
    <w:rsid w:val="009115D5"/>
    <w:rsid w:val="009124B1"/>
    <w:rsid w:val="00921B0B"/>
    <w:rsid w:val="00923272"/>
    <w:rsid w:val="00923B0D"/>
    <w:rsid w:val="0092411E"/>
    <w:rsid w:val="00925745"/>
    <w:rsid w:val="00926A82"/>
    <w:rsid w:val="009278BF"/>
    <w:rsid w:val="00932401"/>
    <w:rsid w:val="00933F5A"/>
    <w:rsid w:val="00936CA1"/>
    <w:rsid w:val="009370B4"/>
    <w:rsid w:val="00943CD6"/>
    <w:rsid w:val="00944648"/>
    <w:rsid w:val="00946565"/>
    <w:rsid w:val="00954105"/>
    <w:rsid w:val="0095708F"/>
    <w:rsid w:val="00958E35"/>
    <w:rsid w:val="00963A1E"/>
    <w:rsid w:val="00970288"/>
    <w:rsid w:val="00974502"/>
    <w:rsid w:val="00975488"/>
    <w:rsid w:val="00976ECF"/>
    <w:rsid w:val="0098137A"/>
    <w:rsid w:val="0098200B"/>
    <w:rsid w:val="00986CD8"/>
    <w:rsid w:val="00991861"/>
    <w:rsid w:val="00993937"/>
    <w:rsid w:val="0099535A"/>
    <w:rsid w:val="0099659F"/>
    <w:rsid w:val="009A1D35"/>
    <w:rsid w:val="009A52D8"/>
    <w:rsid w:val="009A5F6F"/>
    <w:rsid w:val="009A60D0"/>
    <w:rsid w:val="009A759E"/>
    <w:rsid w:val="009B0465"/>
    <w:rsid w:val="009B23B5"/>
    <w:rsid w:val="009B4498"/>
    <w:rsid w:val="009C01B0"/>
    <w:rsid w:val="009C024D"/>
    <w:rsid w:val="009C2CDF"/>
    <w:rsid w:val="009C3440"/>
    <w:rsid w:val="009C3C02"/>
    <w:rsid w:val="009C403F"/>
    <w:rsid w:val="009C6695"/>
    <w:rsid w:val="009C7868"/>
    <w:rsid w:val="009C78E0"/>
    <w:rsid w:val="009C7EB3"/>
    <w:rsid w:val="009D02A3"/>
    <w:rsid w:val="009D05CB"/>
    <w:rsid w:val="009D0724"/>
    <w:rsid w:val="009D15A1"/>
    <w:rsid w:val="009D1A8B"/>
    <w:rsid w:val="009D1B51"/>
    <w:rsid w:val="009D258D"/>
    <w:rsid w:val="009D4DE7"/>
    <w:rsid w:val="009D531B"/>
    <w:rsid w:val="009D770C"/>
    <w:rsid w:val="009D7788"/>
    <w:rsid w:val="009D77C9"/>
    <w:rsid w:val="009D7C80"/>
    <w:rsid w:val="009E6E68"/>
    <w:rsid w:val="009E7CB2"/>
    <w:rsid w:val="009F091B"/>
    <w:rsid w:val="009F10B6"/>
    <w:rsid w:val="009F131E"/>
    <w:rsid w:val="009F133F"/>
    <w:rsid w:val="009F228C"/>
    <w:rsid w:val="009F23BE"/>
    <w:rsid w:val="009F363A"/>
    <w:rsid w:val="009F7054"/>
    <w:rsid w:val="00A05133"/>
    <w:rsid w:val="00A05306"/>
    <w:rsid w:val="00A0685D"/>
    <w:rsid w:val="00A114C4"/>
    <w:rsid w:val="00A14148"/>
    <w:rsid w:val="00A17F56"/>
    <w:rsid w:val="00A2213D"/>
    <w:rsid w:val="00A222FE"/>
    <w:rsid w:val="00A2320F"/>
    <w:rsid w:val="00A2433C"/>
    <w:rsid w:val="00A246BB"/>
    <w:rsid w:val="00A275F1"/>
    <w:rsid w:val="00A31C8F"/>
    <w:rsid w:val="00A325C7"/>
    <w:rsid w:val="00A3424C"/>
    <w:rsid w:val="00A34572"/>
    <w:rsid w:val="00A350DA"/>
    <w:rsid w:val="00A3643D"/>
    <w:rsid w:val="00A4332A"/>
    <w:rsid w:val="00A439A4"/>
    <w:rsid w:val="00A44C28"/>
    <w:rsid w:val="00A44F1B"/>
    <w:rsid w:val="00A4784C"/>
    <w:rsid w:val="00A51E16"/>
    <w:rsid w:val="00A5201D"/>
    <w:rsid w:val="00A53A5B"/>
    <w:rsid w:val="00A5472E"/>
    <w:rsid w:val="00A55F22"/>
    <w:rsid w:val="00A56ABC"/>
    <w:rsid w:val="00A56DBF"/>
    <w:rsid w:val="00A56E10"/>
    <w:rsid w:val="00A60550"/>
    <w:rsid w:val="00A606EA"/>
    <w:rsid w:val="00A62A0C"/>
    <w:rsid w:val="00A66AD8"/>
    <w:rsid w:val="00A6703A"/>
    <w:rsid w:val="00A70A4E"/>
    <w:rsid w:val="00A73615"/>
    <w:rsid w:val="00A9096A"/>
    <w:rsid w:val="00A9146F"/>
    <w:rsid w:val="00A94CAE"/>
    <w:rsid w:val="00A94ED2"/>
    <w:rsid w:val="00A96154"/>
    <w:rsid w:val="00A9646C"/>
    <w:rsid w:val="00A96D68"/>
    <w:rsid w:val="00AA14CE"/>
    <w:rsid w:val="00AA1613"/>
    <w:rsid w:val="00AA2920"/>
    <w:rsid w:val="00AA298B"/>
    <w:rsid w:val="00AA3216"/>
    <w:rsid w:val="00AB3F81"/>
    <w:rsid w:val="00AB5069"/>
    <w:rsid w:val="00AC117D"/>
    <w:rsid w:val="00AC223E"/>
    <w:rsid w:val="00AC2856"/>
    <w:rsid w:val="00AC324D"/>
    <w:rsid w:val="00AC35B7"/>
    <w:rsid w:val="00AC3926"/>
    <w:rsid w:val="00AC7450"/>
    <w:rsid w:val="00AD1E98"/>
    <w:rsid w:val="00AD36CD"/>
    <w:rsid w:val="00AD3CA9"/>
    <w:rsid w:val="00AD5AC3"/>
    <w:rsid w:val="00AD6744"/>
    <w:rsid w:val="00AD7172"/>
    <w:rsid w:val="00AE2255"/>
    <w:rsid w:val="00AE2A10"/>
    <w:rsid w:val="00AE5C99"/>
    <w:rsid w:val="00AE6CFD"/>
    <w:rsid w:val="00AF0F98"/>
    <w:rsid w:val="00AF2F8A"/>
    <w:rsid w:val="00AF3183"/>
    <w:rsid w:val="00AF3D5F"/>
    <w:rsid w:val="00AF3E2F"/>
    <w:rsid w:val="00AF4F9C"/>
    <w:rsid w:val="00AF5AD6"/>
    <w:rsid w:val="00AF6A87"/>
    <w:rsid w:val="00AF6D44"/>
    <w:rsid w:val="00B00C12"/>
    <w:rsid w:val="00B0141E"/>
    <w:rsid w:val="00B01787"/>
    <w:rsid w:val="00B0445F"/>
    <w:rsid w:val="00B064D6"/>
    <w:rsid w:val="00B06D12"/>
    <w:rsid w:val="00B06F74"/>
    <w:rsid w:val="00B07E72"/>
    <w:rsid w:val="00B1696A"/>
    <w:rsid w:val="00B16CE6"/>
    <w:rsid w:val="00B226DA"/>
    <w:rsid w:val="00B232FF"/>
    <w:rsid w:val="00B24309"/>
    <w:rsid w:val="00B24DDC"/>
    <w:rsid w:val="00B279D4"/>
    <w:rsid w:val="00B30FB2"/>
    <w:rsid w:val="00B32E8B"/>
    <w:rsid w:val="00B335DE"/>
    <w:rsid w:val="00B37E0A"/>
    <w:rsid w:val="00B41F2A"/>
    <w:rsid w:val="00B44CC7"/>
    <w:rsid w:val="00B46AD7"/>
    <w:rsid w:val="00B502F6"/>
    <w:rsid w:val="00B53120"/>
    <w:rsid w:val="00B542A4"/>
    <w:rsid w:val="00B56037"/>
    <w:rsid w:val="00B5713D"/>
    <w:rsid w:val="00B61EE8"/>
    <w:rsid w:val="00B627F8"/>
    <w:rsid w:val="00B66261"/>
    <w:rsid w:val="00B670FB"/>
    <w:rsid w:val="00B7178D"/>
    <w:rsid w:val="00B77849"/>
    <w:rsid w:val="00B77D1C"/>
    <w:rsid w:val="00B805BF"/>
    <w:rsid w:val="00B84D1F"/>
    <w:rsid w:val="00B855DB"/>
    <w:rsid w:val="00B865A9"/>
    <w:rsid w:val="00B8741D"/>
    <w:rsid w:val="00B8781B"/>
    <w:rsid w:val="00B910FC"/>
    <w:rsid w:val="00B936AC"/>
    <w:rsid w:val="00B939FF"/>
    <w:rsid w:val="00B96202"/>
    <w:rsid w:val="00B965F3"/>
    <w:rsid w:val="00B96860"/>
    <w:rsid w:val="00BA005B"/>
    <w:rsid w:val="00BA0B51"/>
    <w:rsid w:val="00BA10AE"/>
    <w:rsid w:val="00BA21EE"/>
    <w:rsid w:val="00BA376D"/>
    <w:rsid w:val="00BA5F89"/>
    <w:rsid w:val="00BB00E2"/>
    <w:rsid w:val="00BB42F4"/>
    <w:rsid w:val="00BB4CFC"/>
    <w:rsid w:val="00BB5FA9"/>
    <w:rsid w:val="00BC2212"/>
    <w:rsid w:val="00BC34E1"/>
    <w:rsid w:val="00BC4D44"/>
    <w:rsid w:val="00BC5DBB"/>
    <w:rsid w:val="00BD1294"/>
    <w:rsid w:val="00BD258A"/>
    <w:rsid w:val="00BD3D65"/>
    <w:rsid w:val="00BD68EF"/>
    <w:rsid w:val="00BD6A00"/>
    <w:rsid w:val="00BDFEE8"/>
    <w:rsid w:val="00BE1690"/>
    <w:rsid w:val="00BE6352"/>
    <w:rsid w:val="00BE6EE2"/>
    <w:rsid w:val="00BF46A3"/>
    <w:rsid w:val="00BF6EE4"/>
    <w:rsid w:val="00BF7034"/>
    <w:rsid w:val="00C01646"/>
    <w:rsid w:val="00C04F3F"/>
    <w:rsid w:val="00C05E79"/>
    <w:rsid w:val="00C06974"/>
    <w:rsid w:val="00C07F0C"/>
    <w:rsid w:val="00C120DC"/>
    <w:rsid w:val="00C14E7C"/>
    <w:rsid w:val="00C1548F"/>
    <w:rsid w:val="00C15F42"/>
    <w:rsid w:val="00C17EB9"/>
    <w:rsid w:val="00C20150"/>
    <w:rsid w:val="00C2252F"/>
    <w:rsid w:val="00C234E1"/>
    <w:rsid w:val="00C24306"/>
    <w:rsid w:val="00C26162"/>
    <w:rsid w:val="00C33D88"/>
    <w:rsid w:val="00C40BE9"/>
    <w:rsid w:val="00C41725"/>
    <w:rsid w:val="00C41DD5"/>
    <w:rsid w:val="00C43221"/>
    <w:rsid w:val="00C442F3"/>
    <w:rsid w:val="00C4593D"/>
    <w:rsid w:val="00C50234"/>
    <w:rsid w:val="00C506EB"/>
    <w:rsid w:val="00C53C6B"/>
    <w:rsid w:val="00C53C94"/>
    <w:rsid w:val="00C570AF"/>
    <w:rsid w:val="00C57594"/>
    <w:rsid w:val="00C5794B"/>
    <w:rsid w:val="00C70C04"/>
    <w:rsid w:val="00C71005"/>
    <w:rsid w:val="00C726F7"/>
    <w:rsid w:val="00C751CE"/>
    <w:rsid w:val="00C754E9"/>
    <w:rsid w:val="00C764C2"/>
    <w:rsid w:val="00C77C92"/>
    <w:rsid w:val="00C816A9"/>
    <w:rsid w:val="00C91048"/>
    <w:rsid w:val="00C926C9"/>
    <w:rsid w:val="00C95625"/>
    <w:rsid w:val="00CA0FB4"/>
    <w:rsid w:val="00CA18E9"/>
    <w:rsid w:val="00CA23CE"/>
    <w:rsid w:val="00CA2A3A"/>
    <w:rsid w:val="00CA5893"/>
    <w:rsid w:val="00CB081E"/>
    <w:rsid w:val="00CB3400"/>
    <w:rsid w:val="00CB40EC"/>
    <w:rsid w:val="00CB6033"/>
    <w:rsid w:val="00CB70D4"/>
    <w:rsid w:val="00CB7203"/>
    <w:rsid w:val="00CC11F6"/>
    <w:rsid w:val="00CC227A"/>
    <w:rsid w:val="00CC3A40"/>
    <w:rsid w:val="00CC76E0"/>
    <w:rsid w:val="00CD1A8F"/>
    <w:rsid w:val="00CD75C7"/>
    <w:rsid w:val="00CD7B65"/>
    <w:rsid w:val="00CE03A7"/>
    <w:rsid w:val="00CE4696"/>
    <w:rsid w:val="00CE5EF7"/>
    <w:rsid w:val="00CE5F71"/>
    <w:rsid w:val="00CE684E"/>
    <w:rsid w:val="00CEDD81"/>
    <w:rsid w:val="00CF00AA"/>
    <w:rsid w:val="00CF3E3C"/>
    <w:rsid w:val="00CF4AF0"/>
    <w:rsid w:val="00CF614D"/>
    <w:rsid w:val="00CF7CC0"/>
    <w:rsid w:val="00D012F7"/>
    <w:rsid w:val="00D018BD"/>
    <w:rsid w:val="00D02C96"/>
    <w:rsid w:val="00D02F90"/>
    <w:rsid w:val="00D0329A"/>
    <w:rsid w:val="00D076A0"/>
    <w:rsid w:val="00D13524"/>
    <w:rsid w:val="00D1542D"/>
    <w:rsid w:val="00D15B94"/>
    <w:rsid w:val="00D16B00"/>
    <w:rsid w:val="00D19089"/>
    <w:rsid w:val="00D21EB4"/>
    <w:rsid w:val="00D22979"/>
    <w:rsid w:val="00D26ACE"/>
    <w:rsid w:val="00D27A6D"/>
    <w:rsid w:val="00D30AF3"/>
    <w:rsid w:val="00D35851"/>
    <w:rsid w:val="00D41C56"/>
    <w:rsid w:val="00D4200B"/>
    <w:rsid w:val="00D43AD3"/>
    <w:rsid w:val="00D469DF"/>
    <w:rsid w:val="00D50B80"/>
    <w:rsid w:val="00D5240E"/>
    <w:rsid w:val="00D53333"/>
    <w:rsid w:val="00D53A4F"/>
    <w:rsid w:val="00D53F37"/>
    <w:rsid w:val="00D540D9"/>
    <w:rsid w:val="00D54C4F"/>
    <w:rsid w:val="00D552C8"/>
    <w:rsid w:val="00D57E48"/>
    <w:rsid w:val="00D62D4C"/>
    <w:rsid w:val="00D63E68"/>
    <w:rsid w:val="00D66B3E"/>
    <w:rsid w:val="00D704E8"/>
    <w:rsid w:val="00D7101C"/>
    <w:rsid w:val="00D72ADF"/>
    <w:rsid w:val="00D72F86"/>
    <w:rsid w:val="00D7675E"/>
    <w:rsid w:val="00D8093B"/>
    <w:rsid w:val="00D80BDE"/>
    <w:rsid w:val="00D817A6"/>
    <w:rsid w:val="00D82639"/>
    <w:rsid w:val="00D82DB4"/>
    <w:rsid w:val="00D82FE0"/>
    <w:rsid w:val="00D83620"/>
    <w:rsid w:val="00D83899"/>
    <w:rsid w:val="00D83BE6"/>
    <w:rsid w:val="00D848FC"/>
    <w:rsid w:val="00D908AE"/>
    <w:rsid w:val="00D93D50"/>
    <w:rsid w:val="00D97EAF"/>
    <w:rsid w:val="00DA0438"/>
    <w:rsid w:val="00DA5FD6"/>
    <w:rsid w:val="00DB0950"/>
    <w:rsid w:val="00DB3348"/>
    <w:rsid w:val="00DB76A2"/>
    <w:rsid w:val="00DC213F"/>
    <w:rsid w:val="00DC420A"/>
    <w:rsid w:val="00DD07B2"/>
    <w:rsid w:val="00DD2EDD"/>
    <w:rsid w:val="00DD2FF5"/>
    <w:rsid w:val="00DD3182"/>
    <w:rsid w:val="00DD4748"/>
    <w:rsid w:val="00DD64F5"/>
    <w:rsid w:val="00DD6766"/>
    <w:rsid w:val="00DE176E"/>
    <w:rsid w:val="00DE7D93"/>
    <w:rsid w:val="00DF23B6"/>
    <w:rsid w:val="00DF2611"/>
    <w:rsid w:val="00DF7719"/>
    <w:rsid w:val="00E01101"/>
    <w:rsid w:val="00E07AC8"/>
    <w:rsid w:val="00E104DB"/>
    <w:rsid w:val="00E10790"/>
    <w:rsid w:val="00E11C48"/>
    <w:rsid w:val="00E12095"/>
    <w:rsid w:val="00E13E5E"/>
    <w:rsid w:val="00E16833"/>
    <w:rsid w:val="00E1708C"/>
    <w:rsid w:val="00E218E2"/>
    <w:rsid w:val="00E2284A"/>
    <w:rsid w:val="00E22E73"/>
    <w:rsid w:val="00E230DD"/>
    <w:rsid w:val="00E25136"/>
    <w:rsid w:val="00E274A3"/>
    <w:rsid w:val="00E30193"/>
    <w:rsid w:val="00E32309"/>
    <w:rsid w:val="00E3385C"/>
    <w:rsid w:val="00E34C6F"/>
    <w:rsid w:val="00E34FFD"/>
    <w:rsid w:val="00E3515E"/>
    <w:rsid w:val="00E37490"/>
    <w:rsid w:val="00E37C01"/>
    <w:rsid w:val="00E40D94"/>
    <w:rsid w:val="00E412CF"/>
    <w:rsid w:val="00E423F7"/>
    <w:rsid w:val="00E44C8D"/>
    <w:rsid w:val="00E5071F"/>
    <w:rsid w:val="00E50802"/>
    <w:rsid w:val="00E544DB"/>
    <w:rsid w:val="00E57D3C"/>
    <w:rsid w:val="00E630BD"/>
    <w:rsid w:val="00E646C1"/>
    <w:rsid w:val="00E66976"/>
    <w:rsid w:val="00E66FE4"/>
    <w:rsid w:val="00E66FF5"/>
    <w:rsid w:val="00E672C3"/>
    <w:rsid w:val="00E70285"/>
    <w:rsid w:val="00E74F43"/>
    <w:rsid w:val="00E7667B"/>
    <w:rsid w:val="00E77F42"/>
    <w:rsid w:val="00E838D6"/>
    <w:rsid w:val="00E86F39"/>
    <w:rsid w:val="00E97470"/>
    <w:rsid w:val="00EA0CBC"/>
    <w:rsid w:val="00EA102C"/>
    <w:rsid w:val="00EA235F"/>
    <w:rsid w:val="00EA2AA1"/>
    <w:rsid w:val="00EA2DCA"/>
    <w:rsid w:val="00EA5D7E"/>
    <w:rsid w:val="00EA6AF1"/>
    <w:rsid w:val="00EB0784"/>
    <w:rsid w:val="00EB153D"/>
    <w:rsid w:val="00EB22EC"/>
    <w:rsid w:val="00EB3EE6"/>
    <w:rsid w:val="00EB5951"/>
    <w:rsid w:val="00EC0C59"/>
    <w:rsid w:val="00EC3131"/>
    <w:rsid w:val="00EC542E"/>
    <w:rsid w:val="00EC5902"/>
    <w:rsid w:val="00ED0457"/>
    <w:rsid w:val="00ED0B16"/>
    <w:rsid w:val="00ED1280"/>
    <w:rsid w:val="00ED3999"/>
    <w:rsid w:val="00EE0DC4"/>
    <w:rsid w:val="00EE140E"/>
    <w:rsid w:val="00EE31CE"/>
    <w:rsid w:val="00EE3C76"/>
    <w:rsid w:val="00EE3FBA"/>
    <w:rsid w:val="00EE4CC2"/>
    <w:rsid w:val="00EF12F0"/>
    <w:rsid w:val="00EF272D"/>
    <w:rsid w:val="00EF2B35"/>
    <w:rsid w:val="00EF7474"/>
    <w:rsid w:val="00EF7615"/>
    <w:rsid w:val="00F07625"/>
    <w:rsid w:val="00F11B67"/>
    <w:rsid w:val="00F1287F"/>
    <w:rsid w:val="00F12B6D"/>
    <w:rsid w:val="00F12CA2"/>
    <w:rsid w:val="00F14203"/>
    <w:rsid w:val="00F153C5"/>
    <w:rsid w:val="00F155A0"/>
    <w:rsid w:val="00F1615C"/>
    <w:rsid w:val="00F161FD"/>
    <w:rsid w:val="00F17736"/>
    <w:rsid w:val="00F20C39"/>
    <w:rsid w:val="00F2217D"/>
    <w:rsid w:val="00F24DF5"/>
    <w:rsid w:val="00F252EB"/>
    <w:rsid w:val="00F3060E"/>
    <w:rsid w:val="00F33421"/>
    <w:rsid w:val="00F40FC3"/>
    <w:rsid w:val="00F421BF"/>
    <w:rsid w:val="00F430D1"/>
    <w:rsid w:val="00F44680"/>
    <w:rsid w:val="00F45B7A"/>
    <w:rsid w:val="00F46366"/>
    <w:rsid w:val="00F52C1D"/>
    <w:rsid w:val="00F54098"/>
    <w:rsid w:val="00F564CC"/>
    <w:rsid w:val="00F577A7"/>
    <w:rsid w:val="00F62B16"/>
    <w:rsid w:val="00F65F66"/>
    <w:rsid w:val="00F676EE"/>
    <w:rsid w:val="00F7156B"/>
    <w:rsid w:val="00F7210A"/>
    <w:rsid w:val="00F737DD"/>
    <w:rsid w:val="00F74ECE"/>
    <w:rsid w:val="00F811D5"/>
    <w:rsid w:val="00F83B0E"/>
    <w:rsid w:val="00F878DF"/>
    <w:rsid w:val="00F9138A"/>
    <w:rsid w:val="00F93995"/>
    <w:rsid w:val="00F94A0F"/>
    <w:rsid w:val="00F94EBF"/>
    <w:rsid w:val="00F951EC"/>
    <w:rsid w:val="00F951F2"/>
    <w:rsid w:val="00F95889"/>
    <w:rsid w:val="00F97549"/>
    <w:rsid w:val="00FA4DDA"/>
    <w:rsid w:val="00FA505F"/>
    <w:rsid w:val="00FA778A"/>
    <w:rsid w:val="00FB4FDA"/>
    <w:rsid w:val="00FB5D31"/>
    <w:rsid w:val="00FB5FEF"/>
    <w:rsid w:val="00FB722A"/>
    <w:rsid w:val="00FB7527"/>
    <w:rsid w:val="00FC2B06"/>
    <w:rsid w:val="00FC32CF"/>
    <w:rsid w:val="00FC336A"/>
    <w:rsid w:val="00FC4005"/>
    <w:rsid w:val="00FC40CD"/>
    <w:rsid w:val="00FD3F7A"/>
    <w:rsid w:val="00FE2FB5"/>
    <w:rsid w:val="00FE3845"/>
    <w:rsid w:val="00FE3E58"/>
    <w:rsid w:val="00FE5DBE"/>
    <w:rsid w:val="00FE6A98"/>
    <w:rsid w:val="00FF0233"/>
    <w:rsid w:val="00FF1425"/>
    <w:rsid w:val="00FF2686"/>
    <w:rsid w:val="00FF320E"/>
    <w:rsid w:val="00FF4393"/>
    <w:rsid w:val="00FF5ACA"/>
    <w:rsid w:val="00FF6325"/>
    <w:rsid w:val="00FF740F"/>
    <w:rsid w:val="0115BCDA"/>
    <w:rsid w:val="01223014"/>
    <w:rsid w:val="012798D5"/>
    <w:rsid w:val="012849B9"/>
    <w:rsid w:val="013057E8"/>
    <w:rsid w:val="01446627"/>
    <w:rsid w:val="0147168A"/>
    <w:rsid w:val="015825B4"/>
    <w:rsid w:val="016718E0"/>
    <w:rsid w:val="019856B3"/>
    <w:rsid w:val="01C82554"/>
    <w:rsid w:val="01CE345D"/>
    <w:rsid w:val="01E6AE52"/>
    <w:rsid w:val="02092987"/>
    <w:rsid w:val="021931B9"/>
    <w:rsid w:val="0225A519"/>
    <w:rsid w:val="0229D6C1"/>
    <w:rsid w:val="025A6111"/>
    <w:rsid w:val="0264FED4"/>
    <w:rsid w:val="026E5014"/>
    <w:rsid w:val="0280F6BE"/>
    <w:rsid w:val="0281DBD8"/>
    <w:rsid w:val="02873B62"/>
    <w:rsid w:val="028B5793"/>
    <w:rsid w:val="029260F6"/>
    <w:rsid w:val="02926B9C"/>
    <w:rsid w:val="029D8737"/>
    <w:rsid w:val="02A1A3E4"/>
    <w:rsid w:val="02B9B885"/>
    <w:rsid w:val="02C61220"/>
    <w:rsid w:val="02F59B77"/>
    <w:rsid w:val="02FBDE05"/>
    <w:rsid w:val="032FA9EB"/>
    <w:rsid w:val="033279FB"/>
    <w:rsid w:val="0348CC40"/>
    <w:rsid w:val="0369FD1C"/>
    <w:rsid w:val="0385F7FF"/>
    <w:rsid w:val="03A0E200"/>
    <w:rsid w:val="03B0E83A"/>
    <w:rsid w:val="03BDDAA3"/>
    <w:rsid w:val="03C9ED14"/>
    <w:rsid w:val="03D30253"/>
    <w:rsid w:val="03DBB867"/>
    <w:rsid w:val="03E4B9DF"/>
    <w:rsid w:val="03EF08DF"/>
    <w:rsid w:val="040A93E3"/>
    <w:rsid w:val="041B355E"/>
    <w:rsid w:val="045772BD"/>
    <w:rsid w:val="04619AE8"/>
    <w:rsid w:val="04629C7A"/>
    <w:rsid w:val="04685EFA"/>
    <w:rsid w:val="046DEE27"/>
    <w:rsid w:val="048B37D0"/>
    <w:rsid w:val="049DFA49"/>
    <w:rsid w:val="04B48506"/>
    <w:rsid w:val="04CA4BFA"/>
    <w:rsid w:val="04D67C83"/>
    <w:rsid w:val="04F9AF2E"/>
    <w:rsid w:val="0540D02E"/>
    <w:rsid w:val="05624F3F"/>
    <w:rsid w:val="05859B52"/>
    <w:rsid w:val="05A5C02F"/>
    <w:rsid w:val="05A89062"/>
    <w:rsid w:val="05C04E0B"/>
    <w:rsid w:val="05CF504D"/>
    <w:rsid w:val="05E1C17A"/>
    <w:rsid w:val="05FD8A82"/>
    <w:rsid w:val="061BF551"/>
    <w:rsid w:val="062FFA1A"/>
    <w:rsid w:val="06361CCF"/>
    <w:rsid w:val="0650A141"/>
    <w:rsid w:val="0689A486"/>
    <w:rsid w:val="068A760E"/>
    <w:rsid w:val="06ADD209"/>
    <w:rsid w:val="06B47787"/>
    <w:rsid w:val="06B96C1F"/>
    <w:rsid w:val="06BE7130"/>
    <w:rsid w:val="06DBEA72"/>
    <w:rsid w:val="06EA7931"/>
    <w:rsid w:val="06EC8739"/>
    <w:rsid w:val="0714174F"/>
    <w:rsid w:val="071A8BAC"/>
    <w:rsid w:val="072510F4"/>
    <w:rsid w:val="0730C827"/>
    <w:rsid w:val="07399EA4"/>
    <w:rsid w:val="073DCFF7"/>
    <w:rsid w:val="0740A17D"/>
    <w:rsid w:val="0752AF3A"/>
    <w:rsid w:val="076771E8"/>
    <w:rsid w:val="07798A45"/>
    <w:rsid w:val="0788F19A"/>
    <w:rsid w:val="07A1A690"/>
    <w:rsid w:val="07A9A088"/>
    <w:rsid w:val="07AD020C"/>
    <w:rsid w:val="07AD192A"/>
    <w:rsid w:val="07C6CB71"/>
    <w:rsid w:val="07CCFEAE"/>
    <w:rsid w:val="07D81372"/>
    <w:rsid w:val="07DCCA9F"/>
    <w:rsid w:val="07DDD98C"/>
    <w:rsid w:val="07E05E2A"/>
    <w:rsid w:val="07F2BAC7"/>
    <w:rsid w:val="08104F2A"/>
    <w:rsid w:val="0811AA48"/>
    <w:rsid w:val="081F644B"/>
    <w:rsid w:val="084D3173"/>
    <w:rsid w:val="084D5D62"/>
    <w:rsid w:val="088006AA"/>
    <w:rsid w:val="089642F2"/>
    <w:rsid w:val="08A95B86"/>
    <w:rsid w:val="08ABCABC"/>
    <w:rsid w:val="08E071E9"/>
    <w:rsid w:val="08E89E20"/>
    <w:rsid w:val="08EAA461"/>
    <w:rsid w:val="08F879F7"/>
    <w:rsid w:val="08FA4330"/>
    <w:rsid w:val="0901B9AE"/>
    <w:rsid w:val="0903DCA5"/>
    <w:rsid w:val="0907CE97"/>
    <w:rsid w:val="09186A2D"/>
    <w:rsid w:val="09390224"/>
    <w:rsid w:val="0958C175"/>
    <w:rsid w:val="09731375"/>
    <w:rsid w:val="0981F994"/>
    <w:rsid w:val="098965A7"/>
    <w:rsid w:val="09985258"/>
    <w:rsid w:val="09AAFB09"/>
    <w:rsid w:val="09ED2660"/>
    <w:rsid w:val="09F8294F"/>
    <w:rsid w:val="0A016CFF"/>
    <w:rsid w:val="0A042402"/>
    <w:rsid w:val="0A0C5E43"/>
    <w:rsid w:val="0A0E1998"/>
    <w:rsid w:val="0A150EAB"/>
    <w:rsid w:val="0A3723B2"/>
    <w:rsid w:val="0A396DAA"/>
    <w:rsid w:val="0A4A8C17"/>
    <w:rsid w:val="0A5D5179"/>
    <w:rsid w:val="0A5EFDF4"/>
    <w:rsid w:val="0A67FBBD"/>
    <w:rsid w:val="0A7A4161"/>
    <w:rsid w:val="0A7C0B0C"/>
    <w:rsid w:val="0A842642"/>
    <w:rsid w:val="0A92A6D2"/>
    <w:rsid w:val="0AA5E6AC"/>
    <w:rsid w:val="0AAB8084"/>
    <w:rsid w:val="0AB402EC"/>
    <w:rsid w:val="0ABCF80C"/>
    <w:rsid w:val="0B12FDBD"/>
    <w:rsid w:val="0B255AFC"/>
    <w:rsid w:val="0B2F50EE"/>
    <w:rsid w:val="0B320FFA"/>
    <w:rsid w:val="0B33BA5C"/>
    <w:rsid w:val="0B340F5F"/>
    <w:rsid w:val="0B34A7A8"/>
    <w:rsid w:val="0B376F29"/>
    <w:rsid w:val="0B4131A4"/>
    <w:rsid w:val="0B759D7F"/>
    <w:rsid w:val="0B945258"/>
    <w:rsid w:val="0B991B29"/>
    <w:rsid w:val="0BAA11DF"/>
    <w:rsid w:val="0BB68055"/>
    <w:rsid w:val="0BD48558"/>
    <w:rsid w:val="0BD5B00E"/>
    <w:rsid w:val="0BD785FC"/>
    <w:rsid w:val="0BE04145"/>
    <w:rsid w:val="0BEBC876"/>
    <w:rsid w:val="0BEBD59C"/>
    <w:rsid w:val="0C050B51"/>
    <w:rsid w:val="0C0CDAFB"/>
    <w:rsid w:val="0C23ED5D"/>
    <w:rsid w:val="0C2D5D5D"/>
    <w:rsid w:val="0C3CE3BA"/>
    <w:rsid w:val="0C4EF8D5"/>
    <w:rsid w:val="0C52BEB5"/>
    <w:rsid w:val="0C53C7B2"/>
    <w:rsid w:val="0C973BFA"/>
    <w:rsid w:val="0C9C4CED"/>
    <w:rsid w:val="0CA072A9"/>
    <w:rsid w:val="0CB79D6C"/>
    <w:rsid w:val="0CBDBF3E"/>
    <w:rsid w:val="0CDCF37C"/>
    <w:rsid w:val="0CE78745"/>
    <w:rsid w:val="0CE8F68E"/>
    <w:rsid w:val="0CFBF5F0"/>
    <w:rsid w:val="0D3B2942"/>
    <w:rsid w:val="0D3E6B3D"/>
    <w:rsid w:val="0D446677"/>
    <w:rsid w:val="0D506331"/>
    <w:rsid w:val="0D559706"/>
    <w:rsid w:val="0D5A82EB"/>
    <w:rsid w:val="0D7A1E21"/>
    <w:rsid w:val="0D8C3B50"/>
    <w:rsid w:val="0D9DC53D"/>
    <w:rsid w:val="0DAA4F49"/>
    <w:rsid w:val="0DBE4428"/>
    <w:rsid w:val="0DD39CDB"/>
    <w:rsid w:val="0DEACC4B"/>
    <w:rsid w:val="0DF38434"/>
    <w:rsid w:val="0DF9ADE0"/>
    <w:rsid w:val="0E0A5FB1"/>
    <w:rsid w:val="0E19EA36"/>
    <w:rsid w:val="0E1D588E"/>
    <w:rsid w:val="0E2618D1"/>
    <w:rsid w:val="0E2F257B"/>
    <w:rsid w:val="0E531881"/>
    <w:rsid w:val="0E6D6F2C"/>
    <w:rsid w:val="0E75475B"/>
    <w:rsid w:val="0E8157E9"/>
    <w:rsid w:val="0E9996C8"/>
    <w:rsid w:val="0E99B67C"/>
    <w:rsid w:val="0EA14563"/>
    <w:rsid w:val="0EA81090"/>
    <w:rsid w:val="0EACD483"/>
    <w:rsid w:val="0EAF27E3"/>
    <w:rsid w:val="0EB48CA4"/>
    <w:rsid w:val="0EBFA7E4"/>
    <w:rsid w:val="0ECC1CD3"/>
    <w:rsid w:val="0ED789AC"/>
    <w:rsid w:val="0EE1FEA5"/>
    <w:rsid w:val="0EF57E64"/>
    <w:rsid w:val="0F0DA29A"/>
    <w:rsid w:val="0F2EB501"/>
    <w:rsid w:val="0F30DDA4"/>
    <w:rsid w:val="0F354048"/>
    <w:rsid w:val="0F467A04"/>
    <w:rsid w:val="0F578ED1"/>
    <w:rsid w:val="0F585F03"/>
    <w:rsid w:val="0F5AA38D"/>
    <w:rsid w:val="0F94AFF8"/>
    <w:rsid w:val="0F98CB89"/>
    <w:rsid w:val="0FADED23"/>
    <w:rsid w:val="0FB6023A"/>
    <w:rsid w:val="0FC92035"/>
    <w:rsid w:val="0FCD3B65"/>
    <w:rsid w:val="0FE17333"/>
    <w:rsid w:val="104D2CC8"/>
    <w:rsid w:val="1058521B"/>
    <w:rsid w:val="105A7766"/>
    <w:rsid w:val="105D6EE5"/>
    <w:rsid w:val="10662FA2"/>
    <w:rsid w:val="10698553"/>
    <w:rsid w:val="107406DC"/>
    <w:rsid w:val="1090DD20"/>
    <w:rsid w:val="10A82871"/>
    <w:rsid w:val="10AD6BC1"/>
    <w:rsid w:val="10C02912"/>
    <w:rsid w:val="10C85737"/>
    <w:rsid w:val="10CEA96B"/>
    <w:rsid w:val="10DFA964"/>
    <w:rsid w:val="1107AAB1"/>
    <w:rsid w:val="110E35CC"/>
    <w:rsid w:val="1121910B"/>
    <w:rsid w:val="1139DF1F"/>
    <w:rsid w:val="113D0781"/>
    <w:rsid w:val="1140417C"/>
    <w:rsid w:val="11468219"/>
    <w:rsid w:val="1148B9C9"/>
    <w:rsid w:val="1163767E"/>
    <w:rsid w:val="11719F1D"/>
    <w:rsid w:val="11B26AA5"/>
    <w:rsid w:val="11C080E7"/>
    <w:rsid w:val="11C29162"/>
    <w:rsid w:val="11EEA121"/>
    <w:rsid w:val="120018EB"/>
    <w:rsid w:val="122959A0"/>
    <w:rsid w:val="123051DA"/>
    <w:rsid w:val="1230B415"/>
    <w:rsid w:val="1231611A"/>
    <w:rsid w:val="1232D71D"/>
    <w:rsid w:val="123CE0AD"/>
    <w:rsid w:val="124E5AA3"/>
    <w:rsid w:val="125AA799"/>
    <w:rsid w:val="12660E84"/>
    <w:rsid w:val="126D9C27"/>
    <w:rsid w:val="1273C313"/>
    <w:rsid w:val="127B37EF"/>
    <w:rsid w:val="127E0D20"/>
    <w:rsid w:val="1292F2A3"/>
    <w:rsid w:val="12C79BDF"/>
    <w:rsid w:val="12D33431"/>
    <w:rsid w:val="12D988A0"/>
    <w:rsid w:val="12DDF99A"/>
    <w:rsid w:val="12E42888"/>
    <w:rsid w:val="12E510AF"/>
    <w:rsid w:val="12EA80F7"/>
    <w:rsid w:val="12F15EF8"/>
    <w:rsid w:val="12F5E18E"/>
    <w:rsid w:val="1308B280"/>
    <w:rsid w:val="1313FF23"/>
    <w:rsid w:val="13423D87"/>
    <w:rsid w:val="1343D864"/>
    <w:rsid w:val="13686435"/>
    <w:rsid w:val="136D468C"/>
    <w:rsid w:val="1374017D"/>
    <w:rsid w:val="1386F1AB"/>
    <w:rsid w:val="138AC55F"/>
    <w:rsid w:val="13A23044"/>
    <w:rsid w:val="13B4BE27"/>
    <w:rsid w:val="13C1DE0E"/>
    <w:rsid w:val="13F851C7"/>
    <w:rsid w:val="13F9FF8F"/>
    <w:rsid w:val="13FA820B"/>
    <w:rsid w:val="141372C4"/>
    <w:rsid w:val="14542E3B"/>
    <w:rsid w:val="14776EE4"/>
    <w:rsid w:val="147D13AF"/>
    <w:rsid w:val="14B6C99D"/>
    <w:rsid w:val="14DEB3D0"/>
    <w:rsid w:val="14ED7B9E"/>
    <w:rsid w:val="14EE34F7"/>
    <w:rsid w:val="14F3A884"/>
    <w:rsid w:val="1507EFD4"/>
    <w:rsid w:val="151DDD16"/>
    <w:rsid w:val="153E3A15"/>
    <w:rsid w:val="154708EA"/>
    <w:rsid w:val="155B2133"/>
    <w:rsid w:val="1573D111"/>
    <w:rsid w:val="15894C63"/>
    <w:rsid w:val="159474E1"/>
    <w:rsid w:val="15AC3F04"/>
    <w:rsid w:val="15AEC0D0"/>
    <w:rsid w:val="15C64A96"/>
    <w:rsid w:val="15C9823B"/>
    <w:rsid w:val="15DAD585"/>
    <w:rsid w:val="15DC50CD"/>
    <w:rsid w:val="15F3B16E"/>
    <w:rsid w:val="15F80B25"/>
    <w:rsid w:val="15F977C5"/>
    <w:rsid w:val="15FB5D12"/>
    <w:rsid w:val="1604705D"/>
    <w:rsid w:val="1609480C"/>
    <w:rsid w:val="160AA47B"/>
    <w:rsid w:val="160D3316"/>
    <w:rsid w:val="1619A6EA"/>
    <w:rsid w:val="16227515"/>
    <w:rsid w:val="1622A80B"/>
    <w:rsid w:val="16253221"/>
    <w:rsid w:val="1636E20E"/>
    <w:rsid w:val="16473A8C"/>
    <w:rsid w:val="165E64E4"/>
    <w:rsid w:val="1668BEFD"/>
    <w:rsid w:val="1685BDC0"/>
    <w:rsid w:val="168EFE7B"/>
    <w:rsid w:val="169A080F"/>
    <w:rsid w:val="16BE866B"/>
    <w:rsid w:val="16C45030"/>
    <w:rsid w:val="16C754EF"/>
    <w:rsid w:val="16D2D7C2"/>
    <w:rsid w:val="16E5AD7B"/>
    <w:rsid w:val="16F74BBF"/>
    <w:rsid w:val="16FACD8A"/>
    <w:rsid w:val="17093E04"/>
    <w:rsid w:val="170D18BB"/>
    <w:rsid w:val="17338A66"/>
    <w:rsid w:val="173F59E5"/>
    <w:rsid w:val="1742A328"/>
    <w:rsid w:val="1747368C"/>
    <w:rsid w:val="1757D94C"/>
    <w:rsid w:val="17650336"/>
    <w:rsid w:val="176AD087"/>
    <w:rsid w:val="176D83F5"/>
    <w:rsid w:val="177D8A43"/>
    <w:rsid w:val="177E4881"/>
    <w:rsid w:val="1782A1C9"/>
    <w:rsid w:val="17A51542"/>
    <w:rsid w:val="17A9BCAD"/>
    <w:rsid w:val="17A9EBDB"/>
    <w:rsid w:val="17C76CF0"/>
    <w:rsid w:val="17CC10DB"/>
    <w:rsid w:val="180F3916"/>
    <w:rsid w:val="18288A95"/>
    <w:rsid w:val="182DCE73"/>
    <w:rsid w:val="1845EFA2"/>
    <w:rsid w:val="18480729"/>
    <w:rsid w:val="1849A171"/>
    <w:rsid w:val="184BD3F8"/>
    <w:rsid w:val="1854B402"/>
    <w:rsid w:val="185533E6"/>
    <w:rsid w:val="186308A5"/>
    <w:rsid w:val="1863E033"/>
    <w:rsid w:val="186B60C2"/>
    <w:rsid w:val="18A40C74"/>
    <w:rsid w:val="18B4323C"/>
    <w:rsid w:val="18D78803"/>
    <w:rsid w:val="18D87293"/>
    <w:rsid w:val="18DB0C86"/>
    <w:rsid w:val="18E3BAA8"/>
    <w:rsid w:val="18ED3287"/>
    <w:rsid w:val="18F91427"/>
    <w:rsid w:val="1911F4B9"/>
    <w:rsid w:val="1912E31F"/>
    <w:rsid w:val="1958F19B"/>
    <w:rsid w:val="19666D29"/>
    <w:rsid w:val="19861A4D"/>
    <w:rsid w:val="199EE1D5"/>
    <w:rsid w:val="19A21B13"/>
    <w:rsid w:val="19B5A59A"/>
    <w:rsid w:val="19C90ECD"/>
    <w:rsid w:val="19D66111"/>
    <w:rsid w:val="19DD1064"/>
    <w:rsid w:val="1A150522"/>
    <w:rsid w:val="1A1B0025"/>
    <w:rsid w:val="1A213062"/>
    <w:rsid w:val="1A24A3FA"/>
    <w:rsid w:val="1A25210C"/>
    <w:rsid w:val="1A5F8451"/>
    <w:rsid w:val="1A73685C"/>
    <w:rsid w:val="1A92BAA6"/>
    <w:rsid w:val="1A9E7F85"/>
    <w:rsid w:val="1AA5C78D"/>
    <w:rsid w:val="1AA88B74"/>
    <w:rsid w:val="1AAC6AEF"/>
    <w:rsid w:val="1AB747CA"/>
    <w:rsid w:val="1AC34BB9"/>
    <w:rsid w:val="1ACA599D"/>
    <w:rsid w:val="1ACF029C"/>
    <w:rsid w:val="1AD9D098"/>
    <w:rsid w:val="1ADC9B56"/>
    <w:rsid w:val="1AF2967C"/>
    <w:rsid w:val="1AFF7A0F"/>
    <w:rsid w:val="1B17CB32"/>
    <w:rsid w:val="1B19074A"/>
    <w:rsid w:val="1B1D9C87"/>
    <w:rsid w:val="1B223E60"/>
    <w:rsid w:val="1B2FB249"/>
    <w:rsid w:val="1B36BBCE"/>
    <w:rsid w:val="1B3F6CA8"/>
    <w:rsid w:val="1B4B2FAE"/>
    <w:rsid w:val="1B524BE9"/>
    <w:rsid w:val="1B5E6757"/>
    <w:rsid w:val="1B5F4C68"/>
    <w:rsid w:val="1B7235DE"/>
    <w:rsid w:val="1B7342B9"/>
    <w:rsid w:val="1B7B93E7"/>
    <w:rsid w:val="1B8203A1"/>
    <w:rsid w:val="1B8CE7AA"/>
    <w:rsid w:val="1B8ECDF5"/>
    <w:rsid w:val="1BA27E99"/>
    <w:rsid w:val="1BA9935F"/>
    <w:rsid w:val="1BB43879"/>
    <w:rsid w:val="1BC0CDC1"/>
    <w:rsid w:val="1BCC2383"/>
    <w:rsid w:val="1BCE53A0"/>
    <w:rsid w:val="1BD0E2B7"/>
    <w:rsid w:val="1BD3D5CF"/>
    <w:rsid w:val="1BE58F1D"/>
    <w:rsid w:val="1BF0D5A0"/>
    <w:rsid w:val="1BF60487"/>
    <w:rsid w:val="1C137E52"/>
    <w:rsid w:val="1C1A6E71"/>
    <w:rsid w:val="1C225766"/>
    <w:rsid w:val="1C22E370"/>
    <w:rsid w:val="1C244C25"/>
    <w:rsid w:val="1C2F4B8D"/>
    <w:rsid w:val="1C33408B"/>
    <w:rsid w:val="1C38475C"/>
    <w:rsid w:val="1C5D55E1"/>
    <w:rsid w:val="1C5EAB73"/>
    <w:rsid w:val="1C642033"/>
    <w:rsid w:val="1C688BD5"/>
    <w:rsid w:val="1C6C1AF4"/>
    <w:rsid w:val="1C80FEC6"/>
    <w:rsid w:val="1C8F8542"/>
    <w:rsid w:val="1C978345"/>
    <w:rsid w:val="1CA926AC"/>
    <w:rsid w:val="1CB80732"/>
    <w:rsid w:val="1CC30C3C"/>
    <w:rsid w:val="1CFB04F8"/>
    <w:rsid w:val="1D1C3F62"/>
    <w:rsid w:val="1D35D795"/>
    <w:rsid w:val="1D407C04"/>
    <w:rsid w:val="1D42B0D0"/>
    <w:rsid w:val="1D513866"/>
    <w:rsid w:val="1D606D09"/>
    <w:rsid w:val="1D60EBFA"/>
    <w:rsid w:val="1D632154"/>
    <w:rsid w:val="1D637DE3"/>
    <w:rsid w:val="1D6EAA0D"/>
    <w:rsid w:val="1D779D04"/>
    <w:rsid w:val="1D893E5B"/>
    <w:rsid w:val="1D996AFB"/>
    <w:rsid w:val="1DA64EF3"/>
    <w:rsid w:val="1DAC99DC"/>
    <w:rsid w:val="1DACF954"/>
    <w:rsid w:val="1DC25B13"/>
    <w:rsid w:val="1DC4292C"/>
    <w:rsid w:val="1DCFDCF5"/>
    <w:rsid w:val="1DD2B3A7"/>
    <w:rsid w:val="1DDB81C5"/>
    <w:rsid w:val="1DE72750"/>
    <w:rsid w:val="1DF58B25"/>
    <w:rsid w:val="1DF9600B"/>
    <w:rsid w:val="1DFA84F2"/>
    <w:rsid w:val="1E2BB58F"/>
    <w:rsid w:val="1E33654E"/>
    <w:rsid w:val="1E5D9A12"/>
    <w:rsid w:val="1E63F797"/>
    <w:rsid w:val="1E6DD5D0"/>
    <w:rsid w:val="1E6E578F"/>
    <w:rsid w:val="1E7C9B5F"/>
    <w:rsid w:val="1E82D6BC"/>
    <w:rsid w:val="1E96C3F9"/>
    <w:rsid w:val="1EA2049C"/>
    <w:rsid w:val="1EAA4E19"/>
    <w:rsid w:val="1EAE0FD5"/>
    <w:rsid w:val="1EB2FB95"/>
    <w:rsid w:val="1EB4918A"/>
    <w:rsid w:val="1EB5D4BD"/>
    <w:rsid w:val="1EDC613B"/>
    <w:rsid w:val="1EF0C2D2"/>
    <w:rsid w:val="1EF7F1ED"/>
    <w:rsid w:val="1F0A674B"/>
    <w:rsid w:val="1F13A180"/>
    <w:rsid w:val="1F1AEB12"/>
    <w:rsid w:val="1F2CC6AF"/>
    <w:rsid w:val="1F320504"/>
    <w:rsid w:val="1F5621D5"/>
    <w:rsid w:val="1F5872BE"/>
    <w:rsid w:val="1F5A6C21"/>
    <w:rsid w:val="1F5CCA6F"/>
    <w:rsid w:val="1F702798"/>
    <w:rsid w:val="1F7062A3"/>
    <w:rsid w:val="1F731C7C"/>
    <w:rsid w:val="1F7FDE38"/>
    <w:rsid w:val="1F82BBA8"/>
    <w:rsid w:val="1F87D8B6"/>
    <w:rsid w:val="1F8C1DC7"/>
    <w:rsid w:val="1F9FA0AF"/>
    <w:rsid w:val="1FA7F11A"/>
    <w:rsid w:val="1FDE5895"/>
    <w:rsid w:val="1FE908B0"/>
    <w:rsid w:val="1FE98E1A"/>
    <w:rsid w:val="1FEAF99E"/>
    <w:rsid w:val="1FFBA487"/>
    <w:rsid w:val="1FFD8280"/>
    <w:rsid w:val="202809A8"/>
    <w:rsid w:val="20331A5A"/>
    <w:rsid w:val="2050A1B9"/>
    <w:rsid w:val="20708913"/>
    <w:rsid w:val="20A09C02"/>
    <w:rsid w:val="20A38202"/>
    <w:rsid w:val="20AED3C1"/>
    <w:rsid w:val="20DF02C7"/>
    <w:rsid w:val="20E0537C"/>
    <w:rsid w:val="21070842"/>
    <w:rsid w:val="21269EE1"/>
    <w:rsid w:val="212F94D1"/>
    <w:rsid w:val="21603206"/>
    <w:rsid w:val="216C49FB"/>
    <w:rsid w:val="2182B97E"/>
    <w:rsid w:val="21DB86CF"/>
    <w:rsid w:val="21F37830"/>
    <w:rsid w:val="2216C2CE"/>
    <w:rsid w:val="222F5D15"/>
    <w:rsid w:val="2234E3CB"/>
    <w:rsid w:val="223B3FB1"/>
    <w:rsid w:val="2249640B"/>
    <w:rsid w:val="2251FE92"/>
    <w:rsid w:val="22734183"/>
    <w:rsid w:val="2283AA58"/>
    <w:rsid w:val="228795DA"/>
    <w:rsid w:val="22C1BC1C"/>
    <w:rsid w:val="22CB4FD7"/>
    <w:rsid w:val="22DCFB13"/>
    <w:rsid w:val="22DD0D9F"/>
    <w:rsid w:val="22DD7878"/>
    <w:rsid w:val="22DF8302"/>
    <w:rsid w:val="22E5CE86"/>
    <w:rsid w:val="22E8F2D2"/>
    <w:rsid w:val="22EA82E4"/>
    <w:rsid w:val="22ECAC13"/>
    <w:rsid w:val="22F8EAFA"/>
    <w:rsid w:val="231086AC"/>
    <w:rsid w:val="23124136"/>
    <w:rsid w:val="2331B26A"/>
    <w:rsid w:val="23336925"/>
    <w:rsid w:val="2341B958"/>
    <w:rsid w:val="2353CB8B"/>
    <w:rsid w:val="23656377"/>
    <w:rsid w:val="236CC900"/>
    <w:rsid w:val="23764C8D"/>
    <w:rsid w:val="238E5513"/>
    <w:rsid w:val="23942CE4"/>
    <w:rsid w:val="23A104A9"/>
    <w:rsid w:val="23A1E80E"/>
    <w:rsid w:val="23AAB5FD"/>
    <w:rsid w:val="23BE1D5B"/>
    <w:rsid w:val="23DBBEF2"/>
    <w:rsid w:val="23E61B12"/>
    <w:rsid w:val="23EB0A43"/>
    <w:rsid w:val="24061D87"/>
    <w:rsid w:val="240AA32D"/>
    <w:rsid w:val="241A8B4E"/>
    <w:rsid w:val="242862E8"/>
    <w:rsid w:val="244E6B19"/>
    <w:rsid w:val="2455D6C6"/>
    <w:rsid w:val="246932FA"/>
    <w:rsid w:val="246E1F1E"/>
    <w:rsid w:val="24D7025C"/>
    <w:rsid w:val="24EACEBD"/>
    <w:rsid w:val="24F2F081"/>
    <w:rsid w:val="25040021"/>
    <w:rsid w:val="2504D20C"/>
    <w:rsid w:val="250A8BE1"/>
    <w:rsid w:val="251704DE"/>
    <w:rsid w:val="251A32F4"/>
    <w:rsid w:val="252A51CA"/>
    <w:rsid w:val="253C19E3"/>
    <w:rsid w:val="2547B079"/>
    <w:rsid w:val="254A1E8D"/>
    <w:rsid w:val="255A8EA2"/>
    <w:rsid w:val="256B2707"/>
    <w:rsid w:val="25720E0B"/>
    <w:rsid w:val="2596BC05"/>
    <w:rsid w:val="25AD99CC"/>
    <w:rsid w:val="25B06FD3"/>
    <w:rsid w:val="25C6006F"/>
    <w:rsid w:val="25EBA827"/>
    <w:rsid w:val="2602F85E"/>
    <w:rsid w:val="2608C753"/>
    <w:rsid w:val="260C22EB"/>
    <w:rsid w:val="2622CDF1"/>
    <w:rsid w:val="265247E5"/>
    <w:rsid w:val="2665D559"/>
    <w:rsid w:val="266D448A"/>
    <w:rsid w:val="26789D4B"/>
    <w:rsid w:val="267B880D"/>
    <w:rsid w:val="26A72766"/>
    <w:rsid w:val="26AD01B8"/>
    <w:rsid w:val="26AFDA8E"/>
    <w:rsid w:val="26BBC36E"/>
    <w:rsid w:val="26D555D3"/>
    <w:rsid w:val="2781DD6E"/>
    <w:rsid w:val="27AA206E"/>
    <w:rsid w:val="27F295BB"/>
    <w:rsid w:val="27F7841A"/>
    <w:rsid w:val="28188B66"/>
    <w:rsid w:val="281EE8F3"/>
    <w:rsid w:val="28287456"/>
    <w:rsid w:val="2834BF61"/>
    <w:rsid w:val="2841E01A"/>
    <w:rsid w:val="2852C66C"/>
    <w:rsid w:val="28577558"/>
    <w:rsid w:val="285A77F0"/>
    <w:rsid w:val="2861CAEE"/>
    <w:rsid w:val="287D45F0"/>
    <w:rsid w:val="288DC8FC"/>
    <w:rsid w:val="28989C44"/>
    <w:rsid w:val="289AB9A1"/>
    <w:rsid w:val="28B8E688"/>
    <w:rsid w:val="28C8DC5A"/>
    <w:rsid w:val="28D3E638"/>
    <w:rsid w:val="28E9901A"/>
    <w:rsid w:val="28FE23A3"/>
    <w:rsid w:val="29011CF6"/>
    <w:rsid w:val="29132FAB"/>
    <w:rsid w:val="2915BEBE"/>
    <w:rsid w:val="292D77AC"/>
    <w:rsid w:val="2939990E"/>
    <w:rsid w:val="294190D9"/>
    <w:rsid w:val="2958F764"/>
    <w:rsid w:val="296B43ED"/>
    <w:rsid w:val="29957D3E"/>
    <w:rsid w:val="29AE12DF"/>
    <w:rsid w:val="29B04B9A"/>
    <w:rsid w:val="29B90A4C"/>
    <w:rsid w:val="29C15652"/>
    <w:rsid w:val="29CA62C0"/>
    <w:rsid w:val="29CD1B6A"/>
    <w:rsid w:val="29F6985E"/>
    <w:rsid w:val="29FB6525"/>
    <w:rsid w:val="2A1D16CD"/>
    <w:rsid w:val="2A45E59A"/>
    <w:rsid w:val="2A54FC2F"/>
    <w:rsid w:val="2A570349"/>
    <w:rsid w:val="2A6C198C"/>
    <w:rsid w:val="2A6CC003"/>
    <w:rsid w:val="2A75D153"/>
    <w:rsid w:val="2A7AE36A"/>
    <w:rsid w:val="2AB713DA"/>
    <w:rsid w:val="2AC0B1B5"/>
    <w:rsid w:val="2ACC057D"/>
    <w:rsid w:val="2AD6DAEE"/>
    <w:rsid w:val="2AFC0813"/>
    <w:rsid w:val="2AFE9421"/>
    <w:rsid w:val="2B00C315"/>
    <w:rsid w:val="2B22FDEA"/>
    <w:rsid w:val="2B23E1DA"/>
    <w:rsid w:val="2B43711D"/>
    <w:rsid w:val="2B6963F3"/>
    <w:rsid w:val="2B75215F"/>
    <w:rsid w:val="2BAB5DE2"/>
    <w:rsid w:val="2BB40B11"/>
    <w:rsid w:val="2BC5282B"/>
    <w:rsid w:val="2BDD5976"/>
    <w:rsid w:val="2BE1A685"/>
    <w:rsid w:val="2BE846E2"/>
    <w:rsid w:val="2BF730C6"/>
    <w:rsid w:val="2BFE22D9"/>
    <w:rsid w:val="2C171810"/>
    <w:rsid w:val="2C1F6584"/>
    <w:rsid w:val="2C29098C"/>
    <w:rsid w:val="2C3795D2"/>
    <w:rsid w:val="2C387231"/>
    <w:rsid w:val="2C3D3CFA"/>
    <w:rsid w:val="2C4F2154"/>
    <w:rsid w:val="2C58010F"/>
    <w:rsid w:val="2C5FF1FE"/>
    <w:rsid w:val="2C6259EB"/>
    <w:rsid w:val="2C68B9A5"/>
    <w:rsid w:val="2C73F2F4"/>
    <w:rsid w:val="2C74D347"/>
    <w:rsid w:val="2C7514DC"/>
    <w:rsid w:val="2C775CB8"/>
    <w:rsid w:val="2C7C5741"/>
    <w:rsid w:val="2C7EEE23"/>
    <w:rsid w:val="2C96FCA2"/>
    <w:rsid w:val="2C9A1CC5"/>
    <w:rsid w:val="2CA74F5F"/>
    <w:rsid w:val="2CB652F2"/>
    <w:rsid w:val="2CBA1AF2"/>
    <w:rsid w:val="2CC8CB93"/>
    <w:rsid w:val="2CCF2F90"/>
    <w:rsid w:val="2CDBE528"/>
    <w:rsid w:val="2CDC2CA2"/>
    <w:rsid w:val="2CF96A8A"/>
    <w:rsid w:val="2D005F95"/>
    <w:rsid w:val="2D062850"/>
    <w:rsid w:val="2D17038C"/>
    <w:rsid w:val="2D1FA5C5"/>
    <w:rsid w:val="2D29C6D4"/>
    <w:rsid w:val="2D315E3F"/>
    <w:rsid w:val="2D332AFF"/>
    <w:rsid w:val="2D62CC2E"/>
    <w:rsid w:val="2D8D97B0"/>
    <w:rsid w:val="2D9B8F16"/>
    <w:rsid w:val="2DA402EA"/>
    <w:rsid w:val="2DAAE739"/>
    <w:rsid w:val="2DBFEE7A"/>
    <w:rsid w:val="2DC14A89"/>
    <w:rsid w:val="2DCF435E"/>
    <w:rsid w:val="2DD2CFB5"/>
    <w:rsid w:val="2DD7CE63"/>
    <w:rsid w:val="2DE2D704"/>
    <w:rsid w:val="2DE72B3C"/>
    <w:rsid w:val="2DEEC186"/>
    <w:rsid w:val="2E0F8B85"/>
    <w:rsid w:val="2E1735B9"/>
    <w:rsid w:val="2E32B671"/>
    <w:rsid w:val="2E3DEA3D"/>
    <w:rsid w:val="2E4E3CFF"/>
    <w:rsid w:val="2E5126E5"/>
    <w:rsid w:val="2E63C631"/>
    <w:rsid w:val="2E658A75"/>
    <w:rsid w:val="2E7CD718"/>
    <w:rsid w:val="2E84C73E"/>
    <w:rsid w:val="2E855E89"/>
    <w:rsid w:val="2E89B7B5"/>
    <w:rsid w:val="2ED66FBD"/>
    <w:rsid w:val="2EFCE819"/>
    <w:rsid w:val="2F0D3AE0"/>
    <w:rsid w:val="2F11CCBB"/>
    <w:rsid w:val="2F166BC7"/>
    <w:rsid w:val="2F191F6A"/>
    <w:rsid w:val="2F23D600"/>
    <w:rsid w:val="2F283759"/>
    <w:rsid w:val="2F33E057"/>
    <w:rsid w:val="2F377AE2"/>
    <w:rsid w:val="2F73C81F"/>
    <w:rsid w:val="2F96E4B8"/>
    <w:rsid w:val="2FA56234"/>
    <w:rsid w:val="2FB100BD"/>
    <w:rsid w:val="2FC483A8"/>
    <w:rsid w:val="2FC76368"/>
    <w:rsid w:val="2FCE4D50"/>
    <w:rsid w:val="2FE76FD3"/>
    <w:rsid w:val="301E2C0C"/>
    <w:rsid w:val="30440537"/>
    <w:rsid w:val="3066DEF7"/>
    <w:rsid w:val="307CD1AF"/>
    <w:rsid w:val="3087AB48"/>
    <w:rsid w:val="30A6906E"/>
    <w:rsid w:val="30B2309A"/>
    <w:rsid w:val="30B2C10F"/>
    <w:rsid w:val="30D8B1BE"/>
    <w:rsid w:val="3112719E"/>
    <w:rsid w:val="312602F5"/>
    <w:rsid w:val="31363D64"/>
    <w:rsid w:val="315B30C7"/>
    <w:rsid w:val="315BD6A0"/>
    <w:rsid w:val="316D30EA"/>
    <w:rsid w:val="3199053B"/>
    <w:rsid w:val="31AA8F49"/>
    <w:rsid w:val="31AB5EF9"/>
    <w:rsid w:val="31BE0AAA"/>
    <w:rsid w:val="31C69402"/>
    <w:rsid w:val="31C9D3BF"/>
    <w:rsid w:val="31E99EB4"/>
    <w:rsid w:val="31F78AEF"/>
    <w:rsid w:val="3217CCA2"/>
    <w:rsid w:val="321A551D"/>
    <w:rsid w:val="32447AE9"/>
    <w:rsid w:val="325933B1"/>
    <w:rsid w:val="3260A979"/>
    <w:rsid w:val="326B42BA"/>
    <w:rsid w:val="326F7D86"/>
    <w:rsid w:val="327C2BBF"/>
    <w:rsid w:val="327FA2C2"/>
    <w:rsid w:val="329092C1"/>
    <w:rsid w:val="329B89CC"/>
    <w:rsid w:val="32ACF189"/>
    <w:rsid w:val="32B4F6CA"/>
    <w:rsid w:val="32BD5886"/>
    <w:rsid w:val="32CE3A97"/>
    <w:rsid w:val="32CFFBB7"/>
    <w:rsid w:val="32D6C7BB"/>
    <w:rsid w:val="32D798E8"/>
    <w:rsid w:val="32E7EFE2"/>
    <w:rsid w:val="32EB23A3"/>
    <w:rsid w:val="32F89B21"/>
    <w:rsid w:val="32FB4C00"/>
    <w:rsid w:val="32FCE30F"/>
    <w:rsid w:val="3304C76F"/>
    <w:rsid w:val="330AE22D"/>
    <w:rsid w:val="33338577"/>
    <w:rsid w:val="33366AC8"/>
    <w:rsid w:val="333AF418"/>
    <w:rsid w:val="333C980B"/>
    <w:rsid w:val="3340A43D"/>
    <w:rsid w:val="3340E6E8"/>
    <w:rsid w:val="334B67FE"/>
    <w:rsid w:val="3364B9ED"/>
    <w:rsid w:val="3377078D"/>
    <w:rsid w:val="33C3A0B2"/>
    <w:rsid w:val="33C92DAA"/>
    <w:rsid w:val="33CA1821"/>
    <w:rsid w:val="33E7AA99"/>
    <w:rsid w:val="33F07A80"/>
    <w:rsid w:val="34027C39"/>
    <w:rsid w:val="340DBB6E"/>
    <w:rsid w:val="34141DAA"/>
    <w:rsid w:val="3415A6A6"/>
    <w:rsid w:val="3416EC9B"/>
    <w:rsid w:val="34355DC1"/>
    <w:rsid w:val="3456783A"/>
    <w:rsid w:val="34669F9A"/>
    <w:rsid w:val="3469F4B7"/>
    <w:rsid w:val="346C7074"/>
    <w:rsid w:val="346E6211"/>
    <w:rsid w:val="3478CF3B"/>
    <w:rsid w:val="3482BA85"/>
    <w:rsid w:val="348D6B9F"/>
    <w:rsid w:val="349640A6"/>
    <w:rsid w:val="34A5E485"/>
    <w:rsid w:val="34AD9A54"/>
    <w:rsid w:val="34B5F5C4"/>
    <w:rsid w:val="34BCCBFC"/>
    <w:rsid w:val="34C8CDA4"/>
    <w:rsid w:val="34D35B00"/>
    <w:rsid w:val="34E1CD8F"/>
    <w:rsid w:val="34F98486"/>
    <w:rsid w:val="3507EBCE"/>
    <w:rsid w:val="35172961"/>
    <w:rsid w:val="3517F137"/>
    <w:rsid w:val="3519088A"/>
    <w:rsid w:val="35301BD3"/>
    <w:rsid w:val="35314422"/>
    <w:rsid w:val="35369F15"/>
    <w:rsid w:val="3551A6DF"/>
    <w:rsid w:val="35730253"/>
    <w:rsid w:val="35748755"/>
    <w:rsid w:val="3577AD6D"/>
    <w:rsid w:val="35796B04"/>
    <w:rsid w:val="35930F4A"/>
    <w:rsid w:val="35A9B26D"/>
    <w:rsid w:val="35AABAE3"/>
    <w:rsid w:val="35B66080"/>
    <w:rsid w:val="35D43868"/>
    <w:rsid w:val="35F8CE15"/>
    <w:rsid w:val="35FA80D0"/>
    <w:rsid w:val="36015ADF"/>
    <w:rsid w:val="360205EB"/>
    <w:rsid w:val="36152BEB"/>
    <w:rsid w:val="3626E1AF"/>
    <w:rsid w:val="36642857"/>
    <w:rsid w:val="3678D6E1"/>
    <w:rsid w:val="3680E5AB"/>
    <w:rsid w:val="3687BB34"/>
    <w:rsid w:val="36963763"/>
    <w:rsid w:val="36989967"/>
    <w:rsid w:val="369FBC82"/>
    <w:rsid w:val="36A1D7B3"/>
    <w:rsid w:val="36BA39AF"/>
    <w:rsid w:val="36CA7A0B"/>
    <w:rsid w:val="36DAF299"/>
    <w:rsid w:val="36DB7F9E"/>
    <w:rsid w:val="36EAF199"/>
    <w:rsid w:val="36F56335"/>
    <w:rsid w:val="37339519"/>
    <w:rsid w:val="373D1CFF"/>
    <w:rsid w:val="373E2F22"/>
    <w:rsid w:val="374B7335"/>
    <w:rsid w:val="37588848"/>
    <w:rsid w:val="3758BD61"/>
    <w:rsid w:val="37647F06"/>
    <w:rsid w:val="3765E763"/>
    <w:rsid w:val="376D3E57"/>
    <w:rsid w:val="37915CCB"/>
    <w:rsid w:val="37BBB1C1"/>
    <w:rsid w:val="37BDD41F"/>
    <w:rsid w:val="37C3F9A8"/>
    <w:rsid w:val="37CBF4BF"/>
    <w:rsid w:val="37E54267"/>
    <w:rsid w:val="37EE9055"/>
    <w:rsid w:val="37EF2B70"/>
    <w:rsid w:val="37FBBAFC"/>
    <w:rsid w:val="37FE86CC"/>
    <w:rsid w:val="3809DF6C"/>
    <w:rsid w:val="383AC34E"/>
    <w:rsid w:val="3861E0EB"/>
    <w:rsid w:val="38686685"/>
    <w:rsid w:val="386B66CE"/>
    <w:rsid w:val="38BEDE7C"/>
    <w:rsid w:val="38C12F63"/>
    <w:rsid w:val="38E91CAD"/>
    <w:rsid w:val="3906DD12"/>
    <w:rsid w:val="39088A87"/>
    <w:rsid w:val="391C9A91"/>
    <w:rsid w:val="3921AB45"/>
    <w:rsid w:val="3965ADC1"/>
    <w:rsid w:val="396C6D2A"/>
    <w:rsid w:val="39A2196F"/>
    <w:rsid w:val="39B2466F"/>
    <w:rsid w:val="39B2514F"/>
    <w:rsid w:val="39B7F02D"/>
    <w:rsid w:val="39DD8FE7"/>
    <w:rsid w:val="39EB972A"/>
    <w:rsid w:val="39F3523E"/>
    <w:rsid w:val="3A04F32B"/>
    <w:rsid w:val="3A0814E6"/>
    <w:rsid w:val="3A1752ED"/>
    <w:rsid w:val="3A23BB6B"/>
    <w:rsid w:val="3A2EB1A9"/>
    <w:rsid w:val="3A41EC14"/>
    <w:rsid w:val="3A45FEC2"/>
    <w:rsid w:val="3A551589"/>
    <w:rsid w:val="3A66014C"/>
    <w:rsid w:val="3A72EBC0"/>
    <w:rsid w:val="3A83797B"/>
    <w:rsid w:val="3A9200C3"/>
    <w:rsid w:val="3A92D039"/>
    <w:rsid w:val="3AB20324"/>
    <w:rsid w:val="3AEE25BC"/>
    <w:rsid w:val="3B0E8304"/>
    <w:rsid w:val="3B10CAEA"/>
    <w:rsid w:val="3B1875BC"/>
    <w:rsid w:val="3B1F1BA0"/>
    <w:rsid w:val="3B4E3A9C"/>
    <w:rsid w:val="3B4F7757"/>
    <w:rsid w:val="3B5D3889"/>
    <w:rsid w:val="3B5E3C30"/>
    <w:rsid w:val="3B5E9597"/>
    <w:rsid w:val="3B928E64"/>
    <w:rsid w:val="3B95092C"/>
    <w:rsid w:val="3BB68690"/>
    <w:rsid w:val="3BC32FDA"/>
    <w:rsid w:val="3BCC6ACC"/>
    <w:rsid w:val="3BCD58EE"/>
    <w:rsid w:val="3BD991CA"/>
    <w:rsid w:val="3BE0C5AD"/>
    <w:rsid w:val="3BE3A313"/>
    <w:rsid w:val="3BF74A6F"/>
    <w:rsid w:val="3C025C02"/>
    <w:rsid w:val="3C15B6BE"/>
    <w:rsid w:val="3C1B6BBD"/>
    <w:rsid w:val="3C35B2E5"/>
    <w:rsid w:val="3C3863F4"/>
    <w:rsid w:val="3C3886AD"/>
    <w:rsid w:val="3C48DB5E"/>
    <w:rsid w:val="3C5AB84E"/>
    <w:rsid w:val="3C60EB1E"/>
    <w:rsid w:val="3C88C202"/>
    <w:rsid w:val="3C96DBB0"/>
    <w:rsid w:val="3C9BC427"/>
    <w:rsid w:val="3CB7B42E"/>
    <w:rsid w:val="3CBDC0DA"/>
    <w:rsid w:val="3CCAF039"/>
    <w:rsid w:val="3CCB2A1F"/>
    <w:rsid w:val="3CE75771"/>
    <w:rsid w:val="3CF9B456"/>
    <w:rsid w:val="3D09FC15"/>
    <w:rsid w:val="3D0DAAF0"/>
    <w:rsid w:val="3D18D561"/>
    <w:rsid w:val="3D395412"/>
    <w:rsid w:val="3D4A91A6"/>
    <w:rsid w:val="3D517C6F"/>
    <w:rsid w:val="3D58E09D"/>
    <w:rsid w:val="3D6B6600"/>
    <w:rsid w:val="3D79F39A"/>
    <w:rsid w:val="3D7E449A"/>
    <w:rsid w:val="3D832968"/>
    <w:rsid w:val="3D85500B"/>
    <w:rsid w:val="3D8ADE01"/>
    <w:rsid w:val="3D8F30EF"/>
    <w:rsid w:val="3D9B9BD0"/>
    <w:rsid w:val="3DE29395"/>
    <w:rsid w:val="3DE5AA2A"/>
    <w:rsid w:val="3DF83B83"/>
    <w:rsid w:val="3DFC0860"/>
    <w:rsid w:val="3E003BFC"/>
    <w:rsid w:val="3E159B2F"/>
    <w:rsid w:val="3E24C248"/>
    <w:rsid w:val="3E4D81C6"/>
    <w:rsid w:val="3E57E54E"/>
    <w:rsid w:val="3E70843F"/>
    <w:rsid w:val="3E7CA30E"/>
    <w:rsid w:val="3EBD1E62"/>
    <w:rsid w:val="3ED465FF"/>
    <w:rsid w:val="3ED8B85D"/>
    <w:rsid w:val="3EF21985"/>
    <w:rsid w:val="3F05B68D"/>
    <w:rsid w:val="3F0A24DA"/>
    <w:rsid w:val="3F0D8B81"/>
    <w:rsid w:val="3F0FECC2"/>
    <w:rsid w:val="3F249DD6"/>
    <w:rsid w:val="3F27D5ED"/>
    <w:rsid w:val="3F3E248C"/>
    <w:rsid w:val="3F8E46EB"/>
    <w:rsid w:val="3F99711E"/>
    <w:rsid w:val="3F9D4EDF"/>
    <w:rsid w:val="3FAFB505"/>
    <w:rsid w:val="3FB0E473"/>
    <w:rsid w:val="3FCBE825"/>
    <w:rsid w:val="3FCFC689"/>
    <w:rsid w:val="3FE69958"/>
    <w:rsid w:val="3FE95568"/>
    <w:rsid w:val="3FEDDF04"/>
    <w:rsid w:val="3FF636D9"/>
    <w:rsid w:val="402573A9"/>
    <w:rsid w:val="402C4E85"/>
    <w:rsid w:val="40327AE9"/>
    <w:rsid w:val="403F163F"/>
    <w:rsid w:val="4045FE08"/>
    <w:rsid w:val="406419C4"/>
    <w:rsid w:val="406F737C"/>
    <w:rsid w:val="40D0E881"/>
    <w:rsid w:val="40DC1628"/>
    <w:rsid w:val="40F1FB31"/>
    <w:rsid w:val="41604ACE"/>
    <w:rsid w:val="416AE4BF"/>
    <w:rsid w:val="41A476F9"/>
    <w:rsid w:val="41C802E1"/>
    <w:rsid w:val="41CF5F03"/>
    <w:rsid w:val="41D10831"/>
    <w:rsid w:val="41F9BD22"/>
    <w:rsid w:val="42074788"/>
    <w:rsid w:val="4210FDF1"/>
    <w:rsid w:val="422EDA76"/>
    <w:rsid w:val="42359489"/>
    <w:rsid w:val="4256C1AA"/>
    <w:rsid w:val="425A0D29"/>
    <w:rsid w:val="425B246D"/>
    <w:rsid w:val="425E9124"/>
    <w:rsid w:val="4266A029"/>
    <w:rsid w:val="429BF6DE"/>
    <w:rsid w:val="429E58D9"/>
    <w:rsid w:val="42A979B0"/>
    <w:rsid w:val="42CE47F4"/>
    <w:rsid w:val="42E5F5AD"/>
    <w:rsid w:val="42F3067D"/>
    <w:rsid w:val="42F642C4"/>
    <w:rsid w:val="43062CD1"/>
    <w:rsid w:val="4331D3C3"/>
    <w:rsid w:val="43393AAD"/>
    <w:rsid w:val="434A6169"/>
    <w:rsid w:val="435CC985"/>
    <w:rsid w:val="43634919"/>
    <w:rsid w:val="436D0176"/>
    <w:rsid w:val="436FEA16"/>
    <w:rsid w:val="438FBC49"/>
    <w:rsid w:val="43A4B2E8"/>
    <w:rsid w:val="43CA75C7"/>
    <w:rsid w:val="43CFB99D"/>
    <w:rsid w:val="43E42149"/>
    <w:rsid w:val="43FCE771"/>
    <w:rsid w:val="441F05DE"/>
    <w:rsid w:val="44487366"/>
    <w:rsid w:val="4454061F"/>
    <w:rsid w:val="447678DC"/>
    <w:rsid w:val="447C1484"/>
    <w:rsid w:val="44944D6B"/>
    <w:rsid w:val="449E4895"/>
    <w:rsid w:val="449F1AFD"/>
    <w:rsid w:val="44A0C8B2"/>
    <w:rsid w:val="44A12F9F"/>
    <w:rsid w:val="44AB1145"/>
    <w:rsid w:val="44E46DCC"/>
    <w:rsid w:val="44EE441A"/>
    <w:rsid w:val="44EF45A7"/>
    <w:rsid w:val="45324D45"/>
    <w:rsid w:val="4537C0D0"/>
    <w:rsid w:val="4543D4BB"/>
    <w:rsid w:val="454C67E9"/>
    <w:rsid w:val="45638D8D"/>
    <w:rsid w:val="4574A54C"/>
    <w:rsid w:val="45929C2E"/>
    <w:rsid w:val="459EAF7B"/>
    <w:rsid w:val="459FC0AD"/>
    <w:rsid w:val="45BFB7C1"/>
    <w:rsid w:val="45C8F785"/>
    <w:rsid w:val="45D45E17"/>
    <w:rsid w:val="45D7B3C0"/>
    <w:rsid w:val="45DFD496"/>
    <w:rsid w:val="45EB1336"/>
    <w:rsid w:val="45F01D32"/>
    <w:rsid w:val="45F4A554"/>
    <w:rsid w:val="45F6D349"/>
    <w:rsid w:val="45F6DE39"/>
    <w:rsid w:val="46138630"/>
    <w:rsid w:val="4614B6F0"/>
    <w:rsid w:val="462B211A"/>
    <w:rsid w:val="4647078A"/>
    <w:rsid w:val="4647B35B"/>
    <w:rsid w:val="46491E88"/>
    <w:rsid w:val="464A0493"/>
    <w:rsid w:val="465E7499"/>
    <w:rsid w:val="467A4276"/>
    <w:rsid w:val="467D6F15"/>
    <w:rsid w:val="4684AB7D"/>
    <w:rsid w:val="46910712"/>
    <w:rsid w:val="46A3FF71"/>
    <w:rsid w:val="46AF4FDB"/>
    <w:rsid w:val="46B0D0BD"/>
    <w:rsid w:val="46B12413"/>
    <w:rsid w:val="46BA3AAC"/>
    <w:rsid w:val="46BC21E9"/>
    <w:rsid w:val="46BF0CEC"/>
    <w:rsid w:val="46D4F679"/>
    <w:rsid w:val="46E08035"/>
    <w:rsid w:val="46ED6B94"/>
    <w:rsid w:val="46ED6D78"/>
    <w:rsid w:val="47027B7F"/>
    <w:rsid w:val="4716D09C"/>
    <w:rsid w:val="471CCA61"/>
    <w:rsid w:val="47279117"/>
    <w:rsid w:val="476811E1"/>
    <w:rsid w:val="47756DDE"/>
    <w:rsid w:val="4783928C"/>
    <w:rsid w:val="4786A502"/>
    <w:rsid w:val="4799C583"/>
    <w:rsid w:val="47B18816"/>
    <w:rsid w:val="47C0D5F2"/>
    <w:rsid w:val="47CA352D"/>
    <w:rsid w:val="47D8CC17"/>
    <w:rsid w:val="47EA5EB8"/>
    <w:rsid w:val="47EE6B2F"/>
    <w:rsid w:val="47F478FF"/>
    <w:rsid w:val="47F50716"/>
    <w:rsid w:val="480D54A5"/>
    <w:rsid w:val="482622AE"/>
    <w:rsid w:val="482EDC91"/>
    <w:rsid w:val="4836AE52"/>
    <w:rsid w:val="4840B213"/>
    <w:rsid w:val="48431901"/>
    <w:rsid w:val="484502A6"/>
    <w:rsid w:val="484A7848"/>
    <w:rsid w:val="484C28B3"/>
    <w:rsid w:val="485769BD"/>
    <w:rsid w:val="485D7A0B"/>
    <w:rsid w:val="4861688C"/>
    <w:rsid w:val="4879F129"/>
    <w:rsid w:val="48823983"/>
    <w:rsid w:val="4885C781"/>
    <w:rsid w:val="489DFBD5"/>
    <w:rsid w:val="48A2B389"/>
    <w:rsid w:val="48A4DFE3"/>
    <w:rsid w:val="48A6AEFA"/>
    <w:rsid w:val="48DEFBE0"/>
    <w:rsid w:val="48E4CB05"/>
    <w:rsid w:val="48E9D015"/>
    <w:rsid w:val="490391A3"/>
    <w:rsid w:val="4909D2B2"/>
    <w:rsid w:val="491AFDF7"/>
    <w:rsid w:val="492BBDEC"/>
    <w:rsid w:val="496AC85C"/>
    <w:rsid w:val="49750757"/>
    <w:rsid w:val="4981CB43"/>
    <w:rsid w:val="4981EFF6"/>
    <w:rsid w:val="4988F09D"/>
    <w:rsid w:val="49892D29"/>
    <w:rsid w:val="499387FE"/>
    <w:rsid w:val="49B588C9"/>
    <w:rsid w:val="49B5F823"/>
    <w:rsid w:val="49BCB93A"/>
    <w:rsid w:val="49BD1564"/>
    <w:rsid w:val="4A099793"/>
    <w:rsid w:val="4A1E5033"/>
    <w:rsid w:val="4A2A0AE0"/>
    <w:rsid w:val="4A351463"/>
    <w:rsid w:val="4A362328"/>
    <w:rsid w:val="4A5592D8"/>
    <w:rsid w:val="4A5B39F7"/>
    <w:rsid w:val="4A651734"/>
    <w:rsid w:val="4A7F19FA"/>
    <w:rsid w:val="4AAB0033"/>
    <w:rsid w:val="4ABB2BDC"/>
    <w:rsid w:val="4AD3C6BC"/>
    <w:rsid w:val="4AE4D948"/>
    <w:rsid w:val="4AEA17C8"/>
    <w:rsid w:val="4AF087A4"/>
    <w:rsid w:val="4B05DCB9"/>
    <w:rsid w:val="4B11C77C"/>
    <w:rsid w:val="4B194B45"/>
    <w:rsid w:val="4B2336E8"/>
    <w:rsid w:val="4B241552"/>
    <w:rsid w:val="4B38780F"/>
    <w:rsid w:val="4B440A75"/>
    <w:rsid w:val="4B4AD97C"/>
    <w:rsid w:val="4B6B9DFD"/>
    <w:rsid w:val="4B6D3D29"/>
    <w:rsid w:val="4B76D3C2"/>
    <w:rsid w:val="4B8D5082"/>
    <w:rsid w:val="4B94245E"/>
    <w:rsid w:val="4BC24B6D"/>
    <w:rsid w:val="4BC35C64"/>
    <w:rsid w:val="4BEA07F4"/>
    <w:rsid w:val="4BFED73A"/>
    <w:rsid w:val="4C2C059C"/>
    <w:rsid w:val="4C2CA864"/>
    <w:rsid w:val="4C660A4B"/>
    <w:rsid w:val="4C677265"/>
    <w:rsid w:val="4C866069"/>
    <w:rsid w:val="4C9298B4"/>
    <w:rsid w:val="4C99C4F2"/>
    <w:rsid w:val="4C9CE14B"/>
    <w:rsid w:val="4CCBF57F"/>
    <w:rsid w:val="4CE08E41"/>
    <w:rsid w:val="4CFEA6D0"/>
    <w:rsid w:val="4D1CE3BC"/>
    <w:rsid w:val="4D2F3C0D"/>
    <w:rsid w:val="4D3BE413"/>
    <w:rsid w:val="4D434947"/>
    <w:rsid w:val="4D54BE65"/>
    <w:rsid w:val="4D6D2D55"/>
    <w:rsid w:val="4D85BFE7"/>
    <w:rsid w:val="4D92A33B"/>
    <w:rsid w:val="4D989F16"/>
    <w:rsid w:val="4DC80FC6"/>
    <w:rsid w:val="4DD73ED4"/>
    <w:rsid w:val="4DD7E3D9"/>
    <w:rsid w:val="4DDE4FAA"/>
    <w:rsid w:val="4E07F927"/>
    <w:rsid w:val="4E14D421"/>
    <w:rsid w:val="4E17E24D"/>
    <w:rsid w:val="4E2AE59B"/>
    <w:rsid w:val="4E2DDCAC"/>
    <w:rsid w:val="4E5A7E2E"/>
    <w:rsid w:val="4E5D6A2A"/>
    <w:rsid w:val="4E604786"/>
    <w:rsid w:val="4E74F03C"/>
    <w:rsid w:val="4E8FA52D"/>
    <w:rsid w:val="4E9675A0"/>
    <w:rsid w:val="4E9C6AFD"/>
    <w:rsid w:val="4EA6488B"/>
    <w:rsid w:val="4EBD2838"/>
    <w:rsid w:val="4EEF7250"/>
    <w:rsid w:val="4F2669A3"/>
    <w:rsid w:val="4F2F2574"/>
    <w:rsid w:val="4F32AFB0"/>
    <w:rsid w:val="4F6EA7D6"/>
    <w:rsid w:val="4F740C6D"/>
    <w:rsid w:val="4F7D9614"/>
    <w:rsid w:val="4F825BBE"/>
    <w:rsid w:val="4F8F0596"/>
    <w:rsid w:val="4FB13BAC"/>
    <w:rsid w:val="4FBB189F"/>
    <w:rsid w:val="4FC52EF2"/>
    <w:rsid w:val="4FC58CA2"/>
    <w:rsid w:val="4FC7F283"/>
    <w:rsid w:val="4FCA531E"/>
    <w:rsid w:val="4FD7D504"/>
    <w:rsid w:val="4FF06B32"/>
    <w:rsid w:val="500B9166"/>
    <w:rsid w:val="50199E56"/>
    <w:rsid w:val="502A6D7C"/>
    <w:rsid w:val="50452772"/>
    <w:rsid w:val="504A4432"/>
    <w:rsid w:val="504C5029"/>
    <w:rsid w:val="50599BAA"/>
    <w:rsid w:val="50684C01"/>
    <w:rsid w:val="508FDE28"/>
    <w:rsid w:val="509B656B"/>
    <w:rsid w:val="50A9A9FB"/>
    <w:rsid w:val="50C25D4F"/>
    <w:rsid w:val="50C3BD27"/>
    <w:rsid w:val="50F0D39C"/>
    <w:rsid w:val="50F19AA4"/>
    <w:rsid w:val="50FC846D"/>
    <w:rsid w:val="5114C35B"/>
    <w:rsid w:val="513D74BC"/>
    <w:rsid w:val="5142C551"/>
    <w:rsid w:val="5146F0F5"/>
    <w:rsid w:val="5152EB92"/>
    <w:rsid w:val="515CA8A4"/>
    <w:rsid w:val="51645A16"/>
    <w:rsid w:val="51719081"/>
    <w:rsid w:val="51983C93"/>
    <w:rsid w:val="51B02A85"/>
    <w:rsid w:val="51BA670D"/>
    <w:rsid w:val="51D095B2"/>
    <w:rsid w:val="51E249C3"/>
    <w:rsid w:val="521D5235"/>
    <w:rsid w:val="522DF389"/>
    <w:rsid w:val="5234906F"/>
    <w:rsid w:val="526554BD"/>
    <w:rsid w:val="5284E3F8"/>
    <w:rsid w:val="52B4E84A"/>
    <w:rsid w:val="52C078B3"/>
    <w:rsid w:val="52C8CD82"/>
    <w:rsid w:val="52CC625C"/>
    <w:rsid w:val="52E66056"/>
    <w:rsid w:val="53019D16"/>
    <w:rsid w:val="5303451E"/>
    <w:rsid w:val="5315D1B4"/>
    <w:rsid w:val="5330FB0C"/>
    <w:rsid w:val="533450BD"/>
    <w:rsid w:val="5334FC31"/>
    <w:rsid w:val="533D8840"/>
    <w:rsid w:val="53475502"/>
    <w:rsid w:val="53675219"/>
    <w:rsid w:val="53713866"/>
    <w:rsid w:val="537917DD"/>
    <w:rsid w:val="537AFF35"/>
    <w:rsid w:val="538524AB"/>
    <w:rsid w:val="5385F454"/>
    <w:rsid w:val="5396C50A"/>
    <w:rsid w:val="539A9436"/>
    <w:rsid w:val="53AC211B"/>
    <w:rsid w:val="53AF3B36"/>
    <w:rsid w:val="53BB659B"/>
    <w:rsid w:val="53F49F5C"/>
    <w:rsid w:val="53F56D1F"/>
    <w:rsid w:val="53FA64E3"/>
    <w:rsid w:val="53FD4948"/>
    <w:rsid w:val="54224066"/>
    <w:rsid w:val="54421A02"/>
    <w:rsid w:val="54442420"/>
    <w:rsid w:val="545E3F0A"/>
    <w:rsid w:val="547FB484"/>
    <w:rsid w:val="548003F7"/>
    <w:rsid w:val="5491476F"/>
    <w:rsid w:val="54944036"/>
    <w:rsid w:val="549F202E"/>
    <w:rsid w:val="54B5F135"/>
    <w:rsid w:val="54C51ACF"/>
    <w:rsid w:val="54C8D953"/>
    <w:rsid w:val="54C9943A"/>
    <w:rsid w:val="54EFBC22"/>
    <w:rsid w:val="54F8213F"/>
    <w:rsid w:val="55291CBC"/>
    <w:rsid w:val="553650C8"/>
    <w:rsid w:val="553B1AAC"/>
    <w:rsid w:val="553D4ECE"/>
    <w:rsid w:val="553F9D1D"/>
    <w:rsid w:val="554A0009"/>
    <w:rsid w:val="554A0244"/>
    <w:rsid w:val="5556BDA0"/>
    <w:rsid w:val="555A32C7"/>
    <w:rsid w:val="55680C1B"/>
    <w:rsid w:val="557380B1"/>
    <w:rsid w:val="5581AFBF"/>
    <w:rsid w:val="5593418D"/>
    <w:rsid w:val="55934801"/>
    <w:rsid w:val="55B4E450"/>
    <w:rsid w:val="55BD53E4"/>
    <w:rsid w:val="55CDC16C"/>
    <w:rsid w:val="55E25BB6"/>
    <w:rsid w:val="565B06C8"/>
    <w:rsid w:val="565F5B4C"/>
    <w:rsid w:val="567BACB2"/>
    <w:rsid w:val="567D5B9B"/>
    <w:rsid w:val="56838CF2"/>
    <w:rsid w:val="5685D51B"/>
    <w:rsid w:val="568BA1A8"/>
    <w:rsid w:val="568DBE6C"/>
    <w:rsid w:val="56972710"/>
    <w:rsid w:val="56BEE2C7"/>
    <w:rsid w:val="56C115D6"/>
    <w:rsid w:val="56CAED3D"/>
    <w:rsid w:val="56D2AFCA"/>
    <w:rsid w:val="56DE3265"/>
    <w:rsid w:val="56E1D664"/>
    <w:rsid w:val="56F5DFE0"/>
    <w:rsid w:val="56FA1D7E"/>
    <w:rsid w:val="5705393F"/>
    <w:rsid w:val="5705966B"/>
    <w:rsid w:val="570B9AEF"/>
    <w:rsid w:val="571469D8"/>
    <w:rsid w:val="57290264"/>
    <w:rsid w:val="574393A6"/>
    <w:rsid w:val="578CC13E"/>
    <w:rsid w:val="57B72218"/>
    <w:rsid w:val="57DF97C6"/>
    <w:rsid w:val="57E4B3D6"/>
    <w:rsid w:val="57E7CF19"/>
    <w:rsid w:val="582AA803"/>
    <w:rsid w:val="586FC5E6"/>
    <w:rsid w:val="58758C01"/>
    <w:rsid w:val="58A0A85C"/>
    <w:rsid w:val="58A457DF"/>
    <w:rsid w:val="58B61A33"/>
    <w:rsid w:val="58B67440"/>
    <w:rsid w:val="58BE89CB"/>
    <w:rsid w:val="58C67907"/>
    <w:rsid w:val="58D81905"/>
    <w:rsid w:val="58E58B21"/>
    <w:rsid w:val="58FBC2DD"/>
    <w:rsid w:val="58FDEB66"/>
    <w:rsid w:val="590D4D8B"/>
    <w:rsid w:val="59198C5E"/>
    <w:rsid w:val="5932B18A"/>
    <w:rsid w:val="594A39D6"/>
    <w:rsid w:val="598707F7"/>
    <w:rsid w:val="5991DE39"/>
    <w:rsid w:val="5991F733"/>
    <w:rsid w:val="5993EE42"/>
    <w:rsid w:val="59BF1371"/>
    <w:rsid w:val="59C7C53F"/>
    <w:rsid w:val="59CBCF98"/>
    <w:rsid w:val="59D4E43E"/>
    <w:rsid w:val="59EBC3A9"/>
    <w:rsid w:val="59F1C173"/>
    <w:rsid w:val="5A01FDD8"/>
    <w:rsid w:val="5A0DE7C6"/>
    <w:rsid w:val="5A13CDFD"/>
    <w:rsid w:val="5A143423"/>
    <w:rsid w:val="5A296A44"/>
    <w:rsid w:val="5A48FE84"/>
    <w:rsid w:val="5A494C02"/>
    <w:rsid w:val="5A522E92"/>
    <w:rsid w:val="5A554794"/>
    <w:rsid w:val="5A971499"/>
    <w:rsid w:val="5A99812D"/>
    <w:rsid w:val="5A9F4FD9"/>
    <w:rsid w:val="5AADCA3A"/>
    <w:rsid w:val="5AC200AD"/>
    <w:rsid w:val="5AC84F5D"/>
    <w:rsid w:val="5B19F403"/>
    <w:rsid w:val="5B26EACA"/>
    <w:rsid w:val="5B30208C"/>
    <w:rsid w:val="5B440164"/>
    <w:rsid w:val="5B6A8AFC"/>
    <w:rsid w:val="5B6BB353"/>
    <w:rsid w:val="5B6C26B8"/>
    <w:rsid w:val="5B834DB4"/>
    <w:rsid w:val="5B85A63E"/>
    <w:rsid w:val="5B8C0C52"/>
    <w:rsid w:val="5B8FF93E"/>
    <w:rsid w:val="5B98474A"/>
    <w:rsid w:val="5B9A8FD6"/>
    <w:rsid w:val="5BB162E4"/>
    <w:rsid w:val="5BC778DB"/>
    <w:rsid w:val="5BD97D02"/>
    <w:rsid w:val="5BDF75D6"/>
    <w:rsid w:val="5BE08C3F"/>
    <w:rsid w:val="5BE5F60F"/>
    <w:rsid w:val="5BF507E5"/>
    <w:rsid w:val="5BF7C23C"/>
    <w:rsid w:val="5BFD30C6"/>
    <w:rsid w:val="5BFEAED3"/>
    <w:rsid w:val="5C05D807"/>
    <w:rsid w:val="5C24E4ED"/>
    <w:rsid w:val="5C3F2526"/>
    <w:rsid w:val="5C4CF2BC"/>
    <w:rsid w:val="5C598999"/>
    <w:rsid w:val="5C8008A1"/>
    <w:rsid w:val="5C94958E"/>
    <w:rsid w:val="5C976E9A"/>
    <w:rsid w:val="5CB75905"/>
    <w:rsid w:val="5CDA29F7"/>
    <w:rsid w:val="5CE02329"/>
    <w:rsid w:val="5CEE5100"/>
    <w:rsid w:val="5CF2B619"/>
    <w:rsid w:val="5D0DD57F"/>
    <w:rsid w:val="5D204963"/>
    <w:rsid w:val="5D2FC195"/>
    <w:rsid w:val="5D2FF93A"/>
    <w:rsid w:val="5D38B02B"/>
    <w:rsid w:val="5D4A3214"/>
    <w:rsid w:val="5D4B9392"/>
    <w:rsid w:val="5D6AC752"/>
    <w:rsid w:val="5D6D8C39"/>
    <w:rsid w:val="5D6E8CAE"/>
    <w:rsid w:val="5D817306"/>
    <w:rsid w:val="5D81BB61"/>
    <w:rsid w:val="5D936C54"/>
    <w:rsid w:val="5D9F4598"/>
    <w:rsid w:val="5DB30F8A"/>
    <w:rsid w:val="5DBD0B6C"/>
    <w:rsid w:val="5DE263ED"/>
    <w:rsid w:val="5DF84C8B"/>
    <w:rsid w:val="5E1E76A5"/>
    <w:rsid w:val="5E2830A3"/>
    <w:rsid w:val="5E30F4DC"/>
    <w:rsid w:val="5E35316E"/>
    <w:rsid w:val="5E389152"/>
    <w:rsid w:val="5E6A1518"/>
    <w:rsid w:val="5E6A20CE"/>
    <w:rsid w:val="5E737225"/>
    <w:rsid w:val="5EA403D7"/>
    <w:rsid w:val="5EBAEE02"/>
    <w:rsid w:val="5EC25DFF"/>
    <w:rsid w:val="5ED88326"/>
    <w:rsid w:val="5EDBCF68"/>
    <w:rsid w:val="5EFE6993"/>
    <w:rsid w:val="5F0897B5"/>
    <w:rsid w:val="5F095C7F"/>
    <w:rsid w:val="5F0FE1AE"/>
    <w:rsid w:val="5F171D4A"/>
    <w:rsid w:val="5F1BAF9B"/>
    <w:rsid w:val="5F35B13C"/>
    <w:rsid w:val="5F41C3DD"/>
    <w:rsid w:val="5F489EBF"/>
    <w:rsid w:val="5F5864E1"/>
    <w:rsid w:val="5F5B8A9A"/>
    <w:rsid w:val="5F937E01"/>
    <w:rsid w:val="5F9E7666"/>
    <w:rsid w:val="5FCD23AF"/>
    <w:rsid w:val="5FD20400"/>
    <w:rsid w:val="5FDEAA08"/>
    <w:rsid w:val="5FFA3DD9"/>
    <w:rsid w:val="600339A6"/>
    <w:rsid w:val="60042A3C"/>
    <w:rsid w:val="60059D05"/>
    <w:rsid w:val="600626C6"/>
    <w:rsid w:val="601594FB"/>
    <w:rsid w:val="60279BB9"/>
    <w:rsid w:val="60312E40"/>
    <w:rsid w:val="603534E2"/>
    <w:rsid w:val="603C202D"/>
    <w:rsid w:val="603D0696"/>
    <w:rsid w:val="6042B53A"/>
    <w:rsid w:val="60501E5E"/>
    <w:rsid w:val="606A112E"/>
    <w:rsid w:val="607AC09A"/>
    <w:rsid w:val="60896E31"/>
    <w:rsid w:val="60C8B7D2"/>
    <w:rsid w:val="60CC798F"/>
    <w:rsid w:val="60CDF0FF"/>
    <w:rsid w:val="60D5431E"/>
    <w:rsid w:val="60DFC33C"/>
    <w:rsid w:val="60FA61DC"/>
    <w:rsid w:val="6109DD09"/>
    <w:rsid w:val="6135DF0A"/>
    <w:rsid w:val="6136145A"/>
    <w:rsid w:val="613BDDC1"/>
    <w:rsid w:val="61444E36"/>
    <w:rsid w:val="61836A9A"/>
    <w:rsid w:val="618E2518"/>
    <w:rsid w:val="61900EE4"/>
    <w:rsid w:val="61956E85"/>
    <w:rsid w:val="61A28D7A"/>
    <w:rsid w:val="61A2B859"/>
    <w:rsid w:val="61B89370"/>
    <w:rsid w:val="61BF434C"/>
    <w:rsid w:val="61F6E43A"/>
    <w:rsid w:val="62099190"/>
    <w:rsid w:val="62191C5E"/>
    <w:rsid w:val="621E7B31"/>
    <w:rsid w:val="62262C20"/>
    <w:rsid w:val="622C6212"/>
    <w:rsid w:val="6235F6D2"/>
    <w:rsid w:val="623B6512"/>
    <w:rsid w:val="624A7F7A"/>
    <w:rsid w:val="624B3807"/>
    <w:rsid w:val="625A03C2"/>
    <w:rsid w:val="626D964C"/>
    <w:rsid w:val="62712BB2"/>
    <w:rsid w:val="6277681A"/>
    <w:rsid w:val="628D76E3"/>
    <w:rsid w:val="629F2250"/>
    <w:rsid w:val="62D30558"/>
    <w:rsid w:val="630B7B10"/>
    <w:rsid w:val="631A3977"/>
    <w:rsid w:val="631DC453"/>
    <w:rsid w:val="631FE3DB"/>
    <w:rsid w:val="632C713A"/>
    <w:rsid w:val="6332F982"/>
    <w:rsid w:val="633DB9C2"/>
    <w:rsid w:val="6377AA86"/>
    <w:rsid w:val="63918609"/>
    <w:rsid w:val="6391BF9B"/>
    <w:rsid w:val="6395A746"/>
    <w:rsid w:val="63D9868D"/>
    <w:rsid w:val="63E0DF31"/>
    <w:rsid w:val="63E5ADAC"/>
    <w:rsid w:val="63F8F54B"/>
    <w:rsid w:val="640AF7DC"/>
    <w:rsid w:val="64106CD2"/>
    <w:rsid w:val="641C9C66"/>
    <w:rsid w:val="645D0DC2"/>
    <w:rsid w:val="6486B26B"/>
    <w:rsid w:val="648E7583"/>
    <w:rsid w:val="64908718"/>
    <w:rsid w:val="64CEFFEC"/>
    <w:rsid w:val="64DCAAED"/>
    <w:rsid w:val="64F2522E"/>
    <w:rsid w:val="64F2BED4"/>
    <w:rsid w:val="652884E2"/>
    <w:rsid w:val="65477A4D"/>
    <w:rsid w:val="6559A63B"/>
    <w:rsid w:val="6563C17F"/>
    <w:rsid w:val="6564BE7F"/>
    <w:rsid w:val="657CF698"/>
    <w:rsid w:val="6586C3FE"/>
    <w:rsid w:val="659F0ABD"/>
    <w:rsid w:val="65AD27C6"/>
    <w:rsid w:val="65B17B1F"/>
    <w:rsid w:val="65DF924B"/>
    <w:rsid w:val="65DFBC62"/>
    <w:rsid w:val="65E58011"/>
    <w:rsid w:val="65F91D9B"/>
    <w:rsid w:val="65FF1749"/>
    <w:rsid w:val="661CD8F4"/>
    <w:rsid w:val="6625A249"/>
    <w:rsid w:val="668B71F3"/>
    <w:rsid w:val="669A1C22"/>
    <w:rsid w:val="669FF602"/>
    <w:rsid w:val="66B4AAB5"/>
    <w:rsid w:val="66C8D52D"/>
    <w:rsid w:val="66EE799D"/>
    <w:rsid w:val="6707F126"/>
    <w:rsid w:val="670F7916"/>
    <w:rsid w:val="6715F171"/>
    <w:rsid w:val="671AA4FE"/>
    <w:rsid w:val="67208785"/>
    <w:rsid w:val="6736D472"/>
    <w:rsid w:val="673A85DA"/>
    <w:rsid w:val="673B8662"/>
    <w:rsid w:val="6758299E"/>
    <w:rsid w:val="676325B8"/>
    <w:rsid w:val="677265B9"/>
    <w:rsid w:val="679CD062"/>
    <w:rsid w:val="67E4E6FD"/>
    <w:rsid w:val="67E5DD9F"/>
    <w:rsid w:val="67F4ED32"/>
    <w:rsid w:val="6812ED8F"/>
    <w:rsid w:val="6830E4B1"/>
    <w:rsid w:val="683A0FD2"/>
    <w:rsid w:val="683B954D"/>
    <w:rsid w:val="684C1880"/>
    <w:rsid w:val="6857EF0A"/>
    <w:rsid w:val="686420C5"/>
    <w:rsid w:val="6880EA3E"/>
    <w:rsid w:val="68840763"/>
    <w:rsid w:val="689AF095"/>
    <w:rsid w:val="68A5F078"/>
    <w:rsid w:val="68AA7BC6"/>
    <w:rsid w:val="68ADB760"/>
    <w:rsid w:val="68AE52E6"/>
    <w:rsid w:val="68AFD983"/>
    <w:rsid w:val="68C55A74"/>
    <w:rsid w:val="68C81435"/>
    <w:rsid w:val="68CDCFBF"/>
    <w:rsid w:val="68D16C93"/>
    <w:rsid w:val="68EA7413"/>
    <w:rsid w:val="691FD4E5"/>
    <w:rsid w:val="6931352B"/>
    <w:rsid w:val="694A7B31"/>
    <w:rsid w:val="6963569D"/>
    <w:rsid w:val="69722008"/>
    <w:rsid w:val="69867D79"/>
    <w:rsid w:val="69988BD7"/>
    <w:rsid w:val="69A2330C"/>
    <w:rsid w:val="69B304BD"/>
    <w:rsid w:val="69BFBD7C"/>
    <w:rsid w:val="69C5D599"/>
    <w:rsid w:val="69C6142E"/>
    <w:rsid w:val="69DFC2DD"/>
    <w:rsid w:val="69FCB1DA"/>
    <w:rsid w:val="6A07A86B"/>
    <w:rsid w:val="6A07F9D2"/>
    <w:rsid w:val="6A15742D"/>
    <w:rsid w:val="6A163B23"/>
    <w:rsid w:val="6A16DD1E"/>
    <w:rsid w:val="6A1C5C37"/>
    <w:rsid w:val="6A2AB7DB"/>
    <w:rsid w:val="6A3486F0"/>
    <w:rsid w:val="6A593947"/>
    <w:rsid w:val="6A5ED0BA"/>
    <w:rsid w:val="6A6A8CC8"/>
    <w:rsid w:val="6A6D781F"/>
    <w:rsid w:val="6A7BCA90"/>
    <w:rsid w:val="6A9BD22A"/>
    <w:rsid w:val="6A9D62A6"/>
    <w:rsid w:val="6AA6640A"/>
    <w:rsid w:val="6AAA5FE8"/>
    <w:rsid w:val="6AB7538E"/>
    <w:rsid w:val="6AC15E62"/>
    <w:rsid w:val="6ADA3847"/>
    <w:rsid w:val="6AFA37FD"/>
    <w:rsid w:val="6B563505"/>
    <w:rsid w:val="6B5C7856"/>
    <w:rsid w:val="6B614B55"/>
    <w:rsid w:val="6B701499"/>
    <w:rsid w:val="6B7B3929"/>
    <w:rsid w:val="6B880961"/>
    <w:rsid w:val="6BA374B3"/>
    <w:rsid w:val="6BC073C4"/>
    <w:rsid w:val="6BCFA383"/>
    <w:rsid w:val="6BDC6AB3"/>
    <w:rsid w:val="6BEFD514"/>
    <w:rsid w:val="6BF8FACF"/>
    <w:rsid w:val="6BFFBF01"/>
    <w:rsid w:val="6C275309"/>
    <w:rsid w:val="6C371AD3"/>
    <w:rsid w:val="6C3AB989"/>
    <w:rsid w:val="6C3D189F"/>
    <w:rsid w:val="6C464559"/>
    <w:rsid w:val="6C6363A2"/>
    <w:rsid w:val="6C6EF072"/>
    <w:rsid w:val="6C75FD00"/>
    <w:rsid w:val="6C78D697"/>
    <w:rsid w:val="6C8A5771"/>
    <w:rsid w:val="6C8EEA00"/>
    <w:rsid w:val="6CA3E6ED"/>
    <w:rsid w:val="6CACFD6E"/>
    <w:rsid w:val="6CB3F4B7"/>
    <w:rsid w:val="6CC2B276"/>
    <w:rsid w:val="6CD46EE1"/>
    <w:rsid w:val="6CE51CB1"/>
    <w:rsid w:val="6D07873A"/>
    <w:rsid w:val="6D0FCD6C"/>
    <w:rsid w:val="6D103146"/>
    <w:rsid w:val="6D1072FE"/>
    <w:rsid w:val="6D176F77"/>
    <w:rsid w:val="6D1A28C0"/>
    <w:rsid w:val="6D283F79"/>
    <w:rsid w:val="6D418135"/>
    <w:rsid w:val="6D4E3179"/>
    <w:rsid w:val="6D528495"/>
    <w:rsid w:val="6D5B3DA0"/>
    <w:rsid w:val="6D621E7F"/>
    <w:rsid w:val="6D662DB6"/>
    <w:rsid w:val="6D87BCE5"/>
    <w:rsid w:val="6D8C2419"/>
    <w:rsid w:val="6D9A8DF3"/>
    <w:rsid w:val="6D9B7F10"/>
    <w:rsid w:val="6D9E760B"/>
    <w:rsid w:val="6DADD365"/>
    <w:rsid w:val="6DAE4CA0"/>
    <w:rsid w:val="6DCF26D3"/>
    <w:rsid w:val="6DD74A26"/>
    <w:rsid w:val="6DE76F2C"/>
    <w:rsid w:val="6E0B9FA9"/>
    <w:rsid w:val="6E187D67"/>
    <w:rsid w:val="6E257337"/>
    <w:rsid w:val="6E2992BD"/>
    <w:rsid w:val="6E30D91B"/>
    <w:rsid w:val="6E37520D"/>
    <w:rsid w:val="6E3D6FBA"/>
    <w:rsid w:val="6E426284"/>
    <w:rsid w:val="6E5A78DD"/>
    <w:rsid w:val="6E68AB7E"/>
    <w:rsid w:val="6E6F4D60"/>
    <w:rsid w:val="6E77CCF9"/>
    <w:rsid w:val="6E8C0948"/>
    <w:rsid w:val="6E92C46D"/>
    <w:rsid w:val="6EC93EBF"/>
    <w:rsid w:val="6EEB7A45"/>
    <w:rsid w:val="6EFB43E7"/>
    <w:rsid w:val="6F02E424"/>
    <w:rsid w:val="6F17079F"/>
    <w:rsid w:val="6F1F72BD"/>
    <w:rsid w:val="6F25CE85"/>
    <w:rsid w:val="6F37830A"/>
    <w:rsid w:val="6F38D46E"/>
    <w:rsid w:val="6F46A808"/>
    <w:rsid w:val="6F569CE0"/>
    <w:rsid w:val="6F666D84"/>
    <w:rsid w:val="6F691D02"/>
    <w:rsid w:val="6F7A2E74"/>
    <w:rsid w:val="6F94C1EB"/>
    <w:rsid w:val="6F9A27F0"/>
    <w:rsid w:val="6FB3C0B8"/>
    <w:rsid w:val="6FB4484F"/>
    <w:rsid w:val="6FD7D8D0"/>
    <w:rsid w:val="6FE88428"/>
    <w:rsid w:val="6FF4F293"/>
    <w:rsid w:val="6FF685D3"/>
    <w:rsid w:val="701B4E09"/>
    <w:rsid w:val="7021CC80"/>
    <w:rsid w:val="7024797B"/>
    <w:rsid w:val="702D5F38"/>
    <w:rsid w:val="70399600"/>
    <w:rsid w:val="704BDAD3"/>
    <w:rsid w:val="7054F926"/>
    <w:rsid w:val="7058E738"/>
    <w:rsid w:val="70611432"/>
    <w:rsid w:val="706FE880"/>
    <w:rsid w:val="70820935"/>
    <w:rsid w:val="7090D34F"/>
    <w:rsid w:val="70AA6D57"/>
    <w:rsid w:val="70CE2A8C"/>
    <w:rsid w:val="70E7DACA"/>
    <w:rsid w:val="710832D8"/>
    <w:rsid w:val="710E99B4"/>
    <w:rsid w:val="712BC7DF"/>
    <w:rsid w:val="71416FF4"/>
    <w:rsid w:val="71533709"/>
    <w:rsid w:val="715908CD"/>
    <w:rsid w:val="7174EB52"/>
    <w:rsid w:val="7177D7A5"/>
    <w:rsid w:val="719919E6"/>
    <w:rsid w:val="71A557C1"/>
    <w:rsid w:val="71E19D11"/>
    <w:rsid w:val="7230CDC7"/>
    <w:rsid w:val="723875FF"/>
    <w:rsid w:val="72420F59"/>
    <w:rsid w:val="727783AD"/>
    <w:rsid w:val="72AFDC66"/>
    <w:rsid w:val="72D41BD6"/>
    <w:rsid w:val="72E24DBD"/>
    <w:rsid w:val="72E3E5C3"/>
    <w:rsid w:val="7314A861"/>
    <w:rsid w:val="7317B8EB"/>
    <w:rsid w:val="731BCFE4"/>
    <w:rsid w:val="73258170"/>
    <w:rsid w:val="73272BF1"/>
    <w:rsid w:val="733F2EE0"/>
    <w:rsid w:val="734CBFAC"/>
    <w:rsid w:val="73782617"/>
    <w:rsid w:val="737B1AD6"/>
    <w:rsid w:val="73A1B29E"/>
    <w:rsid w:val="73B24FAA"/>
    <w:rsid w:val="73B9BF85"/>
    <w:rsid w:val="73C92E31"/>
    <w:rsid w:val="742D6EC2"/>
    <w:rsid w:val="744406DD"/>
    <w:rsid w:val="748483E0"/>
    <w:rsid w:val="748EC203"/>
    <w:rsid w:val="7491E6C2"/>
    <w:rsid w:val="7492A770"/>
    <w:rsid w:val="74C8CB57"/>
    <w:rsid w:val="74DE9FBB"/>
    <w:rsid w:val="74EB619F"/>
    <w:rsid w:val="74F02062"/>
    <w:rsid w:val="74FC9949"/>
    <w:rsid w:val="750D09DE"/>
    <w:rsid w:val="750EAA5C"/>
    <w:rsid w:val="7518C1EF"/>
    <w:rsid w:val="7525232F"/>
    <w:rsid w:val="752BE587"/>
    <w:rsid w:val="753E0495"/>
    <w:rsid w:val="7541682F"/>
    <w:rsid w:val="7549CE55"/>
    <w:rsid w:val="754B091E"/>
    <w:rsid w:val="755D0A7C"/>
    <w:rsid w:val="75B6EA5C"/>
    <w:rsid w:val="75BA8E56"/>
    <w:rsid w:val="75BAF2C8"/>
    <w:rsid w:val="75BD038B"/>
    <w:rsid w:val="75BDFDA7"/>
    <w:rsid w:val="75D225DF"/>
    <w:rsid w:val="75F492F5"/>
    <w:rsid w:val="75F7CD8C"/>
    <w:rsid w:val="7606DE9E"/>
    <w:rsid w:val="76085117"/>
    <w:rsid w:val="760ED254"/>
    <w:rsid w:val="7632C9E2"/>
    <w:rsid w:val="76402F21"/>
    <w:rsid w:val="766474D8"/>
    <w:rsid w:val="7676BC95"/>
    <w:rsid w:val="76886F7A"/>
    <w:rsid w:val="768D3BCA"/>
    <w:rsid w:val="76AC4E18"/>
    <w:rsid w:val="76D572E2"/>
    <w:rsid w:val="76E119BD"/>
    <w:rsid w:val="76E52D22"/>
    <w:rsid w:val="76E5AA56"/>
    <w:rsid w:val="76F08080"/>
    <w:rsid w:val="770882E9"/>
    <w:rsid w:val="771AAC28"/>
    <w:rsid w:val="7728B6E6"/>
    <w:rsid w:val="772ADC9D"/>
    <w:rsid w:val="772EB621"/>
    <w:rsid w:val="773EE2AD"/>
    <w:rsid w:val="775484AC"/>
    <w:rsid w:val="775B9FB2"/>
    <w:rsid w:val="77814C1A"/>
    <w:rsid w:val="77A33549"/>
    <w:rsid w:val="77BD36C2"/>
    <w:rsid w:val="77C94DF6"/>
    <w:rsid w:val="77CB1F94"/>
    <w:rsid w:val="77D248BD"/>
    <w:rsid w:val="77DF6AF9"/>
    <w:rsid w:val="77DFF971"/>
    <w:rsid w:val="77E40654"/>
    <w:rsid w:val="780A5FE9"/>
    <w:rsid w:val="78109ECF"/>
    <w:rsid w:val="782A7886"/>
    <w:rsid w:val="784C59BB"/>
    <w:rsid w:val="78752A7A"/>
    <w:rsid w:val="7877E862"/>
    <w:rsid w:val="78888A32"/>
    <w:rsid w:val="78A725F2"/>
    <w:rsid w:val="78B025F5"/>
    <w:rsid w:val="78B079B6"/>
    <w:rsid w:val="78C00BC1"/>
    <w:rsid w:val="790C3245"/>
    <w:rsid w:val="790E02CF"/>
    <w:rsid w:val="791DB1F8"/>
    <w:rsid w:val="792FB6C3"/>
    <w:rsid w:val="79333869"/>
    <w:rsid w:val="7948D9DA"/>
    <w:rsid w:val="797F6DE4"/>
    <w:rsid w:val="7995CAAC"/>
    <w:rsid w:val="79AB5389"/>
    <w:rsid w:val="79BB32BE"/>
    <w:rsid w:val="79BB4129"/>
    <w:rsid w:val="79C3B065"/>
    <w:rsid w:val="79E03A88"/>
    <w:rsid w:val="79E0B9F7"/>
    <w:rsid w:val="7A09A4FC"/>
    <w:rsid w:val="7A3170D6"/>
    <w:rsid w:val="7A34FFC6"/>
    <w:rsid w:val="7A3E5E6B"/>
    <w:rsid w:val="7A55F78C"/>
    <w:rsid w:val="7AB692C0"/>
    <w:rsid w:val="7AB75F16"/>
    <w:rsid w:val="7AB8468A"/>
    <w:rsid w:val="7ACE99FD"/>
    <w:rsid w:val="7AD06EB1"/>
    <w:rsid w:val="7ADED25A"/>
    <w:rsid w:val="7B10CC32"/>
    <w:rsid w:val="7B14A935"/>
    <w:rsid w:val="7B1DC55E"/>
    <w:rsid w:val="7B257CAF"/>
    <w:rsid w:val="7B2B9E54"/>
    <w:rsid w:val="7B3AD805"/>
    <w:rsid w:val="7B43882A"/>
    <w:rsid w:val="7B46A2BE"/>
    <w:rsid w:val="7B5F33E8"/>
    <w:rsid w:val="7B6B4A5B"/>
    <w:rsid w:val="7B6C2E8F"/>
    <w:rsid w:val="7B7D84DA"/>
    <w:rsid w:val="7B8139D6"/>
    <w:rsid w:val="7B86D205"/>
    <w:rsid w:val="7B8A186D"/>
    <w:rsid w:val="7B95BB95"/>
    <w:rsid w:val="7BA2A9CF"/>
    <w:rsid w:val="7BBBC6EF"/>
    <w:rsid w:val="7BCC352C"/>
    <w:rsid w:val="7BE384C3"/>
    <w:rsid w:val="7BFBF614"/>
    <w:rsid w:val="7C00C9C0"/>
    <w:rsid w:val="7C147D04"/>
    <w:rsid w:val="7C606425"/>
    <w:rsid w:val="7C7169FA"/>
    <w:rsid w:val="7C8CFDB5"/>
    <w:rsid w:val="7C8D45C1"/>
    <w:rsid w:val="7CA2535A"/>
    <w:rsid w:val="7CAD3218"/>
    <w:rsid w:val="7CAE27E0"/>
    <w:rsid w:val="7CB26EC4"/>
    <w:rsid w:val="7CC34E13"/>
    <w:rsid w:val="7CD7286A"/>
    <w:rsid w:val="7CE80B25"/>
    <w:rsid w:val="7D069F06"/>
    <w:rsid w:val="7D1B23A2"/>
    <w:rsid w:val="7D3BB252"/>
    <w:rsid w:val="7D582570"/>
    <w:rsid w:val="7D6DE777"/>
    <w:rsid w:val="7D7399C9"/>
    <w:rsid w:val="7D7D6224"/>
    <w:rsid w:val="7D8448D9"/>
    <w:rsid w:val="7D898E59"/>
    <w:rsid w:val="7D8EF4D5"/>
    <w:rsid w:val="7DA1206D"/>
    <w:rsid w:val="7DA3DD70"/>
    <w:rsid w:val="7DA61A96"/>
    <w:rsid w:val="7DB16B1A"/>
    <w:rsid w:val="7DC1BACA"/>
    <w:rsid w:val="7DC2E164"/>
    <w:rsid w:val="7DED9A89"/>
    <w:rsid w:val="7DF4CB74"/>
    <w:rsid w:val="7DF9EF69"/>
    <w:rsid w:val="7E0434AA"/>
    <w:rsid w:val="7E0846D0"/>
    <w:rsid w:val="7E09FB93"/>
    <w:rsid w:val="7E3B73B2"/>
    <w:rsid w:val="7E449282"/>
    <w:rsid w:val="7E4B5606"/>
    <w:rsid w:val="7E4E0CC5"/>
    <w:rsid w:val="7E855835"/>
    <w:rsid w:val="7EA432D3"/>
    <w:rsid w:val="7EB10875"/>
    <w:rsid w:val="7EBB3CF8"/>
    <w:rsid w:val="7ED3B488"/>
    <w:rsid w:val="7EDBC904"/>
    <w:rsid w:val="7F02FEF0"/>
    <w:rsid w:val="7F08DC11"/>
    <w:rsid w:val="7F143F89"/>
    <w:rsid w:val="7F189430"/>
    <w:rsid w:val="7F18B3AE"/>
    <w:rsid w:val="7F35B50D"/>
    <w:rsid w:val="7F486C33"/>
    <w:rsid w:val="7F550757"/>
    <w:rsid w:val="7F5A164F"/>
    <w:rsid w:val="7F66AC7A"/>
    <w:rsid w:val="7F72831B"/>
    <w:rsid w:val="7F73D6DB"/>
    <w:rsid w:val="7F780A97"/>
    <w:rsid w:val="7F8E7C2C"/>
    <w:rsid w:val="7FA8F16C"/>
    <w:rsid w:val="7FAA90F3"/>
    <w:rsid w:val="7FAD572C"/>
    <w:rsid w:val="7FC5E24F"/>
    <w:rsid w:val="7FC83F38"/>
    <w:rsid w:val="7FCB710D"/>
    <w:rsid w:val="7FE53628"/>
    <w:rsid w:val="7FE61DF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F50C9"/>
  <w15:docId w15:val="{652C2FAC-3AE4-414B-A297-961867542A5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ja-JP" w:bidi="ar-SA"/>
      </w:rPr>
    </w:rPrDefault>
    <w:pPrDefault>
      <w:pPr>
        <w:spacing w:line="360" w:lineRule="auto"/>
      </w:pPr>
    </w:pPrDefault>
  </w:docDefaults>
  <w:latentStyles w:defLockedState="0" w:defUIPriority="99" w:defSemiHidden="0" w:defUnhideWhenUsed="0" w:defQFormat="0" w:count="375">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635872"/>
    <w:rPr>
      <w:rFonts w:ascii="Bookman Old Style" w:eastAsia="Bookman Old Style" w:hAnsi="Bookman Old Style" w:cs="Bookman Old Style"/>
    </w:rPr>
  </w:style>
  <w:style w:type="paragraph" w:styleId="Heading1">
    <w:name w:val="heading 1"/>
    <w:link w:val="Heading1Char"/>
    <w:uiPriority w:val="9"/>
    <w:qFormat/>
    <w:rsid w:val="007B6202"/>
    <w:pPr>
      <w:spacing w:before="120" w:after="120"/>
      <w:outlineLvl w:val="0"/>
    </w:pPr>
    <w:rPr>
      <w:rFonts w:ascii="Bookman Old Style" w:eastAsia="Bookman Old Style" w:hAnsi="Bookman Old Style" w:cs="Bookman Old Style"/>
      <w:b/>
      <w:color w:val="2F5496" w:themeColor="accent1" w:themeShade="BF"/>
      <w:sz w:val="34"/>
      <w:szCs w:val="32"/>
    </w:rPr>
  </w:style>
  <w:style w:type="paragraph" w:styleId="Heading2">
    <w:name w:val="heading 2"/>
    <w:next w:val="Normal"/>
    <w:link w:val="Heading2Char"/>
    <w:uiPriority w:val="9"/>
    <w:unhideWhenUsed/>
    <w:qFormat/>
    <w:rsid w:val="00774C54"/>
    <w:pPr>
      <w:spacing w:before="120" w:after="120"/>
      <w:outlineLvl w:val="1"/>
    </w:pPr>
    <w:rPr>
      <w:rFonts w:ascii="Bookman Old Style" w:eastAsia="Bookman Old Style" w:hAnsi="Bookman Old Style" w:cs="Bookman Old Style"/>
      <w:b/>
      <w:color w:val="2F5496" w:themeColor="accent1" w:themeShade="BF"/>
      <w:sz w:val="28"/>
      <w:szCs w:val="26"/>
    </w:rPr>
  </w:style>
  <w:style w:type="paragraph" w:styleId="Heading3">
    <w:name w:val="heading 3"/>
    <w:link w:val="Heading3Char"/>
    <w:uiPriority w:val="9"/>
    <w:unhideWhenUsed/>
    <w:qFormat/>
    <w:rsid w:val="008E4640"/>
    <w:pPr>
      <w:spacing w:before="240" w:after="240"/>
      <w:outlineLvl w:val="2"/>
    </w:pPr>
    <w:rPr>
      <w:rFonts w:ascii="Bookman Old Style" w:eastAsia="Bookman Old Style" w:hAnsi="Bookman Old Style" w:cs="Bookman Old Style"/>
      <w:b/>
      <w:color w:val="2F5496" w:themeColor="accent1" w:themeShade="BF"/>
      <w:sz w:val="26"/>
      <w:szCs w:val="24"/>
    </w:rPr>
  </w:style>
  <w:style w:type="paragraph" w:styleId="Heading4">
    <w:name w:val="heading 4"/>
    <w:uiPriority w:val="9"/>
    <w:unhideWhenUsed/>
    <w:qFormat/>
    <w:rsid w:val="00EC0C59"/>
    <w:pPr>
      <w:spacing w:before="240" w:after="240"/>
      <w:outlineLvl w:val="3"/>
    </w:pPr>
    <w:rPr>
      <w:rFonts w:ascii="Bookman Old Style" w:eastAsia="Bookman Old Style" w:hAnsi="Bookman Old Style" w:cs="Bookman Old Style"/>
      <w:b/>
      <w:iCs/>
      <w:color w:val="000000" w:themeColor="text1"/>
      <w:u w:val="single"/>
    </w:rPr>
  </w:style>
  <w:style w:type="paragraph" w:styleId="Heading5">
    <w:name w:val="heading 5"/>
    <w:uiPriority w:val="9"/>
    <w:semiHidden/>
    <w:unhideWhenUsed/>
    <w:qFormat/>
    <w:pPr>
      <w:outlineLvl w:val="4"/>
    </w:pPr>
    <w:rPr>
      <w:rFonts w:ascii="Bookman Old Style" w:eastAsia="Bookman Old Style" w:hAnsi="Bookman Old Style" w:cs="Bookman Old Style"/>
      <w:color w:val="2E74B5"/>
    </w:rPr>
  </w:style>
  <w:style w:type="paragraph" w:styleId="Heading6">
    <w:name w:val="heading 6"/>
    <w:uiPriority w:val="9"/>
    <w:semiHidden/>
    <w:unhideWhenUsed/>
    <w:qFormat/>
    <w:pPr>
      <w:outlineLvl w:val="5"/>
    </w:pPr>
    <w:rPr>
      <w:rFonts w:ascii="Bookman Old Style" w:eastAsia="Bookman Old Style" w:hAnsi="Bookman Old Style" w:cs="Bookman Old Style"/>
      <w:color w:val="1F4D78"/>
    </w:rPr>
  </w:style>
  <w:style w:type="paragraph" w:styleId="Heading9">
    <w:name w:val="heading 9"/>
    <w:basedOn w:val="Normal"/>
    <w:next w:val="Normal"/>
    <w:uiPriority w:val="9"/>
    <w:unhideWhenUsed/>
    <w:qFormat/>
    <w:rsid w:val="11C080E7"/>
    <w:pPr>
      <w:keepNext/>
      <w:keepLines/>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Bookman Old Style" w:eastAsia="Bookman Old Style" w:hAnsi="Bookman Old Style" w:cs="Bookman Old Style"/>
      <w:sz w:val="56"/>
      <w:szCs w:val="56"/>
    </w:rPr>
  </w:style>
  <w:style w:type="paragraph" w:customStyle="1" w:styleId="Strong1">
    <w:name w:val="Strong1"/>
    <w:qFormat/>
    <w:rPr>
      <w:rFonts w:ascii="Bookman Old Style" w:eastAsia="Bookman Old Style" w:hAnsi="Bookman Old Style" w:cs="Bookman Old Style"/>
      <w:b/>
      <w:bCs/>
    </w:rPr>
  </w:style>
  <w:style w:type="paragraph" w:styleId="ListParagraph">
    <w:name w:val="List Paragraph"/>
    <w:qFormat/>
    <w:rPr>
      <w:rFonts w:ascii="Bookman Old Style" w:eastAsia="Bookman Old Style" w:hAnsi="Bookman Old Style" w:cs="Bookman Old Style"/>
    </w:rPr>
  </w:style>
  <w:style w:type="character" w:styleId="Hyperlink">
    <w:name w:val="Hyperlink"/>
    <w:uiPriority w:val="99"/>
    <w:unhideWhenUsed/>
    <w:rPr>
      <w:rFonts w:ascii="Bookman Old Style" w:eastAsia="Bookman Old Style" w:hAnsi="Bookman Old Style" w:cs="Bookman Old Style"/>
      <w:color w:val="0563C1"/>
      <w:u w:val="single"/>
    </w:rPr>
  </w:style>
  <w:style w:type="character" w:styleId="FootnoteReference">
    <w:name w:val="footnote reference"/>
    <w:uiPriority w:val="99"/>
    <w:semiHidden/>
    <w:unhideWhenUsed/>
    <w:rPr>
      <w:rFonts w:ascii="Bookman Old Style" w:eastAsia="Bookman Old Style" w:hAnsi="Bookman Old Style" w:cs="Bookman Old Style"/>
      <w:vertAlign w:val="superscript"/>
    </w:rPr>
  </w:style>
  <w:style w:type="paragraph" w:styleId="FootnoteText">
    <w:name w:val="footnote text"/>
    <w:link w:val="FootnoteTextChar"/>
    <w:uiPriority w:val="99"/>
    <w:semiHidden/>
    <w:unhideWhenUsed/>
    <w:rPr>
      <w:rFonts w:ascii="Bookman Old Style" w:eastAsia="Bookman Old Style" w:hAnsi="Bookman Old Style" w:cs="Bookman Old Style"/>
      <w:sz w:val="20"/>
      <w:szCs w:val="20"/>
    </w:rPr>
  </w:style>
  <w:style w:type="character" w:customStyle="1" w:styleId="FootnoteTextChar">
    <w:name w:val="Footnote Text Char"/>
    <w:link w:val="FootnoteText"/>
    <w:uiPriority w:val="99"/>
    <w:semiHidden/>
    <w:unhideWhenUsed/>
    <w:rPr>
      <w:rFonts w:ascii="Bookman Old Style" w:eastAsia="Bookman Old Style" w:hAnsi="Bookman Old Style" w:cs="Bookman Old Style"/>
      <w:sz w:val="20"/>
      <w:szCs w:val="20"/>
    </w:rPr>
  </w:style>
  <w:style w:type="paragraph" w:customStyle="1" w:styleId="heading10">
    <w:name w:val="heading 10"/>
    <w:qFormat/>
    <w:pPr>
      <w:spacing w:before="360" w:after="180"/>
      <w:outlineLvl w:val="0"/>
    </w:pPr>
    <w:rPr>
      <w:rFonts w:ascii="Bookman Old Style" w:eastAsia="Bookman Old Style" w:hAnsi="Bookman Old Style" w:cs="Bookman Old Style"/>
      <w:b/>
      <w:bCs/>
      <w:color w:val="1F4E79"/>
      <w:sz w:val="30"/>
      <w:szCs w:val="30"/>
    </w:rPr>
  </w:style>
  <w:style w:type="paragraph" w:customStyle="1" w:styleId="heading20">
    <w:name w:val="heading 20"/>
    <w:qFormat/>
    <w:pPr>
      <w:spacing w:before="260" w:after="120"/>
      <w:outlineLvl w:val="1"/>
    </w:pPr>
    <w:rPr>
      <w:rFonts w:ascii="Bookman Old Style" w:eastAsia="Bookman Old Style" w:hAnsi="Bookman Old Style" w:cs="Bookman Old Style"/>
      <w:b/>
      <w:bCs/>
      <w:color w:val="2E75B6"/>
      <w:sz w:val="24"/>
      <w:szCs w:val="24"/>
    </w:rPr>
  </w:style>
  <w:style w:type="paragraph" w:styleId="TOC1">
    <w:name w:val="toc 1"/>
    <w:basedOn w:val="Normal"/>
    <w:next w:val="Normal"/>
    <w:uiPriority w:val="39"/>
    <w:unhideWhenUsed/>
    <w:rsid w:val="005237C8"/>
    <w:pPr>
      <w:spacing w:before="240" w:after="240"/>
    </w:pPr>
    <w:rPr>
      <w:rFonts w:cstheme="minorHAnsi"/>
      <w:b/>
      <w:bCs/>
      <w:caps/>
      <w:sz w:val="20"/>
      <w:szCs w:val="20"/>
    </w:rPr>
  </w:style>
  <w:style w:type="paragraph" w:styleId="TOC2">
    <w:name w:val="toc 2"/>
    <w:basedOn w:val="Normal"/>
    <w:next w:val="Normal"/>
    <w:uiPriority w:val="39"/>
    <w:unhideWhenUsed/>
    <w:rsid w:val="005237C8"/>
    <w:pPr>
      <w:spacing w:before="120" w:after="120"/>
      <w:ind w:left="220"/>
    </w:pPr>
    <w:rPr>
      <w:rFonts w:cstheme="minorHAnsi"/>
      <w:smallCaps/>
      <w:sz w:val="20"/>
      <w:szCs w:val="20"/>
    </w:rPr>
  </w:style>
  <w:style w:type="table" w:styleId="TableGrid">
    <w:name w:val="Table Grid"/>
    <w:basedOn w:val="TableNormal"/>
    <w:uiPriority w:val="59"/>
    <w:rsid w:val="00FB4123"/>
    <w:rPr>
      <w:rFonts w:ascii="Bookman Old Style" w:eastAsia="Bookman Old Style" w:hAnsi="Bookman Old Style" w:cs="Bookman Old Styl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4-Accent1">
    <w:name w:val="Grid Table 4 Accent 1"/>
    <w:basedOn w:val="TableNormal"/>
    <w:uiPriority w:val="49"/>
    <w:rPr>
      <w:rFonts w:ascii="Bookman Old Style" w:eastAsia="Bookman Old Style" w:hAnsi="Bookman Old Style" w:cs="Bookman Old Styl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EndnoteText">
    <w:name w:val="endnote text"/>
    <w:basedOn w:val="Normal"/>
    <w:uiPriority w:val="99"/>
    <w:semiHidden/>
    <w:unhideWhenUsed/>
    <w:rsid w:val="29CD1B6A"/>
    <w:rPr>
      <w:sz w:val="20"/>
      <w:szCs w:val="20"/>
    </w:rPr>
  </w:style>
  <w:style w:type="character" w:styleId="EndnoteReference">
    <w:name w:val="endnote reference"/>
    <w:basedOn w:val="DefaultParagraphFont"/>
    <w:uiPriority w:val="99"/>
    <w:semiHidden/>
    <w:unhideWhenUsed/>
    <w:rsid w:val="29CD1B6A"/>
    <w:rPr>
      <w:rFonts w:ascii="Bookman Old Style" w:eastAsia="Bookman Old Style" w:hAnsi="Bookman Old Style" w:cs="Bookman Old Style"/>
      <w:vertAlign w:val="superscript"/>
    </w:rPr>
  </w:style>
  <w:style w:type="paragraph" w:styleId="TOC3">
    <w:name w:val="toc 3"/>
    <w:basedOn w:val="Normal"/>
    <w:next w:val="Normal"/>
    <w:uiPriority w:val="39"/>
    <w:unhideWhenUsed/>
    <w:rsid w:val="000B52D0"/>
    <w:pPr>
      <w:ind w:left="440"/>
    </w:pPr>
    <w:rPr>
      <w:rFonts w:cstheme="minorHAnsi"/>
      <w:i/>
      <w:iCs/>
      <w:sz w:val="20"/>
      <w:szCs w:val="20"/>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Bookman Old Style" w:eastAsia="Bookman Old Style" w:hAnsi="Bookman Old Style" w:cs="Bookman Old Style"/>
      <w:sz w:val="20"/>
      <w:szCs w:val="20"/>
    </w:rPr>
  </w:style>
  <w:style w:type="character" w:styleId="CommentReference">
    <w:name w:val="annotation reference"/>
    <w:basedOn w:val="DefaultParagraphFont"/>
    <w:uiPriority w:val="99"/>
    <w:semiHidden/>
    <w:unhideWhenUsed/>
    <w:rPr>
      <w:rFonts w:ascii="Bookman Old Style" w:eastAsia="Bookman Old Style" w:hAnsi="Bookman Old Style" w:cs="Bookman Old Style"/>
      <w:sz w:val="16"/>
      <w:szCs w:val="16"/>
    </w:rPr>
  </w:style>
  <w:style w:type="paragraph" w:styleId="BalloonText">
    <w:name w:val="Balloon Text"/>
    <w:basedOn w:val="Normal"/>
    <w:link w:val="BalloonTextChar"/>
    <w:uiPriority w:val="99"/>
    <w:semiHidden/>
    <w:unhideWhenUsed/>
    <w:rsid w:val="006618CF"/>
    <w:rPr>
      <w:sz w:val="18"/>
      <w:szCs w:val="18"/>
    </w:rPr>
  </w:style>
  <w:style w:type="character" w:customStyle="1" w:styleId="BalloonTextChar">
    <w:name w:val="Balloon Text Char"/>
    <w:basedOn w:val="DefaultParagraphFont"/>
    <w:link w:val="BalloonText"/>
    <w:uiPriority w:val="99"/>
    <w:semiHidden/>
    <w:rsid w:val="006618CF"/>
    <w:rPr>
      <w:rFonts w:ascii="Bookman Old Style" w:eastAsia="Bookman Old Style" w:hAnsi="Bookman Old Style" w:cs="Bookman Old Style"/>
      <w:sz w:val="18"/>
      <w:szCs w:val="18"/>
    </w:rPr>
  </w:style>
  <w:style w:type="paragraph" w:styleId="CommentSubject">
    <w:name w:val="annotation subject"/>
    <w:basedOn w:val="CommentText"/>
    <w:next w:val="CommentText"/>
    <w:link w:val="CommentSubjectChar"/>
    <w:uiPriority w:val="99"/>
    <w:semiHidden/>
    <w:unhideWhenUsed/>
    <w:rsid w:val="0035627B"/>
    <w:rPr>
      <w:b/>
      <w:bCs/>
    </w:rPr>
  </w:style>
  <w:style w:type="character" w:customStyle="1" w:styleId="CommentSubjectChar">
    <w:name w:val="Comment Subject Char"/>
    <w:basedOn w:val="CommentTextChar"/>
    <w:link w:val="CommentSubject"/>
    <w:uiPriority w:val="99"/>
    <w:semiHidden/>
    <w:rsid w:val="0035627B"/>
    <w:rPr>
      <w:rFonts w:ascii="Bookman Old Style" w:eastAsia="Bookman Old Style" w:hAnsi="Bookman Old Style" w:cs="Bookman Old Style"/>
      <w:b/>
      <w:bCs/>
      <w:sz w:val="20"/>
      <w:szCs w:val="20"/>
    </w:rPr>
  </w:style>
  <w:style w:type="character" w:styleId="Emphasis">
    <w:name w:val="Emphasis"/>
    <w:basedOn w:val="DefaultParagraphFont"/>
    <w:uiPriority w:val="20"/>
    <w:qFormat/>
    <w:rsid w:val="00D62D4C"/>
    <w:rPr>
      <w:rFonts w:ascii="Bookman Old Style" w:eastAsia="Bookman Old Style" w:hAnsi="Bookman Old Style" w:cs="Bookman Old Style"/>
      <w:i/>
      <w:iCs/>
    </w:rPr>
  </w:style>
  <w:style w:type="paragraph" w:customStyle="1" w:styleId="font-claude-response-body">
    <w:name w:val="font-claude-response-body"/>
    <w:basedOn w:val="Normal"/>
    <w:rsid w:val="00EA235F"/>
    <w:pPr>
      <w:spacing w:before="100" w:beforeAutospacing="1" w:after="100" w:afterAutospacing="1"/>
    </w:pPr>
    <w:rPr>
      <w:sz w:val="24"/>
      <w:szCs w:val="24"/>
      <w:lang w:val="en-GB" w:eastAsia="en-GB"/>
    </w:rPr>
  </w:style>
  <w:style w:type="character" w:styleId="Strong">
    <w:name w:val="Strong"/>
    <w:basedOn w:val="DefaultParagraphFont"/>
    <w:uiPriority w:val="22"/>
    <w:qFormat/>
    <w:rsid w:val="00EA235F"/>
    <w:rPr>
      <w:rFonts w:ascii="Bookman Old Style" w:eastAsia="Bookman Old Style" w:hAnsi="Bookman Old Style" w:cs="Bookman Old Style"/>
      <w:b/>
      <w:bCs/>
    </w:rPr>
  </w:style>
  <w:style w:type="character" w:styleId="HTMLCode">
    <w:name w:val="HTML Code"/>
    <w:basedOn w:val="DefaultParagraphFont"/>
    <w:uiPriority w:val="99"/>
    <w:semiHidden/>
    <w:unhideWhenUsed/>
    <w:rsid w:val="00EA235F"/>
    <w:rPr>
      <w:rFonts w:ascii="Bookman Old Style" w:eastAsia="Bookman Old Style" w:hAnsi="Bookman Old Style" w:cs="Bookman Old Style"/>
      <w:sz w:val="20"/>
      <w:szCs w:val="20"/>
    </w:rPr>
  </w:style>
  <w:style w:type="paragraph" w:styleId="Header">
    <w:name w:val="header"/>
    <w:basedOn w:val="Normal"/>
    <w:uiPriority w:val="99"/>
    <w:unhideWhenUsed/>
    <w:rsid w:val="7D3BB252"/>
    <w:pPr>
      <w:tabs>
        <w:tab w:val="center" w:pos="4680"/>
        <w:tab w:val="right" w:pos="9360"/>
      </w:tabs>
    </w:pPr>
  </w:style>
  <w:style w:type="paragraph" w:styleId="Footer">
    <w:name w:val="footer"/>
    <w:basedOn w:val="Normal"/>
    <w:link w:val="FooterChar"/>
    <w:uiPriority w:val="99"/>
    <w:unhideWhenUsed/>
    <w:rsid w:val="7D3BB252"/>
    <w:pPr>
      <w:tabs>
        <w:tab w:val="center" w:pos="4680"/>
        <w:tab w:val="right" w:pos="9360"/>
      </w:tabs>
    </w:pPr>
  </w:style>
  <w:style w:type="character" w:customStyle="1" w:styleId="Heading3Char">
    <w:name w:val="Heading 3 Char"/>
    <w:basedOn w:val="DefaultParagraphFont"/>
    <w:link w:val="Heading3"/>
    <w:uiPriority w:val="9"/>
    <w:rsid w:val="008E4640"/>
    <w:rPr>
      <w:rFonts w:ascii="Bookman Old Style" w:eastAsia="Bookman Old Style" w:hAnsi="Bookman Old Style" w:cs="Bookman Old Style"/>
      <w:b/>
      <w:color w:val="2F5496" w:themeColor="accent1" w:themeShade="BF"/>
      <w:sz w:val="26"/>
      <w:szCs w:val="24"/>
    </w:rPr>
  </w:style>
  <w:style w:type="table" w:styleId="PlainTable1">
    <w:name w:val="Plain Table 1"/>
    <w:basedOn w:val="TableNormal"/>
    <w:uiPriority w:val="41"/>
    <w:rsid w:val="00C234E1"/>
    <w:rPr>
      <w:rFonts w:ascii="Bookman Old Style" w:eastAsia="Bookman Old Style" w:hAnsi="Bookman Old Style" w:cs="Bookman Old Styl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Paragraph">
    <w:name w:val="Table Paragraph"/>
    <w:basedOn w:val="Normal"/>
    <w:qFormat/>
    <w:rsid w:val="00481AC3"/>
    <w:pPr>
      <w:widowControl w:val="0"/>
      <w:autoSpaceDE w:val="0"/>
      <w:autoSpaceDN w:val="0"/>
      <w:spacing w:before="35"/>
    </w:pPr>
    <w:rPr>
      <w:sz w:val="20"/>
      <w:szCs w:val="20"/>
      <w:lang w:eastAsia="en-US"/>
    </w:rPr>
  </w:style>
  <w:style w:type="character" w:styleId="PageNumber">
    <w:name w:val="page number"/>
    <w:basedOn w:val="DefaultParagraphFont"/>
    <w:uiPriority w:val="99"/>
    <w:semiHidden/>
    <w:unhideWhenUsed/>
    <w:rsid w:val="003E5402"/>
    <w:rPr>
      <w:rFonts w:ascii="Bookman Old Style" w:eastAsia="Bookman Old Style" w:hAnsi="Bookman Old Style" w:cs="Bookman Old Style"/>
    </w:rPr>
  </w:style>
  <w:style w:type="character" w:customStyle="1" w:styleId="FooterChar">
    <w:name w:val="Footer Char"/>
    <w:basedOn w:val="DefaultParagraphFont"/>
    <w:link w:val="Footer"/>
    <w:uiPriority w:val="99"/>
    <w:rsid w:val="003E5402"/>
    <w:rPr>
      <w:rFonts w:ascii="Bookman Old Style" w:eastAsia="Bookman Old Style" w:hAnsi="Bookman Old Style" w:cs="Bookman Old Style"/>
    </w:rPr>
  </w:style>
  <w:style w:type="paragraph" w:styleId="TOCHeading">
    <w:name w:val="TOC Heading"/>
    <w:next w:val="Normal"/>
    <w:uiPriority w:val="39"/>
    <w:unhideWhenUsed/>
    <w:qFormat/>
    <w:rsid w:val="004A28DD"/>
    <w:pPr>
      <w:spacing w:before="120" w:after="120"/>
    </w:pPr>
    <w:rPr>
      <w:rFonts w:ascii="Bookman Old Style" w:eastAsia="Bookman Old Style" w:hAnsi="Bookman Old Style" w:cs="Bookman Old Style"/>
      <w:b/>
      <w:color w:val="2F5496" w:themeColor="accent1" w:themeShade="BF"/>
      <w:sz w:val="34"/>
      <w:szCs w:val="32"/>
    </w:rPr>
  </w:style>
  <w:style w:type="paragraph" w:styleId="TOC4">
    <w:name w:val="toc 4"/>
    <w:basedOn w:val="Normal"/>
    <w:next w:val="Normal"/>
    <w:autoRedefine/>
    <w:uiPriority w:val="39"/>
    <w:semiHidden/>
    <w:unhideWhenUsed/>
    <w:rsid w:val="008C320A"/>
    <w:pPr>
      <w:ind w:left="660"/>
    </w:pPr>
    <w:rPr>
      <w:rFonts w:asciiTheme="minorHAnsi" w:hAnsiTheme="minorHAnsi" w:cstheme="minorHAnsi"/>
      <w:sz w:val="18"/>
      <w:szCs w:val="18"/>
    </w:rPr>
  </w:style>
  <w:style w:type="paragraph" w:styleId="TOC5">
    <w:name w:val="toc 5"/>
    <w:basedOn w:val="Normal"/>
    <w:next w:val="Normal"/>
    <w:autoRedefine/>
    <w:uiPriority w:val="39"/>
    <w:semiHidden/>
    <w:unhideWhenUsed/>
    <w:rsid w:val="008C320A"/>
    <w:pPr>
      <w:ind w:left="880"/>
    </w:pPr>
    <w:rPr>
      <w:rFonts w:asciiTheme="minorHAnsi" w:hAnsiTheme="minorHAnsi" w:cstheme="minorHAnsi"/>
      <w:sz w:val="18"/>
      <w:szCs w:val="18"/>
    </w:rPr>
  </w:style>
  <w:style w:type="paragraph" w:styleId="TOC6">
    <w:name w:val="toc 6"/>
    <w:basedOn w:val="Normal"/>
    <w:next w:val="Normal"/>
    <w:autoRedefine/>
    <w:uiPriority w:val="39"/>
    <w:semiHidden/>
    <w:unhideWhenUsed/>
    <w:rsid w:val="008C320A"/>
    <w:pPr>
      <w:ind w:left="1100"/>
    </w:pPr>
    <w:rPr>
      <w:rFonts w:asciiTheme="minorHAnsi" w:hAnsiTheme="minorHAnsi" w:cstheme="minorHAnsi"/>
      <w:sz w:val="18"/>
      <w:szCs w:val="18"/>
    </w:rPr>
  </w:style>
  <w:style w:type="paragraph" w:styleId="TOC7">
    <w:name w:val="toc 7"/>
    <w:basedOn w:val="Normal"/>
    <w:next w:val="Normal"/>
    <w:autoRedefine/>
    <w:uiPriority w:val="39"/>
    <w:semiHidden/>
    <w:unhideWhenUsed/>
    <w:rsid w:val="008C320A"/>
    <w:pPr>
      <w:ind w:left="1320"/>
    </w:pPr>
    <w:rPr>
      <w:rFonts w:asciiTheme="minorHAnsi" w:hAnsiTheme="minorHAnsi" w:cstheme="minorHAnsi"/>
      <w:sz w:val="18"/>
      <w:szCs w:val="18"/>
    </w:rPr>
  </w:style>
  <w:style w:type="paragraph" w:styleId="TOC8">
    <w:name w:val="toc 8"/>
    <w:basedOn w:val="Normal"/>
    <w:next w:val="Normal"/>
    <w:autoRedefine/>
    <w:uiPriority w:val="39"/>
    <w:semiHidden/>
    <w:unhideWhenUsed/>
    <w:rsid w:val="008C320A"/>
    <w:pPr>
      <w:ind w:left="1540"/>
    </w:pPr>
    <w:rPr>
      <w:rFonts w:asciiTheme="minorHAnsi" w:hAnsiTheme="minorHAnsi" w:cstheme="minorHAnsi"/>
      <w:sz w:val="18"/>
      <w:szCs w:val="18"/>
    </w:rPr>
  </w:style>
  <w:style w:type="paragraph" w:styleId="TOC9">
    <w:name w:val="toc 9"/>
    <w:basedOn w:val="Normal"/>
    <w:next w:val="Normal"/>
    <w:autoRedefine/>
    <w:uiPriority w:val="39"/>
    <w:semiHidden/>
    <w:unhideWhenUsed/>
    <w:rsid w:val="008C320A"/>
    <w:pPr>
      <w:ind w:left="1760"/>
    </w:pPr>
    <w:rPr>
      <w:rFonts w:asciiTheme="minorHAnsi" w:hAnsiTheme="minorHAnsi" w:cstheme="minorHAnsi"/>
      <w:sz w:val="18"/>
      <w:szCs w:val="18"/>
    </w:rPr>
  </w:style>
  <w:style w:type="paragraph" w:customStyle="1" w:styleId="Paragraph">
    <w:name w:val="Paragraph"/>
    <w:qFormat/>
    <w:rsid w:val="00F737DD"/>
    <w:pPr>
      <w:spacing w:before="1" w:after="240"/>
      <w:jc w:val="both"/>
    </w:pPr>
    <w:rPr>
      <w:rFonts w:ascii="Bookman Old Style" w:eastAsia="Bookman Old Style" w:hAnsi="Bookman Old Style" w:cs="Bookman Old Style"/>
      <w:sz w:val="24"/>
      <w:szCs w:val="24"/>
      <w:lang w:val="en-MY"/>
    </w:rPr>
  </w:style>
  <w:style w:type="character" w:customStyle="1" w:styleId="Heading1Char">
    <w:name w:val="Heading 1 Char"/>
    <w:basedOn w:val="DefaultParagraphFont"/>
    <w:link w:val="Heading1"/>
    <w:uiPriority w:val="9"/>
    <w:rsid w:val="00993937"/>
    <w:rPr>
      <w:rFonts w:ascii="Bookman Old Style" w:eastAsia="Bookman Old Style" w:hAnsi="Bookman Old Style" w:cs="Bookman Old Style"/>
      <w:b/>
      <w:color w:val="2F5496" w:themeColor="accent1" w:themeShade="BF"/>
      <w:sz w:val="34"/>
      <w:szCs w:val="32"/>
    </w:rPr>
  </w:style>
  <w:style w:type="paragraph" w:styleId="Caption">
    <w:name w:val="caption"/>
    <w:basedOn w:val="Normal"/>
    <w:next w:val="Normal"/>
    <w:uiPriority w:val="35"/>
    <w:unhideWhenUsed/>
    <w:qFormat/>
    <w:rsid w:val="00B84D1F"/>
    <w:pPr>
      <w:keepNext/>
      <w:spacing w:after="200"/>
    </w:pPr>
    <w:rPr>
      <w:i/>
      <w:iCs/>
      <w:color w:val="2F5496" w:themeColor="accent1" w:themeShade="BF"/>
      <w:sz w:val="20"/>
      <w:szCs w:val="18"/>
    </w:rPr>
  </w:style>
  <w:style w:type="paragraph" w:styleId="TableofFigures">
    <w:name w:val="table of figures"/>
    <w:basedOn w:val="Normal"/>
    <w:next w:val="Normal"/>
    <w:uiPriority w:val="99"/>
    <w:unhideWhenUsed/>
    <w:rsid w:val="00CA18E9"/>
    <w:pPr>
      <w:spacing w:before="120" w:after="120"/>
    </w:pPr>
  </w:style>
  <w:style w:type="character" w:customStyle="1" w:styleId="Heading2Char">
    <w:name w:val="Heading 2 Char"/>
    <w:basedOn w:val="DefaultParagraphFont"/>
    <w:link w:val="Heading2"/>
    <w:uiPriority w:val="9"/>
    <w:rsid w:val="00635872"/>
    <w:rPr>
      <w:rFonts w:ascii="Bookman Old Style" w:eastAsia="Bookman Old Style" w:hAnsi="Bookman Old Style" w:cs="Bookman Old Style"/>
      <w:b/>
      <w:color w:val="2F5496" w:themeColor="accent1" w:themeShade="BF"/>
      <w:sz w:val="28"/>
      <w:szCs w:val="26"/>
    </w:rPr>
  </w:style>
  <w:style w:type="table" w:styleId="GridTable1Light-Accent1">
    <w:name w:val="Grid Table 1 Light Accent 1"/>
    <w:basedOn w:val="TableNormal"/>
    <w:uiPriority w:val="46"/>
    <w:rsid w:val="003F4D2D"/>
    <w:rPr>
      <w:rFonts w:ascii="Bookman Old Style" w:eastAsia="Bookman Old Style" w:hAnsi="Bookman Old Style" w:cs="Bookman Old Style"/>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HTMLPreformatted">
    <w:name w:val="HTML Preformatted"/>
    <w:basedOn w:val="Normal"/>
    <w:link w:val="HTMLPreformattedChar"/>
    <w:uiPriority w:val="99"/>
    <w:semiHidden/>
    <w:unhideWhenUsed/>
    <w:rsid w:val="002D6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sz w:val="20"/>
      <w:szCs w:val="20"/>
      <w:lang w:eastAsia="en-US"/>
    </w:rPr>
  </w:style>
  <w:style w:type="character" w:customStyle="1" w:styleId="HTMLPreformattedChar">
    <w:name w:val="HTML Preformatted Char"/>
    <w:basedOn w:val="DefaultParagraphFont"/>
    <w:link w:val="HTMLPreformatted"/>
    <w:uiPriority w:val="99"/>
    <w:semiHidden/>
    <w:rsid w:val="002D6A5C"/>
    <w:rPr>
      <w:rFonts w:ascii="Bookman Old Style" w:eastAsia="Bookman Old Style" w:hAnsi="Bookman Old Style" w:cs="Bookman Old Style"/>
      <w:sz w:val="20"/>
      <w:szCs w:val="20"/>
      <w:lang w:eastAsia="en-US"/>
    </w:rPr>
  </w:style>
  <w:style w:type="character" w:customStyle="1" w:styleId="linewrapper">
    <w:name w:val="line_wrapper"/>
    <w:basedOn w:val="DefaultParagraphFont"/>
    <w:rsid w:val="002D6A5C"/>
    <w:rPr>
      <w:rFonts w:ascii="Bookman Old Style" w:eastAsia="Bookman Old Style" w:hAnsi="Bookman Old Style" w:cs="Bookman Old Style"/>
    </w:rPr>
  </w:style>
  <w:style w:type="paragraph" w:styleId="NormalWeb">
    <w:name w:val="Normal (Web)"/>
    <w:basedOn w:val="Normal"/>
    <w:uiPriority w:val="99"/>
    <w:semiHidden/>
    <w:unhideWhenUsed/>
    <w:rsid w:val="00AD6744"/>
    <w:pPr>
      <w:spacing w:before="100" w:beforeAutospacing="1" w:after="100" w:afterAutospacing="1"/>
    </w:pPr>
    <w:rPr>
      <w:sz w:val="24"/>
      <w:szCs w:val="24"/>
      <w:lang w:eastAsia="en-US"/>
    </w:rPr>
  </w:style>
  <w:style w:type="paragraph" w:styleId="Revision">
    <w:name w:val="Revision"/>
    <w:hidden/>
    <w:uiPriority w:val="99"/>
    <w:semiHidden/>
    <w:rsid w:val="00B226DA"/>
    <w:rPr>
      <w:rFonts w:ascii="Bookman Old Style" w:eastAsia="Bookman Old Style" w:hAnsi="Bookman Old Style" w:cs="Bookman Old Sty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4795120">
      <w:bodyDiv w:val="1"/>
      <w:marLeft w:val="0"/>
      <w:marRight w:val="0"/>
      <w:marTop w:val="0"/>
      <w:marBottom w:val="0"/>
      <w:divBdr>
        <w:top w:val="none" w:sz="0" w:space="0" w:color="auto"/>
        <w:left w:val="none" w:sz="0" w:space="0" w:color="auto"/>
        <w:bottom w:val="none" w:sz="0" w:space="0" w:color="auto"/>
        <w:right w:val="none" w:sz="0" w:space="0" w:color="auto"/>
      </w:divBdr>
    </w:div>
    <w:div w:id="436562406">
      <w:bodyDiv w:val="1"/>
      <w:marLeft w:val="0"/>
      <w:marRight w:val="0"/>
      <w:marTop w:val="0"/>
      <w:marBottom w:val="0"/>
      <w:divBdr>
        <w:top w:val="none" w:sz="0" w:space="0" w:color="auto"/>
        <w:left w:val="none" w:sz="0" w:space="0" w:color="auto"/>
        <w:bottom w:val="none" w:sz="0" w:space="0" w:color="auto"/>
        <w:right w:val="none" w:sz="0" w:space="0" w:color="auto"/>
      </w:divBdr>
    </w:div>
    <w:div w:id="650528229">
      <w:bodyDiv w:val="1"/>
      <w:marLeft w:val="0"/>
      <w:marRight w:val="0"/>
      <w:marTop w:val="0"/>
      <w:marBottom w:val="0"/>
      <w:divBdr>
        <w:top w:val="none" w:sz="0" w:space="0" w:color="auto"/>
        <w:left w:val="none" w:sz="0" w:space="0" w:color="auto"/>
        <w:bottom w:val="none" w:sz="0" w:space="0" w:color="auto"/>
        <w:right w:val="none" w:sz="0" w:space="0" w:color="auto"/>
      </w:divBdr>
    </w:div>
    <w:div w:id="779490794">
      <w:bodyDiv w:val="1"/>
      <w:marLeft w:val="0"/>
      <w:marRight w:val="0"/>
      <w:marTop w:val="0"/>
      <w:marBottom w:val="0"/>
      <w:divBdr>
        <w:top w:val="none" w:sz="0" w:space="0" w:color="auto"/>
        <w:left w:val="none" w:sz="0" w:space="0" w:color="auto"/>
        <w:bottom w:val="none" w:sz="0" w:space="0" w:color="auto"/>
        <w:right w:val="none" w:sz="0" w:space="0" w:color="auto"/>
      </w:divBdr>
    </w:div>
    <w:div w:id="856425180">
      <w:bodyDiv w:val="1"/>
      <w:marLeft w:val="0"/>
      <w:marRight w:val="0"/>
      <w:marTop w:val="0"/>
      <w:marBottom w:val="0"/>
      <w:divBdr>
        <w:top w:val="none" w:sz="0" w:space="0" w:color="auto"/>
        <w:left w:val="none" w:sz="0" w:space="0" w:color="auto"/>
        <w:bottom w:val="none" w:sz="0" w:space="0" w:color="auto"/>
        <w:right w:val="none" w:sz="0" w:space="0" w:color="auto"/>
      </w:divBdr>
    </w:div>
    <w:div w:id="877010906">
      <w:bodyDiv w:val="1"/>
      <w:marLeft w:val="0"/>
      <w:marRight w:val="0"/>
      <w:marTop w:val="0"/>
      <w:marBottom w:val="0"/>
      <w:divBdr>
        <w:top w:val="none" w:sz="0" w:space="0" w:color="auto"/>
        <w:left w:val="none" w:sz="0" w:space="0" w:color="auto"/>
        <w:bottom w:val="none" w:sz="0" w:space="0" w:color="auto"/>
        <w:right w:val="none" w:sz="0" w:space="0" w:color="auto"/>
      </w:divBdr>
    </w:div>
    <w:div w:id="892817112">
      <w:bodyDiv w:val="1"/>
      <w:marLeft w:val="0"/>
      <w:marRight w:val="0"/>
      <w:marTop w:val="0"/>
      <w:marBottom w:val="0"/>
      <w:divBdr>
        <w:top w:val="none" w:sz="0" w:space="0" w:color="auto"/>
        <w:left w:val="none" w:sz="0" w:space="0" w:color="auto"/>
        <w:bottom w:val="none" w:sz="0" w:space="0" w:color="auto"/>
        <w:right w:val="none" w:sz="0" w:space="0" w:color="auto"/>
      </w:divBdr>
    </w:div>
    <w:div w:id="1282879601">
      <w:bodyDiv w:val="1"/>
      <w:marLeft w:val="0"/>
      <w:marRight w:val="0"/>
      <w:marTop w:val="0"/>
      <w:marBottom w:val="0"/>
      <w:divBdr>
        <w:top w:val="none" w:sz="0" w:space="0" w:color="auto"/>
        <w:left w:val="none" w:sz="0" w:space="0" w:color="auto"/>
        <w:bottom w:val="none" w:sz="0" w:space="0" w:color="auto"/>
        <w:right w:val="none" w:sz="0" w:space="0" w:color="auto"/>
      </w:divBdr>
    </w:div>
    <w:div w:id="1425691765">
      <w:bodyDiv w:val="1"/>
      <w:marLeft w:val="0"/>
      <w:marRight w:val="0"/>
      <w:marTop w:val="0"/>
      <w:marBottom w:val="0"/>
      <w:divBdr>
        <w:top w:val="none" w:sz="0" w:space="0" w:color="auto"/>
        <w:left w:val="none" w:sz="0" w:space="0" w:color="auto"/>
        <w:bottom w:val="none" w:sz="0" w:space="0" w:color="auto"/>
        <w:right w:val="none" w:sz="0" w:space="0" w:color="auto"/>
      </w:divBdr>
    </w:div>
    <w:div w:id="1692760867">
      <w:bodyDiv w:val="1"/>
      <w:marLeft w:val="0"/>
      <w:marRight w:val="0"/>
      <w:marTop w:val="0"/>
      <w:marBottom w:val="0"/>
      <w:divBdr>
        <w:top w:val="none" w:sz="0" w:space="0" w:color="auto"/>
        <w:left w:val="none" w:sz="0" w:space="0" w:color="auto"/>
        <w:bottom w:val="none" w:sz="0" w:space="0" w:color="auto"/>
        <w:right w:val="none" w:sz="0" w:space="0" w:color="auto"/>
      </w:divBdr>
    </w:div>
    <w:div w:id="1774278522">
      <w:bodyDiv w:val="1"/>
      <w:marLeft w:val="0"/>
      <w:marRight w:val="0"/>
      <w:marTop w:val="0"/>
      <w:marBottom w:val="0"/>
      <w:divBdr>
        <w:top w:val="none" w:sz="0" w:space="0" w:color="auto"/>
        <w:left w:val="none" w:sz="0" w:space="0" w:color="auto"/>
        <w:bottom w:val="none" w:sz="0" w:space="0" w:color="auto"/>
        <w:right w:val="none" w:sz="0" w:space="0" w:color="auto"/>
      </w:divBdr>
    </w:div>
    <w:div w:id="1878279213">
      <w:bodyDiv w:val="1"/>
      <w:marLeft w:val="0"/>
      <w:marRight w:val="0"/>
      <w:marTop w:val="0"/>
      <w:marBottom w:val="0"/>
      <w:divBdr>
        <w:top w:val="none" w:sz="0" w:space="0" w:color="auto"/>
        <w:left w:val="none" w:sz="0" w:space="0" w:color="auto"/>
        <w:bottom w:val="none" w:sz="0" w:space="0" w:color="auto"/>
        <w:right w:val="none" w:sz="0" w:space="0" w:color="auto"/>
      </w:divBdr>
    </w:div>
    <w:div w:id="1932228800">
      <w:bodyDiv w:val="1"/>
      <w:marLeft w:val="0"/>
      <w:marRight w:val="0"/>
      <w:marTop w:val="0"/>
      <w:marBottom w:val="0"/>
      <w:divBdr>
        <w:top w:val="none" w:sz="0" w:space="0" w:color="auto"/>
        <w:left w:val="none" w:sz="0" w:space="0" w:color="auto"/>
        <w:bottom w:val="none" w:sz="0" w:space="0" w:color="auto"/>
        <w:right w:val="none" w:sz="0" w:space="0" w:color="auto"/>
      </w:divBdr>
    </w:div>
    <w:div w:id="2005739856">
      <w:bodyDiv w:val="1"/>
      <w:marLeft w:val="0"/>
      <w:marRight w:val="0"/>
      <w:marTop w:val="0"/>
      <w:marBottom w:val="0"/>
      <w:divBdr>
        <w:top w:val="none" w:sz="0" w:space="0" w:color="auto"/>
        <w:left w:val="none" w:sz="0" w:space="0" w:color="auto"/>
        <w:bottom w:val="none" w:sz="0" w:space="0" w:color="auto"/>
        <w:right w:val="none" w:sz="0" w:space="0" w:color="auto"/>
      </w:divBdr>
    </w:div>
    <w:div w:id="2075816947">
      <w:bodyDiv w:val="1"/>
      <w:marLeft w:val="0"/>
      <w:marRight w:val="0"/>
      <w:marTop w:val="0"/>
      <w:marBottom w:val="0"/>
      <w:divBdr>
        <w:top w:val="none" w:sz="0" w:space="0" w:color="auto"/>
        <w:left w:val="none" w:sz="0" w:space="0" w:color="auto"/>
        <w:bottom w:val="none" w:sz="0" w:space="0" w:color="auto"/>
        <w:right w:val="none" w:sz="0" w:space="0" w:color="auto"/>
      </w:divBdr>
    </w:div>
    <w:div w:id="21296606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 Id="rId11" Type="http://schemas.openxmlformats.org/officeDocument/2006/relationships/footer" Target="footer5.xml"/><Relationship Id="rId18" Type="http://schemas.openxmlformats.org/officeDocument/2006/relationships/header" Target="header3.xml"/><Relationship Id="rId19" Type="http://schemas.openxmlformats.org/officeDocument/2006/relationships/image" Target="media/image1.png"/><Relationship Id="rId21" Type="http://schemas.openxmlformats.org/officeDocument/2006/relationships/footer" Target="footer6.xml"/><Relationship Id="rId24" Type="http://schemas.openxmlformats.org/officeDocument/2006/relationships/header" Target="header4.xml"/><Relationship Id="rId25" Type="http://schemas.openxmlformats.org/officeDocument/2006/relationships/footer" Target="footer7.xml"/><Relationship Id="rId26"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Bookman Old Style"/>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Bookman Old Style"/>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ebb675e6-5cdc-4ec3-887e-cce341d2c644">
      <Terms xmlns="http://schemas.microsoft.com/office/infopath/2007/PartnerControls"/>
    </lcf76f155ced4ddcb4097134ff3c332f>
    <TaxCatchAll xmlns="271f0a6e-7570-4ec4-b0a6-bb08bdd3252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C5C911938B8104EAF7D536C7AC491FF" ma:contentTypeVersion="13" ma:contentTypeDescription="Create a new document." ma:contentTypeScope="" ma:versionID="4346f776a97e773bb1545585e241ee47">
  <xsd:schema xmlns:xsd="http://www.w3.org/2001/XMLSchema" xmlns:xs="http://www.w3.org/2001/XMLSchema" xmlns:p="http://schemas.microsoft.com/office/2006/metadata/properties" xmlns:ns1="http://schemas.microsoft.com/sharepoint/v3" xmlns:ns2="ebb675e6-5cdc-4ec3-887e-cce341d2c644" xmlns:ns3="271f0a6e-7570-4ec4-b0a6-bb08bdd32529" targetNamespace="http://schemas.microsoft.com/office/2006/metadata/properties" ma:root="true" ma:fieldsID="bb0b3a2430b723da69e279d06b1f13dc" ns1:_="" ns2:_="" ns3:_="">
    <xsd:import namespace="http://schemas.microsoft.com/sharepoint/v3"/>
    <xsd:import namespace="ebb675e6-5cdc-4ec3-887e-cce341d2c644"/>
    <xsd:import namespace="271f0a6e-7570-4ec4-b0a6-bb08bdd3252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bb675e6-5cdc-4ec3-887e-cce341d2c6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d3fd136-2241-4aa2-b44a-6d1f559fe39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71f0a6e-7570-4ec4-b0a6-bb08bdd3252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330ce7f-5168-4b68-9bdf-537e0dab33d7}" ma:internalName="TaxCatchAll" ma:showField="CatchAllData" ma:web="271f0a6e-7570-4ec4-b0a6-bb08bdd325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EB13B174-CE2D-4E3B-BAB7-C322D57FFC9D}">
  <ds:schemaRefs>
    <ds:schemaRef ds:uri="http://schemas.microsoft.com/office/2006/metadata/properties"/>
    <ds:schemaRef ds:uri="http://schemas.microsoft.com/office/infopath/2007/PartnerControls"/>
    <ds:schemaRef ds:uri="http://schemas.microsoft.com/sharepoint/v3"/>
    <ds:schemaRef ds:uri="ebb675e6-5cdc-4ec3-887e-cce341d2c644"/>
    <ds:schemaRef ds:uri="271f0a6e-7570-4ec4-b0a6-bb08bdd32529"/>
  </ds:schemaRefs>
</ds:datastoreItem>
</file>

<file path=customXml/itemProps2.xml><?xml version="1.0" encoding="utf-8"?>
<ds:datastoreItem xmlns:ds="http://schemas.openxmlformats.org/officeDocument/2006/customXml" ds:itemID="{257AA997-03F8-4EA9-9AD9-9AD3D680AEE7}">
  <ds:schemaRefs>
    <ds:schemaRef ds:uri="http://schemas.microsoft.com/sharepoint/v3/contenttype/forms"/>
  </ds:schemaRefs>
</ds:datastoreItem>
</file>

<file path=customXml/itemProps3.xml><?xml version="1.0" encoding="utf-8"?>
<ds:datastoreItem xmlns:ds="http://schemas.openxmlformats.org/officeDocument/2006/customXml" ds:itemID="{02487380-A9A9-44AB-9B9F-65DDB4E09F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bb675e6-5cdc-4ec3-887e-cce341d2c644"/>
    <ds:schemaRef ds:uri="271f0a6e-7570-4ec4-b0a6-bb08bdd325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AB94C88-4D53-4496-A896-EF452AE24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46</Pages>
  <Words>10148</Words>
  <Characters>57849</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URA document template</dc:title>
  <dc:subject/>
  <dc:creator>Data Science</dc:creator>
  <cp:keywords/>
  <cp:lastModifiedBy>Ethan Kawamara Mugire</cp:lastModifiedBy>
  <cp:revision>2</cp:revision>
  <cp:lastPrinted>2026-08-09T16:42:00Z</cp:lastPrinted>
  <dcterms:created xsi:type="dcterms:W3CDTF">2026-08-10T06:02:00Z</dcterms:created>
  <dcterms:modified xsi:type="dcterms:W3CDTF">2026-08-10T06:02:00Z</dcterms:modified>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a1d4df2-78d1-4025-b4f3-390f587087e3_Enabled">
    <vt:lpwstr>true</vt:lpwstr>
  </property>
  <property fmtid="{D5CDD505-2E9C-101B-9397-08002B2CF9AE}" pid="3" name="MSIP_Label_0a1d4df2-78d1-4025-b4f3-390f587087e3_SetDate">
    <vt:lpwstr>2026-02-25T09:50:16Z</vt:lpwstr>
  </property>
  <property fmtid="{D5CDD505-2E9C-101B-9397-08002B2CF9AE}" pid="4" name="MSIP_Label_0a1d4df2-78d1-4025-b4f3-390f587087e3_Method">
    <vt:lpwstr>Standard</vt:lpwstr>
  </property>
  <property fmtid="{D5CDD505-2E9C-101B-9397-08002B2CF9AE}" pid="5" name="MSIP_Label_0a1d4df2-78d1-4025-b4f3-390f587087e3_Name">
    <vt:lpwstr>URA OFFICIAL LABEL</vt:lpwstr>
  </property>
  <property fmtid="{D5CDD505-2E9C-101B-9397-08002B2CF9AE}" pid="6" name="MSIP_Label_0a1d4df2-78d1-4025-b4f3-390f587087e3_SiteId">
    <vt:lpwstr>2010a227-d6b7-4ace-b38b-02444d74b904</vt:lpwstr>
  </property>
  <property fmtid="{D5CDD505-2E9C-101B-9397-08002B2CF9AE}" pid="7" name="MSIP_Label_0a1d4df2-78d1-4025-b4f3-390f587087e3_ActionId">
    <vt:lpwstr>a632c54e-c736-4a27-b4ec-72eff2ffc745</vt:lpwstr>
  </property>
  <property fmtid="{D5CDD505-2E9C-101B-9397-08002B2CF9AE}" pid="8" name="MSIP_Label_0a1d4df2-78d1-4025-b4f3-390f587087e3_ContentBits">
    <vt:lpwstr>0</vt:lpwstr>
  </property>
  <property fmtid="{D5CDD505-2E9C-101B-9397-08002B2CF9AE}" pid="9" name="MSIP_Label_0a1d4df2-78d1-4025-b4f3-390f587087e3_Tag">
    <vt:lpwstr>10, 3, 0, 2</vt:lpwstr>
  </property>
  <property fmtid="{D5CDD505-2E9C-101B-9397-08002B2CF9AE}" pid="10" name="MediaServiceImageTags">
    <vt:lpwstr/>
  </property>
  <property fmtid="{D5CDD505-2E9C-101B-9397-08002B2CF9AE}" pid="11" name="ContentTypeId">
    <vt:lpwstr>0x010100CC5C911938B8104EAF7D536C7AC491FF</vt:lpwstr>
  </property>
  <property fmtid="{D5CDD505-2E9C-101B-9397-08002B2CF9AE}" pid="12" name="ComplianceAssetId">
    <vt:lpwstr/>
  </property>
  <property fmtid="{D5CDD505-2E9C-101B-9397-08002B2CF9AE}" pid="13" name="_ExtendedDescription">
    <vt:lpwstr/>
  </property>
  <property fmtid="{D5CDD505-2E9C-101B-9397-08002B2CF9AE}" pid="14" name="_activity">
    <vt:lpwstr>{"FileActivityType":"9","FileActivityTimeStamp":"2026-03-03T10:55:19.527Z","FileActivityUsersOnPage":[{"DisplayName":"Ethan Kawamara Mugire","Id":"emugire@ura.go.ug"}],"FileActivityNavigationId":null}</vt:lpwstr>
  </property>
  <property fmtid="{D5CDD505-2E9C-101B-9397-08002B2CF9AE}" pid="15" name="TriggerFlowInfo">
    <vt:lpwstr/>
  </property>
  <property fmtid="{D5CDD505-2E9C-101B-9397-08002B2CF9AE}" pid="16" name="GrammarlyDocumentId">
    <vt:lpwstr>4dc63219-7958-4000-a47a-f92408aee2a1</vt:lpwstr>
  </property>
  <property fmtid="{D5CDD505-2E9C-101B-9397-08002B2CF9AE}" pid="17" name="docLang">
    <vt:lpwstr>en</vt:lpwstr>
  </property>
</Properties>
</file>