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Model Guide: Understand, Explain, Defend and Change the Model</w:t>
      </w:r>
    </w:p>
    <w:p/>
    <w:p>
      <w:pPr>
        <w:jc w:val="center"/>
      </w:pPr>
      <w:r>
        <w:rPr>
          <w:b/>
          <w:sz w:val="18"/>
        </w:rPr>
        <w:t>VERSION 0.3, OCTOBER 2026 (DRAFT)</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Model Guide</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0.3 (draft)</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Describes</w:t>
            </w:r>
          </w:p>
        </w:tc>
        <w:tc>
          <w:tcPr>
            <w:tcW w:type="dxa" w:w="7457"/>
          </w:tcPr>
          <w:p>
            <w:pPr>
              <w:spacing w:after="20" w:before="20" w:line="240" w:lineRule="auto"/>
            </w:pPr>
            <w:r/>
            <w:r>
              <w:rPr>
                <w:sz w:val="18"/>
              </w:rPr>
              <w:t>Model version 1.0.0-dev5 and the ctrp project (src layout, run with main.py)</w:t>
            </w:r>
          </w:p>
        </w:tc>
      </w:tr>
    </w:tbl>
    <w:p>
      <w:pPr>
        <w:spacing w:after="40"/>
      </w:pPr>
    </w:p>
    <w:p>
      <w:pPr>
        <w:pStyle w:val="Caption"/>
      </w:pPr>
      <w:r>
        <w:t xml:space="preserve">Table </w:t>
      </w:r>
      <w:r>
        <w:fldChar w:fldCharType="begin"/>
      </w:r>
      <w:r>
        <w:instrText xml:space="preserve"> SEQ Table \* ARABIC </w:instrText>
      </w:r>
      <w:r>
        <w:fldChar w:fldCharType="separate"/>
      </w:r>
      <w:r>
        <w:t>2</w:t>
      </w:r>
      <w:r>
        <w:fldChar w:fldCharType="end"/>
      </w:r>
      <w:r>
        <w:t>: Document Version History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860"/>
            <w:shd w:val="clear" w:color="auto" w:fill="D9E2F3"/>
          </w:tcPr>
          <w:p>
            <w:pPr>
              <w:spacing w:after="20" w:before="20" w:line="240" w:lineRule="auto"/>
            </w:pPr>
            <w:r/>
            <w:r>
              <w:rPr>
                <w:b/>
                <w:sz w:val="18"/>
              </w:rPr>
              <w:t>Version</w:t>
            </w:r>
          </w:p>
        </w:tc>
        <w:tc>
          <w:tcPr>
            <w:tcW w:type="dxa" w:w="1434"/>
            <w:shd w:val="clear" w:color="auto" w:fill="D9E2F3"/>
          </w:tcPr>
          <w:p>
            <w:pPr>
              <w:spacing w:after="20" w:before="20" w:line="240" w:lineRule="auto"/>
            </w:pPr>
            <w:r/>
            <w:r>
              <w:rPr>
                <w:b/>
                <w:sz w:val="18"/>
              </w:rPr>
              <w:t>Date</w:t>
            </w:r>
          </w:p>
        </w:tc>
        <w:tc>
          <w:tcPr>
            <w:tcW w:type="dxa" w:w="1721"/>
            <w:shd w:val="clear" w:color="auto" w:fill="D9E2F3"/>
          </w:tcPr>
          <w:p>
            <w:pPr>
              <w:spacing w:after="20" w:before="20" w:line="240" w:lineRule="auto"/>
            </w:pPr>
            <w:r/>
            <w:r>
              <w:rPr>
                <w:b/>
                <w:sz w:val="18"/>
              </w:rPr>
              <w:t>Author(s)</w:t>
            </w:r>
          </w:p>
        </w:tc>
        <w:tc>
          <w:tcPr>
            <w:tcW w:type="dxa" w:w="1721"/>
            <w:shd w:val="clear" w:color="auto" w:fill="D9E2F3"/>
          </w:tcPr>
          <w:p>
            <w:pPr>
              <w:spacing w:after="20" w:before="20" w:line="240" w:lineRule="auto"/>
            </w:pPr>
            <w:r/>
            <w:r>
              <w:rPr>
                <w:b/>
                <w:sz w:val="18"/>
              </w:rPr>
              <w:t>Role</w:t>
            </w:r>
          </w:p>
        </w:tc>
        <w:tc>
          <w:tcPr>
            <w:tcW w:type="dxa" w:w="4015"/>
            <w:shd w:val="clear" w:color="auto" w:fill="D9E2F3"/>
          </w:tcPr>
          <w:p>
            <w:pPr>
              <w:spacing w:after="20" w:before="20" w:line="240" w:lineRule="auto"/>
            </w:pPr>
            <w:r/>
            <w:r>
              <w:rPr>
                <w:b/>
                <w:sz w:val="18"/>
              </w:rPr>
              <w:t>Changes</w:t>
            </w:r>
          </w:p>
        </w:tc>
      </w:tr>
      <w:tr>
        <w:tc>
          <w:tcPr>
            <w:tcW w:type="dxa" w:w="860"/>
          </w:tcPr>
          <w:p>
            <w:pPr>
              <w:spacing w:after="20" w:before="20" w:line="240" w:lineRule="auto"/>
            </w:pPr>
            <w:r/>
            <w:r>
              <w:rPr>
                <w:sz w:val="18"/>
              </w:rPr>
              <w:t>0.1</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First version, written alongside release 1.</w:t>
            </w:r>
          </w:p>
        </w:tc>
      </w:tr>
      <w:tr>
        <w:tc>
          <w:tcPr>
            <w:tcW w:type="dxa" w:w="860"/>
          </w:tcPr>
          <w:p>
            <w:pPr>
              <w:spacing w:after="20" w:before="20" w:line="240" w:lineRule="auto"/>
            </w:pPr>
            <w:r/>
            <w:r>
              <w:rPr>
                <w:sz w:val="18"/>
              </w:rPr>
              <w:t>0.2</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Lift explained step by step; ensembles; new project layout and commands.</w:t>
            </w:r>
          </w:p>
        </w:tc>
      </w:tr>
      <w:tr>
        <w:tc>
          <w:tcPr>
            <w:tcW w:type="dxa" w:w="860"/>
          </w:tcPr>
          <w:p>
            <w:pPr>
              <w:spacing w:after="20" w:before="20" w:line="240" w:lineRule="auto"/>
            </w:pPr>
            <w:r/>
            <w:r>
              <w:rPr>
                <w:sz w:val="18"/>
              </w:rPr>
              <w:t>0.3</w:t>
            </w:r>
          </w:p>
        </w:tc>
        <w:tc>
          <w:tcPr>
            <w:tcW w:type="dxa" w:w="1434"/>
          </w:tcPr>
          <w:p>
            <w:pPr>
              <w:spacing w:after="20" w:before="20" w:line="240" w:lineRule="auto"/>
            </w:pPr>
            <w:r/>
            <w:r>
              <w:rPr>
                <w:sz w:val="18"/>
              </w:rPr>
              <w:t>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Workbook wording (History and Overall Risk Band, minimum risk level); performance measured per check, with precision and recall at the lines officers use (4.6, 4.7); nine years of validation from the long run (4.8); three years of history with recent years counting more (4.9); the two-track design and Track B (Part 10); new commands (7.9, 7.10); new questions (Part 9).</w:t>
            </w:r>
          </w:p>
        </w:tc>
      </w:tr>
    </w:tbl>
    <w:p>
      <w:pPr>
        <w:spacing w:after="40"/>
      </w:pPr>
    </w:p>
    <w:p>
      <w:pPr>
        <w:pStyle w:val="Heading2"/>
      </w:pPr>
      <w:r>
        <w:t>Distribution</w:t>
      </w:r>
    </w:p>
    <w:p>
      <w:pPr>
        <w:spacing w:after="120"/>
      </w:pPr>
      <w:r>
        <w:t>This guide is for anyone who has to run, present, defend or change the Customs Taxpayer Risk Profiling Model: Data Science officers first, and any officer who joins the work later. It assumes no knowledge of the code. It is the teaching companion to the formal Model Development Decision Record.</w:t>
      </w:r>
    </w:p>
    <w:p>
      <w:pPr>
        <w:pStyle w:val="Caption"/>
      </w:pPr>
      <w:r>
        <w:t xml:space="preserve">Table </w:t>
      </w:r>
      <w:r>
        <w:fldChar w:fldCharType="begin"/>
      </w:r>
      <w:r>
        <w:instrText xml:space="preserve"> SEQ Table \* ARABIC </w:instrText>
      </w:r>
      <w:r>
        <w:fldChar w:fldCharType="separate"/>
      </w:r>
      <w:r>
        <w:t>3</w:t>
      </w:r>
      <w:r>
        <w:fldChar w:fldCharType="end"/>
      </w:r>
      <w:r>
        <w:t>: Audience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Audience</w:t>
            </w:r>
          </w:p>
        </w:tc>
        <w:tc>
          <w:tcPr>
            <w:tcW w:type="dxa" w:w="6883"/>
            <w:shd w:val="clear" w:color="auto" w:fill="D9E2F3"/>
          </w:tcPr>
          <w:p>
            <w:pPr>
              <w:spacing w:after="20" w:before="20" w:line="240" w:lineRule="auto"/>
            </w:pPr>
            <w:r/>
            <w:r>
              <w:rPr>
                <w:b/>
                <w:sz w:val="18"/>
              </w:rPr>
              <w:t>How to use this guide</w:t>
            </w:r>
          </w:p>
        </w:tc>
      </w:tr>
      <w:tr>
        <w:tc>
          <w:tcPr>
            <w:tcW w:type="dxa" w:w="2868"/>
          </w:tcPr>
          <w:p>
            <w:pPr>
              <w:spacing w:after="20" w:before="20" w:line="240" w:lineRule="auto"/>
            </w:pPr>
            <w:r/>
            <w:r>
              <w:rPr>
                <w:sz w:val="18"/>
              </w:rPr>
              <w:t>Data Science officers</w:t>
            </w:r>
          </w:p>
        </w:tc>
        <w:tc>
          <w:tcPr>
            <w:tcW w:type="dxa" w:w="6883"/>
          </w:tcPr>
          <w:p>
            <w:pPr>
              <w:spacing w:after="20" w:before="20" w:line="240" w:lineRule="auto"/>
            </w:pPr>
            <w:r/>
            <w:r>
              <w:rPr>
                <w:sz w:val="18"/>
              </w:rPr>
              <w:t>Read it front to back once. Then use Parts 7 and 8 as the manual for running and changing the model.</w:t>
            </w:r>
          </w:p>
        </w:tc>
      </w:tr>
      <w:tr>
        <w:tc>
          <w:tcPr>
            <w:tcW w:type="dxa" w:w="2868"/>
          </w:tcPr>
          <w:p>
            <w:pPr>
              <w:spacing w:after="20" w:before="20" w:line="240" w:lineRule="auto"/>
            </w:pPr>
            <w:r/>
            <w:r>
              <w:rPr>
                <w:sz w:val="18"/>
              </w:rPr>
              <w:t>Risk Officers and reviewers</w:t>
            </w:r>
          </w:p>
        </w:tc>
        <w:tc>
          <w:tcPr>
            <w:tcW w:type="dxa" w:w="6883"/>
          </w:tcPr>
          <w:p>
            <w:pPr>
              <w:spacing w:after="20" w:before="20" w:line="240" w:lineRule="auto"/>
            </w:pPr>
            <w:r/>
            <w:r>
              <w:rPr>
                <w:sz w:val="18"/>
              </w:rPr>
              <w:t>Parts 1, 3, 4 and 9 explain what a score means and why it can be trusted.</w:t>
            </w:r>
          </w:p>
        </w:tc>
      </w:tr>
      <w:tr>
        <w:tc>
          <w:tcPr>
            <w:tcW w:type="dxa" w:w="2868"/>
          </w:tcPr>
          <w:p>
            <w:pPr>
              <w:spacing w:after="20" w:before="20" w:line="240" w:lineRule="auto"/>
            </w:pPr>
            <w:r/>
            <w:r>
              <w:rPr>
                <w:sz w:val="18"/>
              </w:rPr>
              <w:t>New contributors</w:t>
            </w:r>
          </w:p>
        </w:tc>
        <w:tc>
          <w:tcPr>
            <w:tcW w:type="dxa" w:w="6883"/>
          </w:tcPr>
          <w:p>
            <w:pPr>
              <w:spacing w:after="20" w:before="20" w:line="240" w:lineRule="auto"/>
            </w:pPr>
            <w:r/>
            <w:r>
              <w:rPr>
                <w:sz w:val="18"/>
              </w:rPr>
              <w:t>Part 8 shows where everything lives in the code and the safe way to change it.</w:t>
            </w:r>
          </w:p>
        </w:tc>
      </w:tr>
      <w:tr>
        <w:tc>
          <w:tcPr>
            <w:tcW w:type="dxa" w:w="2868"/>
          </w:tcPr>
          <w:p>
            <w:pPr>
              <w:spacing w:after="20" w:before="20" w:line="240" w:lineRule="auto"/>
            </w:pPr>
            <w:r/>
            <w:r>
              <w:rPr>
                <w:sz w:val="18"/>
              </w:rPr>
              <w:t>Anyone presenting the work</w:t>
            </w:r>
          </w:p>
        </w:tc>
        <w:tc>
          <w:tcPr>
            <w:tcW w:type="dxa" w:w="6883"/>
          </w:tcPr>
          <w:p>
            <w:pPr>
              <w:spacing w:after="20" w:before="20" w:line="240" w:lineRule="auto"/>
            </w:pPr>
            <w:r/>
            <w:r>
              <w:rPr>
                <w:sz w:val="18"/>
              </w:rPr>
              <w:t>Part 4 (especially 4.6 to 4.9) and Part 10 hold the current evidence; Part 9 the likely questions.</w:t>
            </w:r>
          </w:p>
        </w:tc>
      </w:tr>
    </w:tbl>
    <w:p>
      <w:pPr>
        <w:spacing w:after="40"/>
      </w:pP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r>
        <w:br w:type="page"/>
      </w:r>
    </w:p>
    <w:p>
      <w:pPr>
        <w:pStyle w:val="Heading1"/>
      </w:pPr>
      <w:r>
        <w:t>List of Acronyms</w:t>
      </w:r>
    </w:p>
    <w:p>
      <w:pPr>
        <w:pStyle w:val="Caption"/>
      </w:pPr>
      <w:r>
        <w:t xml:space="preserve">Table </w:t>
      </w:r>
      <w:r>
        <w:fldChar w:fldCharType="begin"/>
      </w:r>
      <w:r>
        <w:instrText xml:space="preserve"> SEQ Table \* ARABIC </w:instrText>
      </w:r>
      <w:r>
        <w:fldChar w:fldCharType="separate"/>
      </w:r>
      <w:r>
        <w:t>4</w:t>
      </w:r>
      <w:r>
        <w:fldChar w:fldCharType="end"/>
      </w:r>
      <w:r>
        <w:t>: Acronyms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1721"/>
            <w:shd w:val="clear" w:color="auto" w:fill="D9E2F3"/>
          </w:tcPr>
          <w:p>
            <w:pPr>
              <w:spacing w:after="20" w:before="20" w:line="240" w:lineRule="auto"/>
            </w:pPr>
            <w:r/>
            <w:r>
              <w:rPr>
                <w:b/>
                <w:sz w:val="18"/>
              </w:rPr>
              <w:t>Term</w:t>
            </w:r>
          </w:p>
        </w:tc>
        <w:tc>
          <w:tcPr>
            <w:tcW w:type="dxa" w:w="8030"/>
            <w:shd w:val="clear" w:color="auto" w:fill="D9E2F3"/>
          </w:tcPr>
          <w:p>
            <w:pPr>
              <w:spacing w:after="20" w:before="20" w:line="240" w:lineRule="auto"/>
            </w:pPr>
            <w:r/>
            <w:r>
              <w:rPr>
                <w:b/>
                <w:sz w:val="18"/>
              </w:rPr>
              <w:t>Meaning</w:t>
            </w:r>
          </w:p>
        </w:tc>
      </w:tr>
      <w:tr>
        <w:tc>
          <w:tcPr>
            <w:tcW w:type="dxa" w:w="1721"/>
          </w:tcPr>
          <w:p>
            <w:pPr>
              <w:spacing w:after="20" w:before="20" w:line="240" w:lineRule="auto"/>
            </w:pPr>
            <w:r/>
            <w:r>
              <w:rPr>
                <w:sz w:val="18"/>
              </w:rPr>
              <w:t>APC</w:t>
            </w:r>
          </w:p>
        </w:tc>
        <w:tc>
          <w:tcPr>
            <w:tcW w:type="dxa" w:w="8030"/>
          </w:tcPr>
          <w:p>
            <w:pPr>
              <w:spacing w:after="20" w:before="20" w:line="240" w:lineRule="auto"/>
            </w:pPr>
            <w:r/>
            <w:r>
              <w:rPr>
                <w:sz w:val="18"/>
              </w:rPr>
              <w:t>Additional Procedure Code (last 3 digits of the CPC)</w:t>
            </w:r>
          </w:p>
        </w:tc>
      </w:tr>
      <w:tr>
        <w:tc>
          <w:tcPr>
            <w:tcW w:type="dxa" w:w="1721"/>
          </w:tcPr>
          <w:p>
            <w:pPr>
              <w:spacing w:after="20" w:before="20" w:line="240" w:lineRule="auto"/>
            </w:pPr>
            <w:r/>
            <w:r>
              <w:rPr>
                <w:sz w:val="18"/>
              </w:rPr>
              <w:t>CPC</w:t>
            </w:r>
          </w:p>
        </w:tc>
        <w:tc>
          <w:tcPr>
            <w:tcW w:type="dxa" w:w="8030"/>
          </w:tcPr>
          <w:p>
            <w:pPr>
              <w:spacing w:after="20" w:before="20" w:line="240" w:lineRule="auto"/>
            </w:pPr>
            <w:r/>
            <w:r>
              <w:rPr>
                <w:sz w:val="18"/>
              </w:rPr>
              <w:t>Customs Procedure Code</w:t>
            </w:r>
          </w:p>
        </w:tc>
      </w:tr>
      <w:tr>
        <w:tc>
          <w:tcPr>
            <w:tcW w:type="dxa" w:w="1721"/>
          </w:tcPr>
          <w:p>
            <w:pPr>
              <w:spacing w:after="20" w:before="20" w:line="240" w:lineRule="auto"/>
            </w:pPr>
            <w:r/>
            <w:r>
              <w:rPr>
                <w:sz w:val="18"/>
              </w:rPr>
              <w:t>CSV</w:t>
            </w:r>
          </w:p>
        </w:tc>
        <w:tc>
          <w:tcPr>
            <w:tcW w:type="dxa" w:w="8030"/>
          </w:tcPr>
          <w:p>
            <w:pPr>
              <w:spacing w:after="20" w:before="20" w:line="240" w:lineRule="auto"/>
            </w:pPr>
            <w:r/>
            <w:r>
              <w:rPr>
                <w:sz w:val="18"/>
              </w:rPr>
              <w:t>Comma-separated values: the plain table file Hue downloads</w:t>
            </w:r>
          </w:p>
        </w:tc>
      </w:tr>
      <w:tr>
        <w:tc>
          <w:tcPr>
            <w:tcW w:type="dxa" w:w="1721"/>
          </w:tcPr>
          <w:p>
            <w:pPr>
              <w:spacing w:after="20" w:before="20" w:line="240" w:lineRule="auto"/>
            </w:pPr>
            <w:r/>
            <w:r>
              <w:rPr>
                <w:sz w:val="18"/>
              </w:rPr>
              <w:t>EPC</w:t>
            </w:r>
          </w:p>
        </w:tc>
        <w:tc>
          <w:tcPr>
            <w:tcW w:type="dxa" w:w="8030"/>
          </w:tcPr>
          <w:p>
            <w:pPr>
              <w:spacing w:after="20" w:before="20" w:line="240" w:lineRule="auto"/>
            </w:pPr>
            <w:r/>
            <w:r>
              <w:rPr>
                <w:sz w:val="18"/>
              </w:rPr>
              <w:t>Extended Procedure Code (first 4 digits of the CPC)</w:t>
            </w:r>
          </w:p>
        </w:tc>
      </w:tr>
      <w:tr>
        <w:tc>
          <w:tcPr>
            <w:tcW w:type="dxa" w:w="1721"/>
          </w:tcPr>
          <w:p>
            <w:pPr>
              <w:spacing w:after="20" w:before="20" w:line="240" w:lineRule="auto"/>
            </w:pPr>
            <w:r/>
            <w:r>
              <w:rPr>
                <w:sz w:val="18"/>
              </w:rPr>
              <w:t>HDBSCAN</w:t>
            </w:r>
          </w:p>
        </w:tc>
        <w:tc>
          <w:tcPr>
            <w:tcW w:type="dxa" w:w="8030"/>
          </w:tcPr>
          <w:p>
            <w:pPr>
              <w:spacing w:after="20" w:before="20" w:line="240" w:lineRule="auto"/>
            </w:pPr>
            <w:r/>
            <w:r>
              <w:rPr>
                <w:sz w:val="18"/>
              </w:rPr>
              <w:t>A clustering method that groups crowded points (tested and dropped)</w:t>
            </w:r>
          </w:p>
        </w:tc>
      </w:tr>
      <w:tr>
        <w:tc>
          <w:tcPr>
            <w:tcW w:type="dxa" w:w="1721"/>
          </w:tcPr>
          <w:p>
            <w:pPr>
              <w:spacing w:after="20" w:before="20" w:line="240" w:lineRule="auto"/>
            </w:pPr>
            <w:r/>
            <w:r>
              <w:rPr>
                <w:sz w:val="18"/>
              </w:rPr>
              <w:t>HS</w:t>
            </w:r>
          </w:p>
        </w:tc>
        <w:tc>
          <w:tcPr>
            <w:tcW w:type="dxa" w:w="8030"/>
          </w:tcPr>
          <w:p>
            <w:pPr>
              <w:spacing w:after="20" w:before="20" w:line="240" w:lineRule="auto"/>
            </w:pPr>
            <w:r/>
            <w:r>
              <w:rPr>
                <w:sz w:val="18"/>
              </w:rPr>
              <w:t>Harmonized System: the commodity code</w:t>
            </w:r>
          </w:p>
        </w:tc>
      </w:tr>
      <w:tr>
        <w:tc>
          <w:tcPr>
            <w:tcW w:type="dxa" w:w="1721"/>
          </w:tcPr>
          <w:p>
            <w:pPr>
              <w:spacing w:after="20" w:before="20" w:line="240" w:lineRule="auto"/>
            </w:pPr>
            <w:r/>
            <w:r>
              <w:rPr>
                <w:sz w:val="18"/>
              </w:rPr>
              <w:t>IM4, IM7</w:t>
            </w:r>
          </w:p>
        </w:tc>
        <w:tc>
          <w:tcPr>
            <w:tcW w:type="dxa" w:w="8030"/>
          </w:tcPr>
          <w:p>
            <w:pPr>
              <w:spacing w:after="20" w:before="20" w:line="240" w:lineRule="auto"/>
            </w:pPr>
            <w:r/>
            <w:r>
              <w:rPr>
                <w:sz w:val="18"/>
              </w:rPr>
              <w:t>Import for home use; import into a warehouse</w:t>
            </w:r>
          </w:p>
        </w:tc>
      </w:tr>
      <w:tr>
        <w:tc>
          <w:tcPr>
            <w:tcW w:type="dxa" w:w="1721"/>
          </w:tcPr>
          <w:p>
            <w:pPr>
              <w:spacing w:after="20" w:before="20" w:line="240" w:lineRule="auto"/>
            </w:pPr>
            <w:r/>
            <w:r>
              <w:rPr>
                <w:sz w:val="18"/>
              </w:rPr>
              <w:t>L x I</w:t>
            </w:r>
          </w:p>
        </w:tc>
        <w:tc>
          <w:tcPr>
            <w:tcW w:type="dxa" w:w="8030"/>
          </w:tcPr>
          <w:p>
            <w:pPr>
              <w:spacing w:after="20" w:before="20" w:line="240" w:lineRule="auto"/>
            </w:pPr>
            <w:r/>
            <w:r>
              <w:rPr>
                <w:sz w:val="18"/>
              </w:rPr>
              <w:t>Likelihood times impact</w:t>
            </w:r>
          </w:p>
        </w:tc>
      </w:tr>
      <w:tr>
        <w:tc>
          <w:tcPr>
            <w:tcW w:type="dxa" w:w="1721"/>
          </w:tcPr>
          <w:p>
            <w:pPr>
              <w:spacing w:after="20" w:before="20" w:line="240" w:lineRule="auto"/>
            </w:pPr>
            <w:r/>
            <w:r>
              <w:rPr>
                <w:sz w:val="18"/>
              </w:rPr>
              <w:t>NTC</w:t>
            </w:r>
          </w:p>
        </w:tc>
        <w:tc>
          <w:tcPr>
            <w:tcW w:type="dxa" w:w="8030"/>
          </w:tcPr>
          <w:p>
            <w:pPr>
              <w:spacing w:after="20" w:before="20" w:line="240" w:lineRule="auto"/>
            </w:pPr>
            <w:r/>
            <w:r>
              <w:rPr>
                <w:sz w:val="18"/>
              </w:rPr>
              <w:t>National Targeting Centre</w:t>
            </w:r>
          </w:p>
        </w:tc>
      </w:tr>
      <w:tr>
        <w:tc>
          <w:tcPr>
            <w:tcW w:type="dxa" w:w="1721"/>
          </w:tcPr>
          <w:p>
            <w:pPr>
              <w:spacing w:after="20" w:before="20" w:line="240" w:lineRule="auto"/>
            </w:pPr>
            <w:r/>
            <w:r>
              <w:rPr>
                <w:sz w:val="18"/>
              </w:rPr>
              <w:t>PCA</w:t>
            </w:r>
          </w:p>
        </w:tc>
        <w:tc>
          <w:tcPr>
            <w:tcW w:type="dxa" w:w="8030"/>
          </w:tcPr>
          <w:p>
            <w:pPr>
              <w:spacing w:after="20" w:before="20" w:line="240" w:lineRule="auto"/>
            </w:pPr>
            <w:r/>
            <w:r>
              <w:rPr>
                <w:sz w:val="18"/>
              </w:rPr>
              <w:t>Principal Component Analysis</w:t>
            </w:r>
          </w:p>
        </w:tc>
      </w:tr>
      <w:tr>
        <w:tc>
          <w:tcPr>
            <w:tcW w:type="dxa" w:w="1721"/>
          </w:tcPr>
          <w:p>
            <w:pPr>
              <w:spacing w:after="20" w:before="20" w:line="240" w:lineRule="auto"/>
            </w:pPr>
            <w:r/>
            <w:r>
              <w:rPr>
                <w:sz w:val="18"/>
              </w:rPr>
              <w:t>SQL</w:t>
            </w:r>
          </w:p>
        </w:tc>
        <w:tc>
          <w:tcPr>
            <w:tcW w:type="dxa" w:w="8030"/>
          </w:tcPr>
          <w:p>
            <w:pPr>
              <w:spacing w:after="20" w:before="20" w:line="240" w:lineRule="auto"/>
            </w:pPr>
            <w:r/>
            <w:r>
              <w:rPr>
                <w:sz w:val="18"/>
              </w:rPr>
              <w:t>Structured Query Language: the language Hue queries are written in</w:t>
            </w:r>
          </w:p>
        </w:tc>
      </w:tr>
      <w:tr>
        <w:tc>
          <w:tcPr>
            <w:tcW w:type="dxa" w:w="1721"/>
          </w:tcPr>
          <w:p>
            <w:pPr>
              <w:spacing w:after="20" w:before="20" w:line="240" w:lineRule="auto"/>
            </w:pPr>
            <w:r/>
            <w:r>
              <w:rPr>
                <w:sz w:val="18"/>
              </w:rPr>
              <w:t>TIN</w:t>
            </w:r>
          </w:p>
        </w:tc>
        <w:tc>
          <w:tcPr>
            <w:tcW w:type="dxa" w:w="8030"/>
          </w:tcPr>
          <w:p>
            <w:pPr>
              <w:spacing w:after="20" w:before="20" w:line="240" w:lineRule="auto"/>
            </w:pPr>
            <w:r/>
            <w:r>
              <w:rPr>
                <w:sz w:val="18"/>
              </w:rPr>
              <w:t>Taxpayer Identification Number</w:t>
            </w:r>
          </w:p>
        </w:tc>
      </w:tr>
      <w:tr>
        <w:tc>
          <w:tcPr>
            <w:tcW w:type="dxa" w:w="1721"/>
          </w:tcPr>
          <w:p>
            <w:pPr>
              <w:spacing w:after="20" w:before="20" w:line="240" w:lineRule="auto"/>
            </w:pPr>
            <w:r/>
            <w:r>
              <w:rPr>
                <w:sz w:val="18"/>
              </w:rPr>
              <w:t>UGX</w:t>
            </w:r>
          </w:p>
        </w:tc>
        <w:tc>
          <w:tcPr>
            <w:tcW w:type="dxa" w:w="8030"/>
          </w:tcPr>
          <w:p>
            <w:pPr>
              <w:spacing w:after="20" w:before="20" w:line="240" w:lineRule="auto"/>
            </w:pPr>
            <w:r/>
            <w:r>
              <w:rPr>
                <w:sz w:val="18"/>
              </w:rPr>
              <w:t>Uganda Shillings</w:t>
            </w:r>
          </w:p>
        </w:tc>
      </w:tr>
      <w:tr>
        <w:tc>
          <w:tcPr>
            <w:tcW w:type="dxa" w:w="1721"/>
          </w:tcPr>
          <w:p>
            <w:pPr>
              <w:spacing w:after="20" w:before="20" w:line="240" w:lineRule="auto"/>
            </w:pPr>
            <w:r/>
            <w:r>
              <w:rPr>
                <w:sz w:val="18"/>
              </w:rPr>
              <w:t>URA</w:t>
            </w:r>
          </w:p>
        </w:tc>
        <w:tc>
          <w:tcPr>
            <w:tcW w:type="dxa" w:w="8030"/>
          </w:tcPr>
          <w:p>
            <w:pPr>
              <w:spacing w:after="20" w:before="20" w:line="240" w:lineRule="auto"/>
            </w:pPr>
            <w:r/>
            <w:r>
              <w:rPr>
                <w:sz w:val="18"/>
              </w:rPr>
              <w:t>Uganda Revenue Authority</w:t>
            </w:r>
          </w:p>
        </w:tc>
      </w:tr>
    </w:tbl>
    <w:p>
      <w:pPr>
        <w:spacing w:after="40"/>
      </w:pP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
    <w:p/>
    <w:p/>
    <w:p/>
    <w:p/>
    <w:p>
      <w:pPr>
        <w:pStyle w:val="Heading1"/>
      </w:pPr>
      <w:r>
        <w:t>PART 1: THE BIG PICTURE</w:t>
      </w:r>
    </w:p>
    <w:p>
      <w:pPr>
        <w:spacing w:after="120"/>
      </w:pPr>
      <w:r>
        <w:t>What problem the model solves, what an officer actually receives, how the four layers fit together, and the handful of words you need for everything else in this guide.</w:t>
      </w:r>
    </w:p>
    <w:p>
      <w:r>
        <w:br w:type="page"/>
      </w:r>
    </w:p>
    <w:p>
      <w:pPr>
        <w:pStyle w:val="Heading2"/>
      </w:pPr>
      <w:r>
        <w:t>1.1 The Problem in One Paragraph</w:t>
      </w:r>
    </w:p>
    <w:p>
      <w:pPr>
        <w:spacing w:after="120"/>
      </w:pPr>
      <w:r>
        <w:t>Customs cannot look closely at every importer. More than 58,000 taxpayers lodge about 1.2 million import declarations every two years. Officers need to know where to look first. Some importers have a long record of declarations that were later corrected upward (top-ups); some have a clean record; most have declared so little that nobody can tell yet. The model reads each taxpayer's history (the last 3 years, recent years counting most) and puts them in order, riskiest first, with the reasons written out. A second view, Track B (Part 10), looks at how each taxpayer trades to find risk that has not yet shown up in their record.</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In plain words</w:t>
            </w:r>
          </w:p>
          <w:p>
            <w:pPr>
              <w:spacing w:after="60"/>
            </w:pPr>
            <w:r>
              <w:rPr>
                <w:sz w:val="20"/>
              </w:rPr>
              <w:t>Think of a school with 58,000 students and a few teachers. The teachers cannot sit with every student, so they want a list: who most needs attention, and why. The model makes that list from each student's past marks, the same way for everyone.</w:t>
            </w:r>
          </w:p>
        </w:tc>
      </w:tr>
    </w:tbl>
    <w:p>
      <w:pPr>
        <w:spacing w:after="40"/>
      </w:pPr>
    </w:p>
    <w:p>
      <w:pPr>
        <w:pStyle w:val="Heading2"/>
      </w:pPr>
      <w:r>
        <w:t>1.2 What an Officer Receives</w:t>
      </w:r>
    </w:p>
    <w:p>
      <w:pPr>
        <w:spacing w:after="120"/>
      </w:pPr>
      <w:r>
        <w:t>For every taxpayer, the Excel workbook gives one row like this (a made-up taxpayer, worked through in full in Part 3):</w:t>
      </w:r>
    </w:p>
    <w:p>
      <w:pPr>
        <w:pStyle w:val="Caption"/>
      </w:pPr>
      <w:r>
        <w:t xml:space="preserve">Table </w:t>
      </w:r>
      <w:r>
        <w:fldChar w:fldCharType="begin"/>
      </w:r>
      <w:r>
        <w:instrText xml:space="preserve"> SEQ Table \* ARABIC </w:instrText>
      </w:r>
      <w:r>
        <w:fldChar w:fldCharType="separate"/>
      </w:r>
      <w:r>
        <w:t>5</w:t>
      </w:r>
      <w:r>
        <w:fldChar w:fldCharType="end"/>
      </w:r>
      <w:r>
        <w:t>: One Row of the Scores Sheet (made-up example)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Column</w:t>
            </w:r>
          </w:p>
        </w:tc>
        <w:tc>
          <w:tcPr>
            <w:tcW w:type="dxa" w:w="7457"/>
            <w:shd w:val="clear" w:color="auto" w:fill="D9E2F3"/>
          </w:tcPr>
          <w:p>
            <w:pPr>
              <w:spacing w:after="20" w:before="20" w:line="240" w:lineRule="auto"/>
            </w:pPr>
            <w:r/>
            <w:r>
              <w:rPr>
                <w:b/>
                <w:sz w:val="18"/>
              </w:rPr>
              <w:t>Value</w:t>
            </w:r>
          </w:p>
        </w:tc>
      </w:tr>
      <w:tr>
        <w:tc>
          <w:tcPr>
            <w:tcW w:type="dxa" w:w="2294"/>
          </w:tcPr>
          <w:p>
            <w:pPr>
              <w:spacing w:after="20" w:before="20" w:line="240" w:lineRule="auto"/>
            </w:pPr>
            <w:r/>
            <w:r>
              <w:rPr>
                <w:sz w:val="18"/>
              </w:rPr>
              <w:t>History Risk Score</w:t>
            </w:r>
          </w:p>
        </w:tc>
        <w:tc>
          <w:tcPr>
            <w:tcW w:type="dxa" w:w="7457"/>
          </w:tcPr>
          <w:p>
            <w:pPr>
              <w:spacing w:after="20" w:before="20" w:line="240" w:lineRule="auto"/>
            </w:pPr>
            <w:r/>
            <w:r>
              <w:rPr>
                <w:sz w:val="18"/>
              </w:rPr>
              <w:t>26 (out of 100)</w:t>
            </w:r>
          </w:p>
        </w:tc>
      </w:tr>
      <w:tr>
        <w:tc>
          <w:tcPr>
            <w:tcW w:type="dxa" w:w="2294"/>
          </w:tcPr>
          <w:p>
            <w:pPr>
              <w:spacing w:after="20" w:before="20" w:line="240" w:lineRule="auto"/>
            </w:pPr>
            <w:r/>
            <w:r>
              <w:rPr>
                <w:sz w:val="18"/>
              </w:rPr>
              <w:t>History Risk Band</w:t>
            </w:r>
          </w:p>
        </w:tc>
        <w:tc>
          <w:tcPr>
            <w:tcW w:type="dxa" w:w="7457"/>
          </w:tcPr>
          <w:p>
            <w:pPr>
              <w:spacing w:after="20" w:before="20" w:line="240" w:lineRule="auto"/>
            </w:pPr>
            <w:r/>
            <w:r>
              <w:rPr>
                <w:sz w:val="18"/>
              </w:rPr>
              <w:t>LOW</w:t>
            </w:r>
          </w:p>
        </w:tc>
      </w:tr>
      <w:tr>
        <w:tc>
          <w:tcPr>
            <w:tcW w:type="dxa" w:w="2294"/>
          </w:tcPr>
          <w:p>
            <w:pPr>
              <w:spacing w:after="20" w:before="20" w:line="240" w:lineRule="auto"/>
            </w:pPr>
            <w:r/>
            <w:r>
              <w:rPr>
                <w:sz w:val="18"/>
              </w:rPr>
              <w:t>Overall Risk Band</w:t>
            </w:r>
          </w:p>
        </w:tc>
        <w:tc>
          <w:tcPr>
            <w:tcW w:type="dxa" w:w="7457"/>
          </w:tcPr>
          <w:p>
            <w:pPr>
              <w:spacing w:after="20" w:before="20" w:line="240" w:lineRule="auto"/>
            </w:pPr>
            <w:r/>
            <w:r>
              <w:rPr>
                <w:sz w:val="18"/>
              </w:rPr>
              <w:t>LOW (the higher of the History Risk Band and the Risky Behaviour Flag, Part 10)</w:t>
            </w:r>
          </w:p>
        </w:tc>
      </w:tr>
      <w:tr>
        <w:tc>
          <w:tcPr>
            <w:tcW w:type="dxa" w:w="2294"/>
          </w:tcPr>
          <w:p>
            <w:pPr>
              <w:spacing w:after="20" w:before="20" w:line="240" w:lineRule="auto"/>
            </w:pPr>
            <w:r/>
            <w:r>
              <w:rPr>
                <w:sz w:val="18"/>
              </w:rPr>
              <w:t>Reason 1</w:t>
            </w:r>
          </w:p>
        </w:tc>
        <w:tc>
          <w:tcPr>
            <w:tcW w:type="dxa" w:w="7457"/>
          </w:tcPr>
          <w:p>
            <w:pPr>
              <w:spacing w:after="20" w:before="20" w:line="240" w:lineRule="auto"/>
            </w:pPr>
            <w:r/>
            <w:r>
              <w:rPr>
                <w:sz w:val="18"/>
              </w:rPr>
              <w:t>PAR_045T: 15% of declarations needed a top-up (minimum risk level 3%, maximum at 40%)</w:t>
            </w:r>
          </w:p>
        </w:tc>
      </w:tr>
      <w:tr>
        <w:tc>
          <w:tcPr>
            <w:tcW w:type="dxa" w:w="2294"/>
          </w:tcPr>
          <w:p>
            <w:pPr>
              <w:spacing w:after="20" w:before="20" w:line="240" w:lineRule="auto"/>
            </w:pPr>
            <w:r/>
            <w:r>
              <w:rPr>
                <w:sz w:val="18"/>
              </w:rPr>
              <w:t>Reason 2</w:t>
            </w:r>
          </w:p>
        </w:tc>
        <w:tc>
          <w:tcPr>
            <w:tcW w:type="dxa" w:w="7457"/>
          </w:tcPr>
          <w:p>
            <w:pPr>
              <w:spacing w:after="20" w:before="20" w:line="240" w:lineRule="auto"/>
            </w:pPr>
            <w:r/>
            <w:r>
              <w:rPr>
                <w:sz w:val="18"/>
              </w:rPr>
              <w:t>PAR_077: 8% of declarations had a top-up of 30% or more of the final tax (minimum risk level 2%, maximum at 20%)</w:t>
            </w:r>
          </w:p>
        </w:tc>
      </w:tr>
      <w:tr>
        <w:tc>
          <w:tcPr>
            <w:tcW w:type="dxa" w:w="2294"/>
          </w:tcPr>
          <w:p>
            <w:pPr>
              <w:spacing w:after="20" w:before="20" w:line="240" w:lineRule="auto"/>
            </w:pPr>
            <w:r/>
            <w:r>
              <w:rPr>
                <w:sz w:val="18"/>
              </w:rPr>
              <w:t>Reason 3</w:t>
            </w:r>
          </w:p>
        </w:tc>
        <w:tc>
          <w:tcPr>
            <w:tcW w:type="dxa" w:w="7457"/>
          </w:tcPr>
          <w:p>
            <w:pPr>
              <w:spacing w:after="20" w:before="20" w:line="240" w:lineRule="auto"/>
            </w:pPr>
            <w:r/>
            <w:r>
              <w:rPr>
                <w:sz w:val="18"/>
              </w:rPr>
              <w:t>PAR_045: 25% of declarations were amended (minimum risk level 10%, maximum at 50%)</w:t>
            </w:r>
          </w:p>
        </w:tc>
      </w:tr>
      <w:tr>
        <w:tc>
          <w:tcPr>
            <w:tcW w:type="dxa" w:w="2294"/>
          </w:tcPr>
          <w:p>
            <w:pPr>
              <w:spacing w:after="20" w:before="20" w:line="240" w:lineRule="auto"/>
            </w:pPr>
            <w:r/>
            <w:r>
              <w:rPr>
                <w:sz w:val="18"/>
              </w:rPr>
              <w:t>Notes</w:t>
            </w:r>
          </w:p>
        </w:tc>
        <w:tc>
          <w:tcPr>
            <w:tcW w:type="dxa" w:w="7457"/>
          </w:tcPr>
          <w:p>
            <w:pPr>
              <w:spacing w:after="20" w:before="20" w:line="240" w:lineRule="auto"/>
            </w:pPr>
            <w:r/>
            <w:r>
              <w:rPr>
                <w:sz w:val="18"/>
              </w:rPr>
              <w:t>(none: 40 declarations is enough history, the pattern is not unusual)</w:t>
            </w:r>
          </w:p>
        </w:tc>
      </w:tr>
      <w:tr>
        <w:tc>
          <w:tcPr>
            <w:tcW w:type="dxa" w:w="2294"/>
          </w:tcPr>
          <w:p>
            <w:pPr>
              <w:spacing w:after="20" w:before="20" w:line="240" w:lineRule="auto"/>
            </w:pPr>
            <w:r/>
            <w:r>
              <w:rPr>
                <w:sz w:val="18"/>
              </w:rPr>
              <w:t>Peer group</w:t>
            </w:r>
          </w:p>
        </w:tc>
        <w:tc>
          <w:tcPr>
            <w:tcW w:type="dxa" w:w="7457"/>
          </w:tcPr>
          <w:p>
            <w:pPr>
              <w:spacing w:after="20" w:before="20" w:line="240" w:lineRule="auto"/>
            </w:pPr>
            <w:r/>
            <w:r>
              <w:rPr>
                <w:sz w:val="18"/>
              </w:rPr>
              <w:t>Textiles, medium</w:t>
            </w:r>
          </w:p>
        </w:tc>
      </w:tr>
    </w:tbl>
    <w:p>
      <w:pPr>
        <w:spacing w:after="40"/>
      </w:pPr>
    </w:p>
    <w:p>
      <w:pPr>
        <w:pStyle w:val="Heading2"/>
      </w:pPr>
      <w:r>
        <w:t>1.3 The Four Layers as a Story</w:t>
      </w:r>
    </w:p>
    <w:p>
      <w:pPr>
        <w:pStyle w:val="Caption"/>
      </w:pPr>
      <w:r>
        <w:t xml:space="preserve">Table </w:t>
      </w:r>
      <w:r>
        <w:fldChar w:fldCharType="begin"/>
      </w:r>
      <w:r>
        <w:instrText xml:space="preserve"> SEQ Table \* ARABIC </w:instrText>
      </w:r>
      <w:r>
        <w:fldChar w:fldCharType="separate"/>
      </w:r>
      <w:r>
        <w:t>6</w:t>
      </w:r>
      <w:r>
        <w:fldChar w:fldCharType="end"/>
      </w:r>
      <w:r>
        <w:t>: The Four Layers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008"/>
            <w:shd w:val="clear" w:color="auto" w:fill="D9E2F3"/>
          </w:tcPr>
          <w:p>
            <w:pPr>
              <w:spacing w:after="20" w:before="20" w:line="240" w:lineRule="auto"/>
            </w:pPr>
            <w:r/>
            <w:r>
              <w:rPr>
                <w:b/>
                <w:sz w:val="18"/>
              </w:rPr>
              <w:t>Layer</w:t>
            </w:r>
          </w:p>
        </w:tc>
        <w:tc>
          <w:tcPr>
            <w:tcW w:type="dxa" w:w="4589"/>
            <w:shd w:val="clear" w:color="auto" w:fill="D9E2F3"/>
          </w:tcPr>
          <w:p>
            <w:pPr>
              <w:spacing w:after="20" w:before="20" w:line="240" w:lineRule="auto"/>
            </w:pPr>
            <w:r/>
            <w:r>
              <w:rPr>
                <w:b/>
                <w:sz w:val="18"/>
              </w:rPr>
              <w:t>What it does</w:t>
            </w:r>
          </w:p>
        </w:tc>
        <w:tc>
          <w:tcPr>
            <w:tcW w:type="dxa" w:w="3155"/>
            <w:shd w:val="clear" w:color="auto" w:fill="D9E2F3"/>
          </w:tcPr>
          <w:p>
            <w:pPr>
              <w:spacing w:after="20" w:before="20" w:line="240" w:lineRule="auto"/>
            </w:pPr>
            <w:r/>
            <w:r>
              <w:rPr>
                <w:b/>
                <w:sz w:val="18"/>
              </w:rPr>
              <w:t>School analogy</w:t>
            </w:r>
          </w:p>
        </w:tc>
      </w:tr>
      <w:tr>
        <w:tc>
          <w:tcPr>
            <w:tcW w:type="dxa" w:w="2008"/>
          </w:tcPr>
          <w:p>
            <w:pPr>
              <w:spacing w:after="20" w:before="20" w:line="240" w:lineRule="auto"/>
            </w:pPr>
            <w:r/>
            <w:r>
              <w:rPr>
                <w:sz w:val="18"/>
              </w:rPr>
              <w:t>L2 Scorecard</w:t>
            </w:r>
          </w:p>
        </w:tc>
        <w:tc>
          <w:tcPr>
            <w:tcW w:type="dxa" w:w="4589"/>
          </w:tcPr>
          <w:p>
            <w:pPr>
              <w:spacing w:after="20" w:before="20" w:line="240" w:lineRule="auto"/>
            </w:pPr>
            <w:r/>
            <w:r>
              <w:rPr>
                <w:sz w:val="18"/>
              </w:rPr>
              <w:t>Eight risk measures, each turned into points; together at most 100</w:t>
            </w:r>
          </w:p>
        </w:tc>
        <w:tc>
          <w:tcPr>
            <w:tcW w:type="dxa" w:w="3155"/>
          </w:tcPr>
          <w:p>
            <w:pPr>
              <w:spacing w:after="20" w:before="20" w:line="240" w:lineRule="auto"/>
            </w:pPr>
            <w:r/>
            <w:r>
              <w:rPr>
                <w:sz w:val="18"/>
              </w:rPr>
              <w:t>Marks in eight subjects, some subjects count more</w:t>
            </w:r>
          </w:p>
        </w:tc>
      </w:tr>
      <w:tr>
        <w:tc>
          <w:tcPr>
            <w:tcW w:type="dxa" w:w="2008"/>
          </w:tcPr>
          <w:p>
            <w:pPr>
              <w:spacing w:after="20" w:before="20" w:line="240" w:lineRule="auto"/>
            </w:pPr>
            <w:r/>
            <w:r>
              <w:rPr>
                <w:sz w:val="18"/>
              </w:rPr>
              <w:t>L1 Peer groups</w:t>
            </w:r>
          </w:p>
        </w:tc>
        <w:tc>
          <w:tcPr>
            <w:tcW w:type="dxa" w:w="4589"/>
          </w:tcPr>
          <w:p>
            <w:pPr>
              <w:spacing w:after="20" w:before="20" w:line="240" w:lineRule="auto"/>
            </w:pPr>
            <w:r/>
            <w:r>
              <w:rPr>
                <w:sz w:val="18"/>
              </w:rPr>
              <w:t>Puts each regular taxpayer with similar traders (main goods x size)</w:t>
            </w:r>
          </w:p>
        </w:tc>
        <w:tc>
          <w:tcPr>
            <w:tcW w:type="dxa" w:w="3155"/>
          </w:tcPr>
          <w:p>
            <w:pPr>
              <w:spacing w:after="20" w:before="20" w:line="240" w:lineRule="auto"/>
            </w:pPr>
            <w:r/>
            <w:r>
              <w:rPr>
                <w:sz w:val="18"/>
              </w:rPr>
              <w:t>Which class the student is in</w:t>
            </w:r>
          </w:p>
        </w:tc>
      </w:tr>
      <w:tr>
        <w:tc>
          <w:tcPr>
            <w:tcW w:type="dxa" w:w="2008"/>
          </w:tcPr>
          <w:p>
            <w:pPr>
              <w:spacing w:after="20" w:before="20" w:line="240" w:lineRule="auto"/>
            </w:pPr>
            <w:r/>
            <w:r>
              <w:rPr>
                <w:sz w:val="18"/>
              </w:rPr>
              <w:t>L3 Pattern check</w:t>
            </w:r>
          </w:p>
        </w:tc>
        <w:tc>
          <w:tcPr>
            <w:tcW w:type="dxa" w:w="4589"/>
          </w:tcPr>
          <w:p>
            <w:pPr>
              <w:spacing w:after="20" w:before="20" w:line="240" w:lineRule="auto"/>
            </w:pPr>
            <w:r/>
            <w:r>
              <w:rPr>
                <w:sz w:val="18"/>
              </w:rPr>
              <w:t>Notes taxpayers who trade very differently from their peer group; adds no points</w:t>
            </w:r>
          </w:p>
        </w:tc>
        <w:tc>
          <w:tcPr>
            <w:tcW w:type="dxa" w:w="3155"/>
          </w:tcPr>
          <w:p>
            <w:pPr>
              <w:spacing w:after="20" w:before="20" w:line="240" w:lineRule="auto"/>
            </w:pPr>
            <w:r/>
            <w:r>
              <w:rPr>
                <w:sz w:val="18"/>
              </w:rPr>
              <w:t>A note: "studies very differently from classmates"</w:t>
            </w:r>
          </w:p>
        </w:tc>
      </w:tr>
      <w:tr>
        <w:tc>
          <w:tcPr>
            <w:tcW w:type="dxa" w:w="2008"/>
          </w:tcPr>
          <w:p>
            <w:pPr>
              <w:spacing w:after="20" w:before="20" w:line="240" w:lineRule="auto"/>
            </w:pPr>
            <w:r/>
            <w:r>
              <w:rPr>
                <w:sz w:val="18"/>
              </w:rPr>
              <w:t>L4 Score and band</w:t>
            </w:r>
          </w:p>
        </w:tc>
        <w:tc>
          <w:tcPr>
            <w:tcW w:type="dxa" w:w="4589"/>
          </w:tcPr>
          <w:p>
            <w:pPr>
              <w:spacing w:after="20" w:before="20" w:line="240" w:lineRule="auto"/>
            </w:pPr>
            <w:r/>
            <w:r>
              <w:rPr>
                <w:sz w:val="18"/>
              </w:rPr>
              <w:t>Rounds the points and gives a band: VERY LOW, LOW, MEDIUM, HIGH, VERY HIGH</w:t>
            </w:r>
          </w:p>
        </w:tc>
        <w:tc>
          <w:tcPr>
            <w:tcW w:type="dxa" w:w="3155"/>
          </w:tcPr>
          <w:p>
            <w:pPr>
              <w:spacing w:after="20" w:before="20" w:line="240" w:lineRule="auto"/>
            </w:pPr>
            <w:r/>
            <w:r>
              <w:rPr>
                <w:sz w:val="18"/>
              </w:rPr>
              <w:t>The final grade</w:t>
            </w:r>
          </w:p>
        </w:tc>
      </w:tr>
    </w:tbl>
    <w:p>
      <w:pPr>
        <w:spacing w:after="40"/>
      </w:pPr>
    </w:p>
    <w:p>
      <w:pPr>
        <w:spacing w:after="120"/>
      </w:pPr>
      <w:r>
        <w:t>Only the scorecard produces points. Everything else either tells you who the taxpayer is compared with, or adds a note to help the officer judge the score.</w:t>
      </w:r>
    </w:p>
    <w:p>
      <w:pPr>
        <w:pStyle w:val="Heading2"/>
      </w:pPr>
      <w:r>
        <w:t>1.4 The Words You Need</w:t>
      </w:r>
    </w:p>
    <w:p>
      <w:pPr>
        <w:pStyle w:val="Caption"/>
      </w:pPr>
      <w:r>
        <w:t xml:space="preserve">Table </w:t>
      </w:r>
      <w:r>
        <w:fldChar w:fldCharType="begin"/>
      </w:r>
      <w:r>
        <w:instrText xml:space="preserve"> SEQ Table \* ARABIC </w:instrText>
      </w:r>
      <w:r>
        <w:fldChar w:fldCharType="separate"/>
      </w:r>
      <w:r>
        <w:t>7</w:t>
      </w:r>
      <w:r>
        <w:fldChar w:fldCharType="end"/>
      </w:r>
      <w:r>
        <w:t>: Key Words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1721"/>
            <w:shd w:val="clear" w:color="auto" w:fill="D9E2F3"/>
          </w:tcPr>
          <w:p>
            <w:pPr>
              <w:spacing w:after="20" w:before="20" w:line="240" w:lineRule="auto"/>
            </w:pPr>
            <w:r/>
            <w:r>
              <w:rPr>
                <w:b/>
                <w:sz w:val="18"/>
              </w:rPr>
              <w:t>Word</w:t>
            </w:r>
          </w:p>
        </w:tc>
        <w:tc>
          <w:tcPr>
            <w:tcW w:type="dxa" w:w="4589"/>
            <w:shd w:val="clear" w:color="auto" w:fill="D9E2F3"/>
          </w:tcPr>
          <w:p>
            <w:pPr>
              <w:spacing w:after="20" w:before="20" w:line="240" w:lineRule="auto"/>
            </w:pPr>
            <w:r/>
            <w:r>
              <w:rPr>
                <w:b/>
                <w:sz w:val="18"/>
              </w:rPr>
              <w:t>Meaning</w:t>
            </w:r>
          </w:p>
        </w:tc>
        <w:tc>
          <w:tcPr>
            <w:tcW w:type="dxa" w:w="3442"/>
            <w:shd w:val="clear" w:color="auto" w:fill="D9E2F3"/>
          </w:tcPr>
          <w:p>
            <w:pPr>
              <w:spacing w:after="20" w:before="20" w:line="240" w:lineRule="auto"/>
            </w:pPr>
            <w:r/>
            <w:r>
              <w:rPr>
                <w:b/>
                <w:sz w:val="18"/>
              </w:rPr>
              <w:t>Example</w:t>
            </w:r>
          </w:p>
        </w:tc>
      </w:tr>
      <w:tr>
        <w:tc>
          <w:tcPr>
            <w:tcW w:type="dxa" w:w="1721"/>
          </w:tcPr>
          <w:p>
            <w:pPr>
              <w:spacing w:after="20" w:before="20" w:line="240" w:lineRule="auto"/>
            </w:pPr>
            <w:r/>
            <w:r>
              <w:rPr>
                <w:sz w:val="18"/>
              </w:rPr>
              <w:t>Declaration</w:t>
            </w:r>
          </w:p>
        </w:tc>
        <w:tc>
          <w:tcPr>
            <w:tcW w:type="dxa" w:w="4589"/>
          </w:tcPr>
          <w:p>
            <w:pPr>
              <w:spacing w:after="20" w:before="20" w:line="240" w:lineRule="auto"/>
            </w:pPr>
            <w:r/>
            <w:r>
              <w:rPr>
                <w:sz w:val="18"/>
              </w:rPr>
              <w:t>One customs entry (an instance_id); it has one or more items</w:t>
            </w:r>
          </w:p>
        </w:tc>
        <w:tc>
          <w:tcPr>
            <w:tcW w:type="dxa" w:w="3442"/>
          </w:tcPr>
          <w:p>
            <w:pPr>
              <w:spacing w:after="20" w:before="20" w:line="240" w:lineRule="auto"/>
            </w:pPr>
            <w:r/>
            <w:r>
              <w:rPr>
                <w:sz w:val="18"/>
              </w:rPr>
              <w:t>An import of 3 kinds of goods = 1 declaration, 3 items</w:t>
            </w:r>
          </w:p>
        </w:tc>
      </w:tr>
      <w:tr>
        <w:tc>
          <w:tcPr>
            <w:tcW w:type="dxa" w:w="1721"/>
          </w:tcPr>
          <w:p>
            <w:pPr>
              <w:spacing w:after="20" w:before="20" w:line="240" w:lineRule="auto"/>
            </w:pPr>
            <w:r/>
            <w:r>
              <w:rPr>
                <w:sz w:val="18"/>
              </w:rPr>
              <w:t>Top-up</w:t>
            </w:r>
          </w:p>
        </w:tc>
        <w:tc>
          <w:tcPr>
            <w:tcW w:type="dxa" w:w="4589"/>
          </w:tcPr>
          <w:p>
            <w:pPr>
              <w:spacing w:after="20" w:before="20" w:line="240" w:lineRule="auto"/>
            </w:pPr>
            <w:r/>
            <w:r>
              <w:rPr>
                <w:sz w:val="18"/>
              </w:rPr>
              <w:t>Tax raised after assessment: flag Y and final tax above the original</w:t>
            </w:r>
          </w:p>
        </w:tc>
        <w:tc>
          <w:tcPr>
            <w:tcW w:type="dxa" w:w="3442"/>
          </w:tcPr>
          <w:p>
            <w:pPr>
              <w:spacing w:after="20" w:before="20" w:line="240" w:lineRule="auto"/>
            </w:pPr>
            <w:r/>
            <w:r>
              <w:rPr>
                <w:sz w:val="18"/>
              </w:rPr>
              <w:t>Declared UGX 10M, assessed UGX 12M: top-up of 2M</w:t>
            </w:r>
          </w:p>
        </w:tc>
      </w:tr>
      <w:tr>
        <w:tc>
          <w:tcPr>
            <w:tcW w:type="dxa" w:w="1721"/>
          </w:tcPr>
          <w:p>
            <w:pPr>
              <w:spacing w:after="20" w:before="20" w:line="240" w:lineRule="auto"/>
            </w:pPr>
            <w:r/>
            <w:r>
              <w:rPr>
                <w:sz w:val="18"/>
              </w:rPr>
              <w:t>Amendment</w:t>
            </w:r>
          </w:p>
        </w:tc>
        <w:tc>
          <w:tcPr>
            <w:tcW w:type="dxa" w:w="4589"/>
          </w:tcPr>
          <w:p>
            <w:pPr>
              <w:spacing w:after="20" w:before="20" w:line="240" w:lineRule="auto"/>
            </w:pPr>
            <w:r/>
            <w:r>
              <w:rPr>
                <w:sz w:val="18"/>
              </w:rPr>
              <w:t>The declaration was changed after lodging</w:t>
            </w:r>
          </w:p>
        </w:tc>
        <w:tc>
          <w:tcPr>
            <w:tcW w:type="dxa" w:w="3442"/>
          </w:tcPr>
          <w:p>
            <w:pPr>
              <w:spacing w:after="20" w:before="20" w:line="240" w:lineRule="auto"/>
            </w:pPr>
            <w:r/>
            <w:r>
              <w:rPr>
                <w:sz w:val="18"/>
              </w:rPr>
              <w:t>HS code corrected</w:t>
            </w:r>
          </w:p>
        </w:tc>
      </w:tr>
      <w:tr>
        <w:tc>
          <w:tcPr>
            <w:tcW w:type="dxa" w:w="1721"/>
          </w:tcPr>
          <w:p>
            <w:pPr>
              <w:spacing w:after="20" w:before="20" w:line="240" w:lineRule="auto"/>
            </w:pPr>
            <w:r/>
            <w:r>
              <w:rPr>
                <w:sz w:val="18"/>
              </w:rPr>
              <w:t>Lane</w:t>
            </w:r>
          </w:p>
        </w:tc>
        <w:tc>
          <w:tcPr>
            <w:tcW w:type="dxa" w:w="4589"/>
          </w:tcPr>
          <w:p>
            <w:pPr>
              <w:spacing w:after="20" w:before="20" w:line="240" w:lineRule="auto"/>
            </w:pPr>
            <w:r/>
            <w:r>
              <w:rPr>
                <w:sz w:val="18"/>
              </w:rPr>
              <w:t>How customs treats a declaration: red (physical check), yellow (documents), green (released)</w:t>
            </w:r>
          </w:p>
        </w:tc>
        <w:tc>
          <w:tcPr>
            <w:tcW w:type="dxa" w:w="3442"/>
          </w:tcPr>
          <w:p>
            <w:pPr>
              <w:spacing w:after="20" w:before="20" w:line="240" w:lineRule="auto"/>
            </w:pPr>
            <w:r/>
          </w:p>
        </w:tc>
      </w:tr>
      <w:tr>
        <w:tc>
          <w:tcPr>
            <w:tcW w:type="dxa" w:w="1721"/>
          </w:tcPr>
          <w:p>
            <w:pPr>
              <w:spacing w:after="20" w:before="20" w:line="240" w:lineRule="auto"/>
            </w:pPr>
            <w:r/>
            <w:r>
              <w:rPr>
                <w:sz w:val="18"/>
              </w:rPr>
              <w:t>Hit</w:t>
            </w:r>
          </w:p>
        </w:tc>
        <w:tc>
          <w:tcPr>
            <w:tcW w:type="dxa" w:w="4589"/>
          </w:tcPr>
          <w:p>
            <w:pPr>
              <w:spacing w:after="20" w:before="20" w:line="240" w:lineRule="auto"/>
            </w:pPr>
            <w:r/>
            <w:r>
              <w:rPr>
                <w:sz w:val="18"/>
              </w:rPr>
              <w:t>A red or yellow declaration that ended in a top-up</w:t>
            </w:r>
          </w:p>
        </w:tc>
        <w:tc>
          <w:tcPr>
            <w:tcW w:type="dxa" w:w="3442"/>
          </w:tcPr>
          <w:p>
            <w:pPr>
              <w:spacing w:after="20" w:before="20" w:line="240" w:lineRule="auto"/>
            </w:pPr>
            <w:r/>
            <w:r>
              <w:rPr>
                <w:sz w:val="18"/>
              </w:rPr>
              <w:t>Checked and found short</w:t>
            </w:r>
          </w:p>
        </w:tc>
      </w:tr>
      <w:tr>
        <w:tc>
          <w:tcPr>
            <w:tcW w:type="dxa" w:w="1721"/>
          </w:tcPr>
          <w:p>
            <w:pPr>
              <w:spacing w:after="20" w:before="20" w:line="240" w:lineRule="auto"/>
            </w:pPr>
            <w:r/>
            <w:r>
              <w:rPr>
                <w:sz w:val="18"/>
              </w:rPr>
              <w:t>Hit rate</w:t>
            </w:r>
          </w:p>
        </w:tc>
        <w:tc>
          <w:tcPr>
            <w:tcW w:type="dxa" w:w="4589"/>
          </w:tcPr>
          <w:p>
            <w:pPr>
              <w:spacing w:after="20" w:before="20" w:line="240" w:lineRule="auto"/>
            </w:pPr>
            <w:r/>
            <w:r>
              <w:rPr>
                <w:sz w:val="18"/>
              </w:rPr>
              <w:t>Hits divided by checked declarations</w:t>
            </w:r>
          </w:p>
        </w:tc>
        <w:tc>
          <w:tcPr>
            <w:tcW w:type="dxa" w:w="3442"/>
          </w:tcPr>
          <w:p>
            <w:pPr>
              <w:spacing w:after="20" w:before="20" w:line="240" w:lineRule="auto"/>
            </w:pPr>
            <w:r/>
            <w:r>
              <w:rPr>
                <w:sz w:val="18"/>
              </w:rPr>
              <w:t>70 hits in 1,000 checks = 7%</w:t>
            </w:r>
          </w:p>
        </w:tc>
      </w:tr>
      <w:tr>
        <w:tc>
          <w:tcPr>
            <w:tcW w:type="dxa" w:w="1721"/>
          </w:tcPr>
          <w:p>
            <w:pPr>
              <w:spacing w:after="20" w:before="20" w:line="240" w:lineRule="auto"/>
            </w:pPr>
            <w:r/>
            <w:r>
              <w:rPr>
                <w:sz w:val="18"/>
              </w:rPr>
              <w:t>Snapshot</w:t>
            </w:r>
          </w:p>
        </w:tc>
        <w:tc>
          <w:tcPr>
            <w:tcW w:type="dxa" w:w="4589"/>
          </w:tcPr>
          <w:p>
            <w:pPr>
              <w:spacing w:after="20" w:before="20" w:line="240" w:lineRule="auto"/>
            </w:pPr>
            <w:r/>
            <w:r>
              <w:rPr>
                <w:sz w:val="18"/>
              </w:rPr>
              <w:t>The date we score taxpayers "as at"</w:t>
            </w:r>
          </w:p>
        </w:tc>
        <w:tc>
          <w:tcPr>
            <w:tcW w:type="dxa" w:w="3442"/>
          </w:tcPr>
          <w:p>
            <w:pPr>
              <w:spacing w:after="20" w:before="20" w:line="240" w:lineRule="auto"/>
            </w:pPr>
            <w:r/>
            <w:r>
              <w:rPr>
                <w:sz w:val="18"/>
              </w:rPr>
              <w:t>31 March 2026</w:t>
            </w:r>
          </w:p>
        </w:tc>
      </w:tr>
      <w:tr>
        <w:tc>
          <w:tcPr>
            <w:tcW w:type="dxa" w:w="1721"/>
          </w:tcPr>
          <w:p>
            <w:pPr>
              <w:spacing w:after="20" w:before="20" w:line="240" w:lineRule="auto"/>
            </w:pPr>
            <w:r/>
            <w:r>
              <w:rPr>
                <w:sz w:val="18"/>
              </w:rPr>
              <w:t>History window</w:t>
            </w:r>
          </w:p>
        </w:tc>
        <w:tc>
          <w:tcPr>
            <w:tcW w:type="dxa" w:w="4589"/>
          </w:tcPr>
          <w:p>
            <w:pPr>
              <w:spacing w:after="20" w:before="20" w:line="240" w:lineRule="auto"/>
            </w:pPr>
            <w:r/>
            <w:r>
              <w:rPr>
                <w:sz w:val="18"/>
              </w:rPr>
              <w:t>The 24 months before the snapshot: where features come from; the top-up and amendment rates reach back 3 years, recent years counting most (4.9)</w:t>
            </w:r>
          </w:p>
        </w:tc>
        <w:tc>
          <w:tcPr>
            <w:tcW w:type="dxa" w:w="3442"/>
          </w:tcPr>
          <w:p>
            <w:pPr>
              <w:spacing w:after="20" w:before="20" w:line="240" w:lineRule="auto"/>
            </w:pPr>
            <w:r/>
            <w:r>
              <w:rPr>
                <w:sz w:val="18"/>
              </w:rPr>
              <w:t>Apr 2024 to Mar 2026</w:t>
            </w:r>
          </w:p>
        </w:tc>
      </w:tr>
      <w:tr>
        <w:tc>
          <w:tcPr>
            <w:tcW w:type="dxa" w:w="1721"/>
          </w:tcPr>
          <w:p>
            <w:pPr>
              <w:spacing w:after="20" w:before="20" w:line="240" w:lineRule="auto"/>
            </w:pPr>
            <w:r/>
            <w:r>
              <w:rPr>
                <w:sz w:val="18"/>
              </w:rPr>
              <w:t>Outcome window</w:t>
            </w:r>
          </w:p>
        </w:tc>
        <w:tc>
          <w:tcPr>
            <w:tcW w:type="dxa" w:w="4589"/>
          </w:tcPr>
          <w:p>
            <w:pPr>
              <w:spacing w:after="20" w:before="20" w:line="240" w:lineRule="auto"/>
            </w:pPr>
            <w:r/>
            <w:r>
              <w:rPr>
                <w:sz w:val="18"/>
              </w:rPr>
              <w:t>The 6 months after the snapshot: what actually happened next</w:t>
            </w:r>
          </w:p>
        </w:tc>
        <w:tc>
          <w:tcPr>
            <w:tcW w:type="dxa" w:w="3442"/>
          </w:tcPr>
          <w:p>
            <w:pPr>
              <w:spacing w:after="20" w:before="20" w:line="240" w:lineRule="auto"/>
            </w:pPr>
            <w:r/>
            <w:r>
              <w:rPr>
                <w:sz w:val="18"/>
              </w:rPr>
              <w:t>Apr 2026 to Sep 2026</w:t>
            </w:r>
          </w:p>
        </w:tc>
      </w:tr>
      <w:tr>
        <w:tc>
          <w:tcPr>
            <w:tcW w:type="dxa" w:w="1721"/>
          </w:tcPr>
          <w:p>
            <w:pPr>
              <w:spacing w:after="20" w:before="20" w:line="240" w:lineRule="auto"/>
            </w:pPr>
            <w:r/>
            <w:r>
              <w:rPr>
                <w:sz w:val="18"/>
              </w:rPr>
              <w:t>Feature</w:t>
            </w:r>
          </w:p>
        </w:tc>
        <w:tc>
          <w:tcPr>
            <w:tcW w:type="dxa" w:w="4589"/>
          </w:tcPr>
          <w:p>
            <w:pPr>
              <w:spacing w:after="20" w:before="20" w:line="240" w:lineRule="auto"/>
            </w:pPr>
            <w:r/>
            <w:r>
              <w:rPr>
                <w:sz w:val="18"/>
              </w:rPr>
              <w:t>A number computed per taxpayer from their history</w:t>
            </w:r>
          </w:p>
        </w:tc>
        <w:tc>
          <w:tcPr>
            <w:tcW w:type="dxa" w:w="3442"/>
          </w:tcPr>
          <w:p>
            <w:pPr>
              <w:spacing w:after="20" w:before="20" w:line="240" w:lineRule="auto"/>
            </w:pPr>
            <w:r/>
            <w:r>
              <w:rPr>
                <w:sz w:val="18"/>
              </w:rPr>
              <w:t>Share of declarations topped up</w:t>
            </w:r>
          </w:p>
        </w:tc>
      </w:tr>
      <w:tr>
        <w:tc>
          <w:tcPr>
            <w:tcW w:type="dxa" w:w="1721"/>
          </w:tcPr>
          <w:p>
            <w:pPr>
              <w:spacing w:after="20" w:before="20" w:line="240" w:lineRule="auto"/>
            </w:pPr>
            <w:r/>
            <w:r>
              <w:rPr>
                <w:sz w:val="18"/>
              </w:rPr>
              <w:t>Parameter</w:t>
            </w:r>
          </w:p>
        </w:tc>
        <w:tc>
          <w:tcPr>
            <w:tcW w:type="dxa" w:w="4589"/>
          </w:tcPr>
          <w:p>
            <w:pPr>
              <w:spacing w:after="20" w:before="20" w:line="240" w:lineRule="auto"/>
            </w:pPr>
            <w:r/>
            <w:r>
              <w:rPr>
                <w:sz w:val="18"/>
              </w:rPr>
              <w:t>A feature the officers agreed to score, with a code</w:t>
            </w:r>
          </w:p>
        </w:tc>
        <w:tc>
          <w:tcPr>
            <w:tcW w:type="dxa" w:w="3442"/>
          </w:tcPr>
          <w:p>
            <w:pPr>
              <w:spacing w:after="20" w:before="20" w:line="240" w:lineRule="auto"/>
            </w:pPr>
            <w:r/>
            <w:r>
              <w:rPr>
                <w:sz w:val="18"/>
              </w:rPr>
              <w:t>PAR_045T</w:t>
            </w:r>
          </w:p>
        </w:tc>
      </w:tr>
      <w:tr>
        <w:tc>
          <w:tcPr>
            <w:tcW w:type="dxa" w:w="1721"/>
          </w:tcPr>
          <w:p>
            <w:pPr>
              <w:spacing w:after="20" w:before="20" w:line="240" w:lineRule="auto"/>
            </w:pPr>
            <w:r/>
            <w:r>
              <w:rPr>
                <w:sz w:val="18"/>
              </w:rPr>
              <w:t>Back-test</w:t>
            </w:r>
          </w:p>
        </w:tc>
        <w:tc>
          <w:tcPr>
            <w:tcW w:type="dxa" w:w="4589"/>
          </w:tcPr>
          <w:p>
            <w:pPr>
              <w:spacing w:after="20" w:before="20" w:line="240" w:lineRule="auto"/>
            </w:pPr>
            <w:r/>
            <w:r>
              <w:rPr>
                <w:sz w:val="18"/>
              </w:rPr>
              <w:t>Score taxpayers at a past date, then check what happened next</w:t>
            </w:r>
          </w:p>
        </w:tc>
        <w:tc>
          <w:tcPr>
            <w:tcW w:type="dxa" w:w="3442"/>
          </w:tcPr>
          <w:p>
            <w:pPr>
              <w:spacing w:after="20" w:before="20" w:line="240" w:lineRule="auto"/>
            </w:pPr>
            <w:r/>
            <w:r>
              <w:rPr>
                <w:sz w:val="18"/>
              </w:rPr>
              <w:t>Score at Mar 2026, check Apr to Sep 2026</w:t>
            </w:r>
          </w:p>
        </w:tc>
      </w:tr>
      <w:tr>
        <w:tc>
          <w:tcPr>
            <w:tcW w:type="dxa" w:w="1721"/>
          </w:tcPr>
          <w:p>
            <w:pPr>
              <w:spacing w:after="20" w:before="20" w:line="240" w:lineRule="auto"/>
            </w:pPr>
            <w:r/>
            <w:r>
              <w:rPr>
                <w:sz w:val="18"/>
              </w:rPr>
              <w:t>Lift</w:t>
            </w:r>
          </w:p>
        </w:tc>
        <w:tc>
          <w:tcPr>
            <w:tcW w:type="dxa" w:w="4589"/>
          </w:tcPr>
          <w:p>
            <w:pPr>
              <w:spacing w:after="20" w:before="20" w:line="240" w:lineRule="auto"/>
            </w:pPr>
            <w:r/>
            <w:r>
              <w:rPr>
                <w:sz w:val="18"/>
              </w:rPr>
              <w:t>Hit rate of the model's top group divided by everyone's hit rate</w:t>
            </w:r>
          </w:p>
        </w:tc>
        <w:tc>
          <w:tcPr>
            <w:tcW w:type="dxa" w:w="3442"/>
          </w:tcPr>
          <w:p>
            <w:pPr>
              <w:spacing w:after="20" w:before="20" w:line="240" w:lineRule="auto"/>
            </w:pPr>
            <w:r/>
            <w:r>
              <w:rPr>
                <w:sz w:val="18"/>
              </w:rPr>
              <w:t>Top 5% hit 31.5%, everyone 7%: lift 4.5</w:t>
            </w:r>
          </w:p>
        </w:tc>
      </w:tr>
      <w:tr>
        <w:tc>
          <w:tcPr>
            <w:tcW w:type="dxa" w:w="1721"/>
          </w:tcPr>
          <w:p>
            <w:pPr>
              <w:spacing w:after="20" w:before="20" w:line="240" w:lineRule="auto"/>
            </w:pPr>
            <w:r/>
            <w:r>
              <w:rPr>
                <w:sz w:val="18"/>
              </w:rPr>
              <w:t>AUC per check</w:t>
            </w:r>
          </w:p>
        </w:tc>
        <w:tc>
          <w:tcPr>
            <w:tcW w:type="dxa" w:w="4589"/>
          </w:tcPr>
          <w:p>
            <w:pPr>
              <w:spacing w:after="20" w:before="20" w:line="240" w:lineRule="auto"/>
            </w:pPr>
            <w:r/>
            <w:r>
              <w:rPr>
                <w:sz w:val="18"/>
              </w:rPr>
              <w:t>The main measure (4.6): pick one check that found a top-up and one that did not; how often does the model rank the first higher? 0.5 is chance</w:t>
            </w:r>
          </w:p>
        </w:tc>
        <w:tc>
          <w:tcPr>
            <w:tcW w:type="dxa" w:w="3442"/>
          </w:tcPr>
          <w:p>
            <w:pPr>
              <w:spacing w:after="20" w:before="20" w:line="240" w:lineRule="auto"/>
            </w:pPr>
            <w:r/>
            <w:r>
              <w:rPr>
                <w:sz w:val="18"/>
              </w:rPr>
              <w:t>0.80</w:t>
            </w:r>
          </w:p>
        </w:tc>
      </w:tr>
      <w:tr>
        <w:tc>
          <w:tcPr>
            <w:tcW w:type="dxa" w:w="1721"/>
          </w:tcPr>
          <w:p>
            <w:pPr>
              <w:spacing w:after="20" w:before="20" w:line="240" w:lineRule="auto"/>
            </w:pPr>
            <w:r/>
            <w:r>
              <w:rPr>
                <w:sz w:val="18"/>
              </w:rPr>
              <w:t>Precision, recall</w:t>
            </w:r>
          </w:p>
        </w:tc>
        <w:tc>
          <w:tcPr>
            <w:tcW w:type="dxa" w:w="4589"/>
          </w:tcPr>
          <w:p>
            <w:pPr>
              <w:spacing w:after="20" w:before="20" w:line="240" w:lineRule="auto"/>
            </w:pPr>
            <w:r/>
            <w:r>
              <w:rPr>
                <w:sz w:val="18"/>
              </w:rPr>
              <w:t>At a line officers draw: share of checks above it that found something; share of all hits above it</w:t>
            </w:r>
          </w:p>
        </w:tc>
        <w:tc>
          <w:tcPr>
            <w:tcW w:type="dxa" w:w="3442"/>
          </w:tcPr>
          <w:p>
            <w:pPr>
              <w:spacing w:after="20" w:before="20" w:line="240" w:lineRule="auto"/>
            </w:pPr>
            <w:r/>
            <w:r>
              <w:rPr>
                <w:sz w:val="18"/>
              </w:rPr>
              <w:t>HIGH and above: 39%, 52%</w:t>
            </w:r>
          </w:p>
        </w:tc>
      </w:tr>
      <w:tr>
        <w:tc>
          <w:tcPr>
            <w:tcW w:type="dxa" w:w="1721"/>
          </w:tcPr>
          <w:p>
            <w:pPr>
              <w:spacing w:after="20" w:before="20" w:line="240" w:lineRule="auto"/>
            </w:pPr>
            <w:r/>
            <w:r>
              <w:rPr>
                <w:sz w:val="18"/>
              </w:rPr>
              <w:t>Baseline</w:t>
            </w:r>
          </w:p>
        </w:tc>
        <w:tc>
          <w:tcPr>
            <w:tcW w:type="dxa" w:w="4589"/>
          </w:tcPr>
          <w:p>
            <w:pPr>
              <w:spacing w:after="20" w:before="20" w:line="240" w:lineRule="auto"/>
            </w:pPr>
            <w:r/>
            <w:r>
              <w:rPr>
                <w:sz w:val="18"/>
              </w:rPr>
              <w:t>The simplest sensible rule, used as the bar to beat</w:t>
            </w:r>
          </w:p>
        </w:tc>
        <w:tc>
          <w:tcPr>
            <w:tcW w:type="dxa" w:w="3442"/>
          </w:tcPr>
          <w:p>
            <w:pPr>
              <w:spacing w:after="20" w:before="20" w:line="240" w:lineRule="auto"/>
            </w:pPr>
            <w:r/>
            <w:r>
              <w:rPr>
                <w:sz w:val="18"/>
              </w:rPr>
              <w:t>Rank on past top-up ratio alone</w:t>
            </w:r>
          </w:p>
        </w:tc>
      </w:tr>
    </w:tbl>
    <w:p>
      <w:pPr>
        <w:spacing w:after="40"/>
      </w:pPr>
    </w:p>
    <w:p>
      <w:r>
        <w:br w:type="page"/>
      </w:r>
    </w:p>
    <w:p/>
    <w:p/>
    <w:p/>
    <w:p/>
    <w:p/>
    <w:p/>
    <w:p>
      <w:pPr>
        <w:pStyle w:val="Heading1"/>
      </w:pPr>
      <w:r>
        <w:t>PART 2: FROM RAW DATA TO ONE ROW PER TAXPAYER</w:t>
      </w:r>
    </w:p>
    <w:p>
      <w:pPr>
        <w:spacing w:after="120"/>
      </w:pPr>
      <w:r>
        <w:t>Where the data comes from, what the SQL query does step by step, why each cleaning rule exists, and why the model is never allowed to see the future it is judged on.</w:t>
      </w:r>
    </w:p>
    <w:p>
      <w:r>
        <w:br w:type="page"/>
      </w:r>
    </w:p>
    <w:p>
      <w:pPr>
        <w:pStyle w:val="Heading2"/>
      </w:pPr>
      <w:r>
        <w:t>2.1 The Source</w:t>
      </w:r>
    </w:p>
    <w:p>
      <w:pPr>
        <w:spacing w:after="120"/>
      </w:pPr>
      <w:r>
        <w:t xml:space="preserve">Data Engineering built one view in Hue, in the </w:t>
      </w:r>
      <w:r>
        <w:rPr>
          <w:rFonts w:ascii="Consolas" w:hAnsi="Consolas"/>
        </w:rPr>
        <w:t>dm_modeled_ura_datascience</w:t>
      </w:r>
      <w:r>
        <w:t xml:space="preserve"> schema (its full name is in </w:t>
      </w:r>
      <w:r>
        <w:rPr>
          <w:rFonts w:ascii="Consolas" w:hAnsi="Consolas"/>
        </w:rPr>
        <w:t>src/ctrp/sql/features_outcomes.sql</w:t>
      </w:r>
      <w:r>
        <w:t xml:space="preserve">). It has one row per </w:t>
      </w:r>
      <w:r>
        <w:rPr>
          <w:b/>
        </w:rPr>
        <w:t>declaration item</w:t>
      </w:r>
      <w:r>
        <w:t>, for every regime, from November 2012. Key columns: the declaration (</w:t>
      </w:r>
      <w:r>
        <w:rPr>
          <w:rFonts w:ascii="Consolas" w:hAnsi="Consolas"/>
        </w:rPr>
        <w:t>instance_id</w:t>
      </w:r>
      <w:r>
        <w:t>) and item number, the date (</w:t>
      </w:r>
      <w:r>
        <w:rPr>
          <w:rFonts w:ascii="Consolas" w:hAnsi="Consolas"/>
        </w:rPr>
        <w:t>assessment_dt_wid</w:t>
      </w:r>
      <w:r>
        <w:t>, as YYYYMMDD text), the taxpayer TIN, original and final tax, the top-up flag and amount, the amendment flag, the lane flags, the regime, station, HS code, CPC, origin, weights and the customs value.</w:t>
      </w:r>
    </w:p>
    <w:p>
      <w:pPr>
        <w:pStyle w:val="Heading2"/>
      </w:pPr>
      <w:r>
        <w:t>2.2 What the Query Does, Step by Step</w:t>
      </w:r>
    </w:p>
    <w:p>
      <w:pPr>
        <w:spacing w:after="120"/>
      </w:pPr>
      <w:r>
        <w:t xml:space="preserve">The query lives in </w:t>
      </w:r>
      <w:r>
        <w:rPr>
          <w:rFonts w:ascii="Consolas" w:hAnsi="Consolas"/>
        </w:rPr>
        <w:t>src/ctrp/sql/features_outcomes.sql</w:t>
      </w:r>
      <w:r>
        <w:t xml:space="preserve">. </w:t>
      </w:r>
      <w:r>
        <w:rPr>
          <w:rFonts w:ascii="Consolas" w:hAnsi="Consolas"/>
        </w:rPr>
        <w:t>python main.py sql</w:t>
      </w:r>
      <w:r>
        <w:t xml:space="preserve"> fills in the dates and writes one ready-to-run copy per snapshot into </w:t>
      </w:r>
      <w:r>
        <w:rPr>
          <w:rFonts w:ascii="Consolas" w:hAnsi="Consolas"/>
        </w:rPr>
        <w:t>sql/</w:t>
      </w:r>
      <w:r>
        <w:t>. Each copy is a chain of small steps (called CTEs); each step reads the one before. In plain words:</w:t>
      </w:r>
    </w:p>
    <w:p>
      <w:pPr>
        <w:pStyle w:val="ListParagraph"/>
        <w:numPr>
          <w:ilvl w:val="0"/>
          <w:numId w:val="901"/>
        </w:numPr>
        <w:spacing w:after="60"/>
      </w:pPr>
      <w:r>
        <w:rPr>
          <w:b/>
        </w:rPr>
        <w:t>p</w:t>
      </w:r>
      <w:r>
        <w:t>: the snapshot date.</w:t>
      </w:r>
    </w:p>
    <w:p>
      <w:pPr>
        <w:pStyle w:val="ListParagraph"/>
        <w:numPr>
          <w:ilvl w:val="0"/>
          <w:numId w:val="901"/>
        </w:numPr>
        <w:spacing w:after="60"/>
      </w:pPr>
      <w:r>
        <w:rPr>
          <w:b/>
        </w:rPr>
        <w:t>raw</w:t>
      </w:r>
      <w:r>
        <w:t>: keep IM4 and IM7 rows in the window, with a valid TIN, not cancelled, not APC 483; number each copy of an item.</w:t>
      </w:r>
    </w:p>
    <w:p>
      <w:pPr>
        <w:pStyle w:val="ListParagraph"/>
        <w:numPr>
          <w:ilvl w:val="0"/>
          <w:numId w:val="901"/>
        </w:numPr>
        <w:spacing w:after="60"/>
      </w:pPr>
      <w:r>
        <w:rPr>
          <w:b/>
        </w:rPr>
        <w:t>items</w:t>
      </w:r>
      <w:r>
        <w:t>: keep only the first copy of each item (the view repeats some items hundreds of times).</w:t>
      </w:r>
    </w:p>
    <w:p>
      <w:pPr>
        <w:pStyle w:val="ListParagraph"/>
        <w:numPr>
          <w:ilvl w:val="0"/>
          <w:numId w:val="901"/>
        </w:numPr>
        <w:spacing w:after="60"/>
      </w:pPr>
      <w:r>
        <w:rPr>
          <w:b/>
        </w:rPr>
        <w:t>decl_all, decl</w:t>
      </w:r>
      <w:r>
        <w:t>: one row per declaration: its tax, whether it was topped up, by how much, its lane.</w:t>
      </w:r>
    </w:p>
    <w:p>
      <w:pPr>
        <w:pStyle w:val="ListParagraph"/>
        <w:numPr>
          <w:ilvl w:val="0"/>
          <w:numId w:val="901"/>
        </w:numPr>
        <w:spacing w:after="60"/>
      </w:pPr>
      <w:r>
        <w:rPr>
          <w:b/>
        </w:rPr>
        <w:t>hist and fut</w:t>
      </w:r>
      <w:r>
        <w:t>: split declarations into the 24-month history (features) and the 6 months after (outcomes).</w:t>
      </w:r>
    </w:p>
    <w:p>
      <w:pPr>
        <w:pStyle w:val="ListParagraph"/>
        <w:numPr>
          <w:ilvl w:val="0"/>
          <w:numId w:val="901"/>
        </w:numPr>
        <w:spacing w:after="60"/>
      </w:pPr>
      <w:r>
        <w:rPr>
          <w:b/>
        </w:rPr>
        <w:t>tp</w:t>
      </w:r>
      <w:r>
        <w:t>: one row per taxpayer with every rate the scorecard uses (share topped up, amended, severe top-ups, and so on).</w:t>
      </w:r>
    </w:p>
    <w:p>
      <w:pPr>
        <w:pStyle w:val="ListParagraph"/>
        <w:numPr>
          <w:ilvl w:val="0"/>
          <w:numId w:val="901"/>
        </w:numPr>
        <w:spacing w:after="60"/>
      </w:pPr>
      <w:r>
        <w:rPr>
          <w:b/>
        </w:rPr>
        <w:t>struct and dom</w:t>
      </w:r>
      <w:r>
        <w:t>: how each taxpayer trades: number of HS headings, origins, CPCs, stations, items per declaration, main HS chapter.</w:t>
      </w:r>
    </w:p>
    <w:p>
      <w:pPr>
        <w:pStyle w:val="ListParagraph"/>
        <w:numPr>
          <w:ilvl w:val="0"/>
          <w:numId w:val="901"/>
        </w:numPr>
        <w:spacing w:after="60"/>
      </w:pPr>
      <w:r>
        <w:rPr>
          <w:b/>
        </w:rPr>
        <w:t>bench, val, v76</w:t>
      </w:r>
      <w:r>
        <w:t>: price checks: each item's price per kg against the median for its HS code, to measure value below benchmark (PAR_076).</w:t>
      </w:r>
    </w:p>
    <w:p>
      <w:pPr>
        <w:pStyle w:val="ListParagraph"/>
        <w:numPr>
          <w:ilvl w:val="0"/>
          <w:numId w:val="901"/>
        </w:numPr>
        <w:spacing w:after="60"/>
      </w:pPr>
      <w:r>
        <w:rPr>
          <w:b/>
        </w:rPr>
        <w:t>outc</w:t>
      </w:r>
      <w:r>
        <w:t>: what happened next: checked declarations and hits in the 6 months after.</w:t>
      </w:r>
    </w:p>
    <w:p>
      <w:pPr>
        <w:pStyle w:val="ListParagraph"/>
        <w:numPr>
          <w:ilvl w:val="0"/>
          <w:numId w:val="901"/>
        </w:numPr>
        <w:spacing w:after="60"/>
      </w:pPr>
      <w:r>
        <w:rPr>
          <w:b/>
        </w:rPr>
        <w:t>final SELECT</w:t>
      </w:r>
      <w:r>
        <w:t>: joins everything into one row per taxpayer: about 42 columns now, 57 in version 2.</w:t>
      </w:r>
    </w:p>
    <w:p>
      <w:pPr>
        <w:pStyle w:val="Heading2"/>
      </w:pPr>
      <w:r>
        <w:t>2.3 Why Each Cleaning Rule Exists</w:t>
      </w:r>
    </w:p>
    <w:p>
      <w:pPr>
        <w:spacing w:after="120"/>
      </w:pPr>
      <w:r>
        <w:t>Every rule answers a problem found in the Stage 1 checks (</w:t>
      </w:r>
      <w:r>
        <w:rPr>
          <w:rFonts w:ascii="Consolas" w:hAnsi="Consolas"/>
        </w:rPr>
        <w:t>00_eda_cleaning.sql</w:t>
      </w:r>
      <w:r>
        <w:t>). If you remember the problem, you remember the rule.</w:t>
      </w:r>
    </w:p>
    <w:p>
      <w:pPr>
        <w:pStyle w:val="Caption"/>
      </w:pPr>
      <w:r>
        <w:t xml:space="preserve">Table </w:t>
      </w:r>
      <w:r>
        <w:fldChar w:fldCharType="begin"/>
      </w:r>
      <w:r>
        <w:instrText xml:space="preserve"> SEQ Table \* ARABIC </w:instrText>
      </w:r>
      <w:r>
        <w:fldChar w:fldCharType="separate"/>
      </w:r>
      <w:r>
        <w:t>8</w:t>
      </w:r>
      <w:r>
        <w:fldChar w:fldCharType="end"/>
      </w:r>
      <w:r>
        <w:t>: Cleaning Rules Explained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Rule</w:t>
            </w:r>
          </w:p>
        </w:tc>
        <w:tc>
          <w:tcPr>
            <w:tcW w:type="dxa" w:w="6883"/>
            <w:shd w:val="clear" w:color="auto" w:fill="D9E2F3"/>
          </w:tcPr>
          <w:p>
            <w:pPr>
              <w:spacing w:after="20" w:before="20" w:line="240" w:lineRule="auto"/>
            </w:pPr>
            <w:r/>
            <w:r>
              <w:rPr>
                <w:b/>
                <w:sz w:val="18"/>
              </w:rPr>
              <w:t>The problem it fixes</w:t>
            </w:r>
          </w:p>
        </w:tc>
      </w:tr>
      <w:tr>
        <w:tc>
          <w:tcPr>
            <w:tcW w:type="dxa" w:w="2868"/>
          </w:tcPr>
          <w:p>
            <w:pPr>
              <w:spacing w:after="20" w:before="20" w:line="240" w:lineRule="auto"/>
            </w:pPr>
            <w:r/>
            <w:r>
              <w:rPr>
                <w:sz w:val="18"/>
              </w:rPr>
              <w:t>IM4 and IM7 only</w:t>
            </w:r>
          </w:p>
        </w:tc>
        <w:tc>
          <w:tcPr>
            <w:tcW w:type="dxa" w:w="6883"/>
          </w:tcPr>
          <w:p>
            <w:pPr>
              <w:spacing w:after="20" w:before="20" w:line="240" w:lineRule="auto"/>
            </w:pPr>
            <w:r/>
            <w:r>
              <w:rPr>
                <w:sz w:val="18"/>
              </w:rPr>
              <w:t>Other regimes (transit, export, re-export) hold guarantees or suspended duty, not duty paid. A "top-up" there means something else.</w:t>
            </w:r>
          </w:p>
        </w:tc>
      </w:tr>
      <w:tr>
        <w:tc>
          <w:tcPr>
            <w:tcW w:type="dxa" w:w="2868"/>
          </w:tcPr>
          <w:p>
            <w:pPr>
              <w:spacing w:after="20" w:before="20" w:line="240" w:lineRule="auto"/>
            </w:pPr>
            <w:r/>
            <w:r>
              <w:rPr>
                <w:sz w:val="18"/>
              </w:rPr>
              <w:t>One row per item</w:t>
            </w:r>
          </w:p>
        </w:tc>
        <w:tc>
          <w:tcPr>
            <w:tcW w:type="dxa" w:w="6883"/>
          </w:tcPr>
          <w:p>
            <w:pPr>
              <w:spacing w:after="20" w:before="20" w:line="240" w:lineRule="auto"/>
            </w:pPr>
            <w:r/>
            <w:r>
              <w:rPr>
                <w:sz w:val="18"/>
              </w:rPr>
              <w:t>14,215 items were stored more than once, adding 1.48 million identical rows. Counting them would multiply some taxpayers' numbers.</w:t>
            </w:r>
          </w:p>
        </w:tc>
      </w:tr>
      <w:tr>
        <w:tc>
          <w:tcPr>
            <w:tcW w:type="dxa" w:w="2868"/>
          </w:tcPr>
          <w:p>
            <w:pPr>
              <w:spacing w:after="20" w:before="20" w:line="240" w:lineRule="auto"/>
            </w:pPr>
            <w:r/>
            <w:r>
              <w:rPr>
                <w:sz w:val="18"/>
              </w:rPr>
              <w:t>Tax once per declaration</w:t>
            </w:r>
          </w:p>
        </w:tc>
        <w:tc>
          <w:tcPr>
            <w:tcW w:type="dxa" w:w="6883"/>
          </w:tcPr>
          <w:p>
            <w:pPr>
              <w:spacing w:after="20" w:before="20" w:line="240" w:lineRule="auto"/>
            </w:pPr>
            <w:r/>
            <w:r>
              <w:rPr>
                <w:sz w:val="18"/>
              </w:rPr>
              <w:t>The tax is repeated on every item row. Adding it per item would count a declaration's tax several times.</w:t>
            </w:r>
          </w:p>
        </w:tc>
      </w:tr>
      <w:tr>
        <w:tc>
          <w:tcPr>
            <w:tcW w:type="dxa" w:w="2868"/>
          </w:tcPr>
          <w:p>
            <w:pPr>
              <w:spacing w:after="20" w:before="20" w:line="240" w:lineRule="auto"/>
            </w:pPr>
            <w:r/>
            <w:r>
              <w:rPr>
                <w:sz w:val="18"/>
              </w:rPr>
              <w:t>Top-up = flag Y and final above original</w:t>
            </w:r>
          </w:p>
        </w:tc>
        <w:tc>
          <w:tcPr>
            <w:tcW w:type="dxa" w:w="6883"/>
          </w:tcPr>
          <w:p>
            <w:pPr>
              <w:spacing w:after="20" w:before="20" w:line="240" w:lineRule="auto"/>
            </w:pPr>
            <w:r/>
            <w:r>
              <w:rPr>
                <w:sz w:val="18"/>
              </w:rPr>
              <w:t xml:space="preserve">On unflagged declarations, </w:t>
            </w:r>
            <w:r>
              <w:rPr>
                <w:rFonts w:ascii="Consolas" w:hAnsi="Consolas"/>
                <w:sz w:val="18"/>
              </w:rPr>
              <w:t>top_up_amt</w:t>
            </w:r>
            <w:r>
              <w:rPr>
                <w:sz w:val="18"/>
              </w:rPr>
              <w:t xml:space="preserve"> holds the FINAL tax, not a top-up (99.8% of the time). Reading it as a top-up would invent billions of shillings.</w:t>
            </w:r>
          </w:p>
        </w:tc>
      </w:tr>
      <w:tr>
        <w:tc>
          <w:tcPr>
            <w:tcW w:type="dxa" w:w="2868"/>
          </w:tcPr>
          <w:p>
            <w:pPr>
              <w:spacing w:after="20" w:before="20" w:line="240" w:lineRule="auto"/>
            </w:pPr>
            <w:r/>
            <w:r>
              <w:rPr>
                <w:sz w:val="18"/>
              </w:rPr>
              <w:t>Blank original tax = final tax</w:t>
            </w:r>
          </w:p>
        </w:tc>
        <w:tc>
          <w:tcPr>
            <w:tcW w:type="dxa" w:w="6883"/>
          </w:tcPr>
          <w:p>
            <w:pPr>
              <w:spacing w:after="20" w:before="20" w:line="240" w:lineRule="auto"/>
            </w:pPr>
            <w:r/>
            <w:r>
              <w:rPr>
                <w:sz w:val="18"/>
              </w:rPr>
              <w:t>Blank means the tax never changed.</w:t>
            </w:r>
          </w:p>
        </w:tc>
      </w:tr>
      <w:tr>
        <w:tc>
          <w:tcPr>
            <w:tcW w:type="dxa" w:w="2868"/>
          </w:tcPr>
          <w:p>
            <w:pPr>
              <w:spacing w:after="20" w:before="20" w:line="240" w:lineRule="auto"/>
            </w:pPr>
            <w:r/>
            <w:r>
              <w:rPr>
                <w:sz w:val="18"/>
              </w:rPr>
              <w:t>Valid 10-digit TIN</w:t>
            </w:r>
          </w:p>
        </w:tc>
        <w:tc>
          <w:tcPr>
            <w:tcW w:type="dxa" w:w="6883"/>
          </w:tcPr>
          <w:p>
            <w:pPr>
              <w:spacing w:after="20" w:before="20" w:line="240" w:lineRule="auto"/>
            </w:pPr>
            <w:r/>
            <w:r>
              <w:rPr>
                <w:sz w:val="18"/>
              </w:rPr>
              <w:t>All real TINs have 10 digits. The 479,719 declarations with no TIN are all in regimes we do not use.</w:t>
            </w:r>
          </w:p>
        </w:tc>
      </w:tr>
      <w:tr>
        <w:tc>
          <w:tcPr>
            <w:tcW w:type="dxa" w:w="2868"/>
          </w:tcPr>
          <w:p>
            <w:pPr>
              <w:spacing w:after="20" w:before="20" w:line="240" w:lineRule="auto"/>
            </w:pPr>
            <w:r/>
            <w:r>
              <w:rPr>
                <w:sz w:val="18"/>
              </w:rPr>
              <w:t>Prices judged within HS code</w:t>
            </w:r>
          </w:p>
        </w:tc>
        <w:tc>
          <w:tcPr>
            <w:tcW w:type="dxa" w:w="6883"/>
          </w:tcPr>
          <w:p>
            <w:pPr>
              <w:spacing w:after="20" w:before="20" w:line="240" w:lineRule="auto"/>
            </w:pPr>
            <w:r/>
            <w:r>
              <w:rPr>
                <w:sz w:val="18"/>
              </w:rPr>
              <w:t>A kilogram costs UGX 69 for some goods and UGX 17 million for others. Only same-code comparisons are fair.</w:t>
            </w:r>
          </w:p>
        </w:tc>
      </w:tr>
      <w:tr>
        <w:tc>
          <w:tcPr>
            <w:tcW w:type="dxa" w:w="2868"/>
          </w:tcPr>
          <w:p>
            <w:pPr>
              <w:spacing w:after="20" w:before="20" w:line="240" w:lineRule="auto"/>
            </w:pPr>
            <w:r/>
            <w:r>
              <w:rPr>
                <w:sz w:val="18"/>
              </w:rPr>
              <w:t>APC 483 out</w:t>
            </w:r>
          </w:p>
        </w:tc>
        <w:tc>
          <w:tcPr>
            <w:tcW w:type="dxa" w:w="6883"/>
          </w:tcPr>
          <w:p>
            <w:pPr>
              <w:spacing w:after="20" w:before="20" w:line="240" w:lineRule="auto"/>
            </w:pPr>
            <w:r/>
            <w:r>
              <w:rPr>
                <w:sz w:val="18"/>
              </w:rPr>
              <w:t>These are destroyed or abandoned goods and dummy reconciliation entries, not real trade.</w:t>
            </w:r>
          </w:p>
        </w:tc>
      </w:tr>
    </w:tbl>
    <w:p>
      <w:pPr>
        <w:spacing w:after="40"/>
      </w:pPr>
    </w:p>
    <w:p>
      <w:pPr>
        <w:keepNext/>
        <w:jc w:val="center"/>
      </w:pPr>
      <w:r>
        <w:drawing>
          <wp:inline xmlns:a="http://schemas.openxmlformats.org/drawingml/2006/main" xmlns:pic="http://schemas.openxmlformats.org/drawingml/2006/picture">
            <wp:extent cx="5940000" cy="1699261"/>
            <wp:docPr id="2" name="Picture 2"/>
            <wp:cNvGraphicFramePr>
              <a:graphicFrameLocks noChangeAspect="1"/>
            </wp:cNvGraphicFramePr>
            <a:graphic>
              <a:graphicData uri="http://schemas.openxmlformats.org/drawingml/2006/picture">
                <pic:pic>
                  <pic:nvPicPr>
                    <pic:cNvPr id="0" name="chart_03.png"/>
                    <pic:cNvPicPr/>
                  </pic:nvPicPr>
                  <pic:blipFill>
                    <a:blip r:embed="rId27"/>
                    <a:stretch>
                      <a:fillRect/>
                    </a:stretch>
                  </pic:blipFill>
                  <pic:spPr>
                    <a:xfrm>
                      <a:off x="0" y="0"/>
                      <a:ext cx="5940000" cy="1699261"/>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The three data problems: repeated items, missing TINs, and what the top-up column really holds</w:t>
      </w:r>
    </w:p>
    <w:p>
      <w:pPr>
        <w:pStyle w:val="Heading2"/>
      </w:pPr>
      <w:r>
        <w:t>2.4 Snapshots and Windows: Never Peek at the Future</w:t>
      </w:r>
    </w:p>
    <w:p>
      <w:pPr>
        <w:spacing w:after="120"/>
      </w:pPr>
      <w:r>
        <w:t>To test a model honestly, we pretend to stand at a past date, score everyone using only what was known then, and then look at what happened in the next 6 months. That is a back-test. We do it six times, six months apart.</w:t>
      </w:r>
    </w:p>
    <w:p>
      <w:pPr>
        <w:pStyle w:val="Caption"/>
      </w:pPr>
      <w:r>
        <w:t xml:space="preserve">Table </w:t>
      </w:r>
      <w:r>
        <w:fldChar w:fldCharType="begin"/>
      </w:r>
      <w:r>
        <w:instrText xml:space="preserve"> SEQ Table \* ARABIC </w:instrText>
      </w:r>
      <w:r>
        <w:fldChar w:fldCharType="separate"/>
      </w:r>
      <w:r>
        <w:t>9</w:t>
      </w:r>
      <w:r>
        <w:fldChar w:fldCharType="end"/>
      </w:r>
      <w:r>
        <w:t>: The Back-test Timeline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868"/>
            <w:shd w:val="clear" w:color="auto" w:fill="D9E2F3"/>
          </w:tcPr>
          <w:p>
            <w:pPr>
              <w:spacing w:after="20" w:before="20" w:line="240" w:lineRule="auto"/>
            </w:pPr>
            <w:r/>
            <w:r>
              <w:rPr>
                <w:b/>
                <w:sz w:val="18"/>
              </w:rPr>
              <w:t>Snapshot (score "as at")</w:t>
            </w:r>
          </w:p>
        </w:tc>
        <w:tc>
          <w:tcPr>
            <w:tcW w:type="dxa" w:w="3442"/>
            <w:shd w:val="clear" w:color="auto" w:fill="D9E2F3"/>
          </w:tcPr>
          <w:p>
            <w:pPr>
              <w:spacing w:after="20" w:before="20" w:line="240" w:lineRule="auto"/>
            </w:pPr>
            <w:r/>
            <w:r>
              <w:rPr>
                <w:b/>
                <w:sz w:val="18"/>
              </w:rPr>
              <w:t>History used for features</w:t>
            </w:r>
          </w:p>
        </w:tc>
        <w:tc>
          <w:tcPr>
            <w:tcW w:type="dxa" w:w="3442"/>
            <w:shd w:val="clear" w:color="auto" w:fill="D9E2F3"/>
          </w:tcPr>
          <w:p>
            <w:pPr>
              <w:spacing w:after="20" w:before="20" w:line="240" w:lineRule="auto"/>
            </w:pPr>
            <w:r/>
            <w:r>
              <w:rPr>
                <w:b/>
                <w:sz w:val="18"/>
              </w:rPr>
              <w:t>Outcomes checked</w:t>
            </w:r>
          </w:p>
        </w:tc>
      </w:tr>
      <w:tr>
        <w:tc>
          <w:tcPr>
            <w:tcW w:type="dxa" w:w="2868"/>
          </w:tcPr>
          <w:p>
            <w:pPr>
              <w:spacing w:after="20" w:before="20" w:line="240" w:lineRule="auto"/>
            </w:pPr>
            <w:r/>
            <w:r>
              <w:rPr>
                <w:sz w:val="18"/>
              </w:rPr>
              <w:t>30 Sep 2023</w:t>
            </w:r>
          </w:p>
        </w:tc>
        <w:tc>
          <w:tcPr>
            <w:tcW w:type="dxa" w:w="3442"/>
          </w:tcPr>
          <w:p>
            <w:pPr>
              <w:spacing w:after="20" w:before="20" w:line="240" w:lineRule="auto"/>
            </w:pPr>
            <w:r/>
            <w:r>
              <w:rPr>
                <w:sz w:val="18"/>
              </w:rPr>
              <w:t>Oct 2021 to Sep 2023</w:t>
            </w:r>
          </w:p>
        </w:tc>
        <w:tc>
          <w:tcPr>
            <w:tcW w:type="dxa" w:w="3442"/>
          </w:tcPr>
          <w:p>
            <w:pPr>
              <w:spacing w:after="20" w:before="20" w:line="240" w:lineRule="auto"/>
            </w:pPr>
            <w:r/>
            <w:r>
              <w:rPr>
                <w:sz w:val="18"/>
              </w:rPr>
              <w:t>Oct 2023 to Mar 2024</w:t>
            </w:r>
          </w:p>
        </w:tc>
      </w:tr>
      <w:tr>
        <w:tc>
          <w:tcPr>
            <w:tcW w:type="dxa" w:w="2868"/>
          </w:tcPr>
          <w:p>
            <w:pPr>
              <w:spacing w:after="20" w:before="20" w:line="240" w:lineRule="auto"/>
            </w:pPr>
            <w:r/>
            <w:r>
              <w:rPr>
                <w:sz w:val="18"/>
              </w:rPr>
              <w:t>31 Mar 2024</w:t>
            </w:r>
          </w:p>
        </w:tc>
        <w:tc>
          <w:tcPr>
            <w:tcW w:type="dxa" w:w="3442"/>
          </w:tcPr>
          <w:p>
            <w:pPr>
              <w:spacing w:after="20" w:before="20" w:line="240" w:lineRule="auto"/>
            </w:pPr>
            <w:r/>
            <w:r>
              <w:rPr>
                <w:sz w:val="18"/>
              </w:rPr>
              <w:t>Apr 2022 to Mar 2024</w:t>
            </w:r>
          </w:p>
        </w:tc>
        <w:tc>
          <w:tcPr>
            <w:tcW w:type="dxa" w:w="3442"/>
          </w:tcPr>
          <w:p>
            <w:pPr>
              <w:spacing w:after="20" w:before="20" w:line="240" w:lineRule="auto"/>
            </w:pPr>
            <w:r/>
            <w:r>
              <w:rPr>
                <w:sz w:val="18"/>
              </w:rPr>
              <w:t>Apr 2024 to Sep 2024</w:t>
            </w:r>
          </w:p>
        </w:tc>
      </w:tr>
      <w:tr>
        <w:tc>
          <w:tcPr>
            <w:tcW w:type="dxa" w:w="2868"/>
          </w:tcPr>
          <w:p>
            <w:pPr>
              <w:spacing w:after="20" w:before="20" w:line="240" w:lineRule="auto"/>
            </w:pPr>
            <w:r/>
            <w:r>
              <w:rPr>
                <w:sz w:val="18"/>
              </w:rPr>
              <w:t>30 Sep 2024</w:t>
            </w:r>
          </w:p>
        </w:tc>
        <w:tc>
          <w:tcPr>
            <w:tcW w:type="dxa" w:w="3442"/>
          </w:tcPr>
          <w:p>
            <w:pPr>
              <w:spacing w:after="20" w:before="20" w:line="240" w:lineRule="auto"/>
            </w:pPr>
            <w:r/>
            <w:r>
              <w:rPr>
                <w:sz w:val="18"/>
              </w:rPr>
              <w:t>Oct 2022 to Sep 2024</w:t>
            </w:r>
          </w:p>
        </w:tc>
        <w:tc>
          <w:tcPr>
            <w:tcW w:type="dxa" w:w="3442"/>
          </w:tcPr>
          <w:p>
            <w:pPr>
              <w:spacing w:after="20" w:before="20" w:line="240" w:lineRule="auto"/>
            </w:pPr>
            <w:r/>
            <w:r>
              <w:rPr>
                <w:sz w:val="18"/>
              </w:rPr>
              <w:t>Oct 2024 to Mar 2025</w:t>
            </w:r>
          </w:p>
        </w:tc>
      </w:tr>
      <w:tr>
        <w:tc>
          <w:tcPr>
            <w:tcW w:type="dxa" w:w="2868"/>
          </w:tcPr>
          <w:p>
            <w:pPr>
              <w:spacing w:after="20" w:before="20" w:line="240" w:lineRule="auto"/>
            </w:pPr>
            <w:r/>
            <w:r>
              <w:rPr>
                <w:sz w:val="18"/>
              </w:rPr>
              <w:t>31 Mar 2025</w:t>
            </w:r>
          </w:p>
        </w:tc>
        <w:tc>
          <w:tcPr>
            <w:tcW w:type="dxa" w:w="3442"/>
          </w:tcPr>
          <w:p>
            <w:pPr>
              <w:spacing w:after="20" w:before="20" w:line="240" w:lineRule="auto"/>
            </w:pPr>
            <w:r/>
            <w:r>
              <w:rPr>
                <w:sz w:val="18"/>
              </w:rPr>
              <w:t>Apr 2023 to Mar 2025</w:t>
            </w:r>
          </w:p>
        </w:tc>
        <w:tc>
          <w:tcPr>
            <w:tcW w:type="dxa" w:w="3442"/>
          </w:tcPr>
          <w:p>
            <w:pPr>
              <w:spacing w:after="20" w:before="20" w:line="240" w:lineRule="auto"/>
            </w:pPr>
            <w:r/>
            <w:r>
              <w:rPr>
                <w:sz w:val="18"/>
              </w:rPr>
              <w:t>Apr 2025 to Sep 2025</w:t>
            </w:r>
          </w:p>
        </w:tc>
      </w:tr>
      <w:tr>
        <w:tc>
          <w:tcPr>
            <w:tcW w:type="dxa" w:w="2868"/>
          </w:tcPr>
          <w:p>
            <w:pPr>
              <w:spacing w:after="20" w:before="20" w:line="240" w:lineRule="auto"/>
            </w:pPr>
            <w:r/>
            <w:r>
              <w:rPr>
                <w:sz w:val="18"/>
              </w:rPr>
              <w:t>30 Sep 2025</w:t>
            </w:r>
          </w:p>
        </w:tc>
        <w:tc>
          <w:tcPr>
            <w:tcW w:type="dxa" w:w="3442"/>
          </w:tcPr>
          <w:p>
            <w:pPr>
              <w:spacing w:after="20" w:before="20" w:line="240" w:lineRule="auto"/>
            </w:pPr>
            <w:r/>
            <w:r>
              <w:rPr>
                <w:sz w:val="18"/>
              </w:rPr>
              <w:t>Oct 2023 to Sep 2025</w:t>
            </w:r>
          </w:p>
        </w:tc>
        <w:tc>
          <w:tcPr>
            <w:tcW w:type="dxa" w:w="3442"/>
          </w:tcPr>
          <w:p>
            <w:pPr>
              <w:spacing w:after="20" w:before="20" w:line="240" w:lineRule="auto"/>
            </w:pPr>
            <w:r/>
            <w:r>
              <w:rPr>
                <w:sz w:val="18"/>
              </w:rPr>
              <w:t>Oct 2025 to Mar 2026</w:t>
            </w:r>
          </w:p>
        </w:tc>
      </w:tr>
      <w:tr>
        <w:tc>
          <w:tcPr>
            <w:tcW w:type="dxa" w:w="2868"/>
          </w:tcPr>
          <w:p>
            <w:pPr>
              <w:spacing w:after="20" w:before="20" w:line="240" w:lineRule="auto"/>
            </w:pPr>
            <w:r/>
            <w:r>
              <w:rPr>
                <w:sz w:val="18"/>
              </w:rPr>
              <w:t>31 Mar 2026</w:t>
            </w:r>
          </w:p>
        </w:tc>
        <w:tc>
          <w:tcPr>
            <w:tcW w:type="dxa" w:w="3442"/>
          </w:tcPr>
          <w:p>
            <w:pPr>
              <w:spacing w:after="20" w:before="20" w:line="240" w:lineRule="auto"/>
            </w:pPr>
            <w:r/>
            <w:r>
              <w:rPr>
                <w:sz w:val="18"/>
              </w:rPr>
              <w:t>Apr 2024 to Mar 2026</w:t>
            </w:r>
          </w:p>
        </w:tc>
        <w:tc>
          <w:tcPr>
            <w:tcW w:type="dxa" w:w="3442"/>
          </w:tcPr>
          <w:p>
            <w:pPr>
              <w:spacing w:after="20" w:before="20" w:line="240" w:lineRule="auto"/>
            </w:pPr>
            <w:r/>
            <w:r>
              <w:rPr>
                <w:sz w:val="18"/>
              </w:rPr>
              <w:t>Apr 2026 to Sep 2026</w:t>
            </w:r>
          </w:p>
        </w:tc>
      </w:tr>
      <w:tr>
        <w:tc>
          <w:tcPr>
            <w:tcW w:type="dxa" w:w="2868"/>
          </w:tcPr>
          <w:p>
            <w:pPr>
              <w:spacing w:after="20" w:before="20" w:line="240" w:lineRule="auto"/>
            </w:pPr>
            <w:r/>
            <w:r>
              <w:rPr>
                <w:sz w:val="18"/>
              </w:rPr>
              <w:t>30 Sep 2026 (live)</w:t>
            </w:r>
          </w:p>
        </w:tc>
        <w:tc>
          <w:tcPr>
            <w:tcW w:type="dxa" w:w="3442"/>
          </w:tcPr>
          <w:p>
            <w:pPr>
              <w:spacing w:after="20" w:before="20" w:line="240" w:lineRule="auto"/>
            </w:pPr>
            <w:r/>
            <w:r>
              <w:rPr>
                <w:sz w:val="18"/>
              </w:rPr>
              <w:t>Oct 2024 to Sep 2026</w:t>
            </w:r>
          </w:p>
        </w:tc>
        <w:tc>
          <w:tcPr>
            <w:tcW w:type="dxa" w:w="3442"/>
          </w:tcPr>
          <w:p>
            <w:pPr>
              <w:spacing w:after="20" w:before="20" w:line="240" w:lineRule="auto"/>
            </w:pPr>
            <w:r/>
            <w:r>
              <w:rPr>
                <w:sz w:val="18"/>
              </w:rPr>
              <w:t>Not yet happened</w:t>
            </w:r>
          </w:p>
        </w:tc>
      </w:tr>
    </w:tbl>
    <w:p>
      <w:pPr>
        <w:spacing w:after="40"/>
      </w:pP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In plain words</w:t>
            </w:r>
          </w:p>
          <w:p>
            <w:pPr>
              <w:spacing w:after="60"/>
            </w:pPr>
            <w:r>
              <w:rPr>
                <w:sz w:val="20"/>
              </w:rPr>
              <w:t>It is like checking a weather forecast: you only believe a forecaster whose predictions, written down BEFORE the day, turned out right. If the model could see the outcome window, it would be copying the answers, and its results would mean nothing.</w:t>
            </w:r>
          </w:p>
        </w:tc>
      </w:tr>
    </w:tbl>
    <w:p>
      <w:pPr>
        <w:spacing w:after="40"/>
      </w:pPr>
    </w:p>
    <w:p>
      <w:pPr>
        <w:pStyle w:val="Heading2"/>
      </w:pPr>
      <w:r>
        <w:t>2.5 Checking Each Download</w:t>
      </w:r>
    </w:p>
    <w:p>
      <w:pPr>
        <w:spacing w:after="120"/>
      </w:pPr>
      <w:r>
        <w:rPr>
          <w:rFonts w:ascii="Consolas" w:hAnsi="Consolas"/>
        </w:rPr>
        <w:t>python main.py check</w:t>
      </w:r>
      <w:r>
        <w:t xml:space="preserve"> runs simple tests on every CSV before it is used: one row per TIN, TINs are 10 digits, one snapshot date, rates between 0 and 1, no negative amounts, hits never above checks, and the row count is not a round number (a round number like 100,000 usually means Hue cut the download short). Any line marked CHECK must be looked at before modelling.</w:t>
      </w:r>
    </w:p>
    <w:p>
      <w:r>
        <w:br w:type="page"/>
      </w:r>
    </w:p>
    <w:p/>
    <w:p/>
    <w:p/>
    <w:p/>
    <w:p/>
    <w:p/>
    <w:p>
      <w:pPr>
        <w:pStyle w:val="Heading1"/>
      </w:pPr>
      <w:r>
        <w:t>PART 3: HOW A SCORE IS MADE</w:t>
      </w:r>
    </w:p>
    <w:p>
      <w:pPr>
        <w:spacing w:after="120"/>
      </w:pPr>
      <w:r>
        <w:t>Every step from the taxpayer's row to their score, band and reasons, worked through with one made-up taxpayer whose numbers were computed by the real model code.</w:t>
      </w:r>
    </w:p>
    <w:p>
      <w:r>
        <w:br w:type="page"/>
      </w:r>
    </w:p>
    <w:p>
      <w:pPr>
        <w:pStyle w:val="Heading2"/>
      </w:pPr>
      <w:r>
        <w:t>3.1 The Example Taxpayer</w:t>
      </w:r>
    </w:p>
    <w:p>
      <w:pPr>
        <w:spacing w:after="120"/>
      </w:pPr>
      <w:r>
        <w:t>A made-up textile importer, scored as at 31 March 2026 alongside the real population:</w:t>
      </w:r>
    </w:p>
    <w:p>
      <w:pPr>
        <w:pStyle w:val="Caption"/>
      </w:pPr>
      <w:r>
        <w:t xml:space="preserve">Table </w:t>
      </w:r>
      <w:r>
        <w:fldChar w:fldCharType="begin"/>
      </w:r>
      <w:r>
        <w:instrText xml:space="preserve"> SEQ Table \* ARABIC </w:instrText>
      </w:r>
      <w:r>
        <w:fldChar w:fldCharType="separate"/>
      </w:r>
      <w:r>
        <w:t>10</w:t>
      </w:r>
      <w:r>
        <w:fldChar w:fldCharType="end"/>
      </w:r>
      <w:r>
        <w:t>: The Example Taxpayer's History (24 months)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5162"/>
            <w:shd w:val="clear" w:color="auto" w:fill="D9E2F3"/>
          </w:tcPr>
          <w:p>
            <w:pPr>
              <w:spacing w:after="20" w:before="20" w:line="240" w:lineRule="auto"/>
            </w:pPr>
            <w:r/>
            <w:r>
              <w:rPr>
                <w:b/>
                <w:sz w:val="18"/>
              </w:rPr>
              <w:t>Measure</w:t>
            </w:r>
          </w:p>
        </w:tc>
        <w:tc>
          <w:tcPr>
            <w:tcW w:type="dxa" w:w="4589"/>
            <w:shd w:val="clear" w:color="auto" w:fill="D9E2F3"/>
          </w:tcPr>
          <w:p>
            <w:pPr>
              <w:spacing w:after="20" w:before="20" w:line="240" w:lineRule="auto"/>
            </w:pPr>
            <w:r/>
            <w:r>
              <w:rPr>
                <w:b/>
                <w:sz w:val="18"/>
              </w:rPr>
              <w:t>Value</w:t>
            </w:r>
          </w:p>
        </w:tc>
      </w:tr>
      <w:tr>
        <w:tc>
          <w:tcPr>
            <w:tcW w:type="dxa" w:w="5162"/>
          </w:tcPr>
          <w:p>
            <w:pPr>
              <w:spacing w:after="20" w:before="20" w:line="240" w:lineRule="auto"/>
            </w:pPr>
            <w:r/>
            <w:r>
              <w:rPr>
                <w:sz w:val="18"/>
              </w:rPr>
              <w:t>Declarations</w:t>
            </w:r>
          </w:p>
        </w:tc>
        <w:tc>
          <w:tcPr>
            <w:tcW w:type="dxa" w:w="4589"/>
          </w:tcPr>
          <w:p>
            <w:pPr>
              <w:spacing w:after="20" w:before="20" w:line="240" w:lineRule="auto"/>
            </w:pPr>
            <w:r/>
            <w:r>
              <w:rPr>
                <w:sz w:val="18"/>
              </w:rPr>
              <w:t>40</w:t>
            </w:r>
          </w:p>
        </w:tc>
      </w:tr>
      <w:tr>
        <w:tc>
          <w:tcPr>
            <w:tcW w:type="dxa" w:w="5162"/>
          </w:tcPr>
          <w:p>
            <w:pPr>
              <w:spacing w:after="20" w:before="20" w:line="240" w:lineRule="auto"/>
            </w:pPr>
            <w:r/>
            <w:r>
              <w:rPr>
                <w:sz w:val="18"/>
              </w:rPr>
              <w:t>Declarations topped up</w:t>
            </w:r>
          </w:p>
        </w:tc>
        <w:tc>
          <w:tcPr>
            <w:tcW w:type="dxa" w:w="4589"/>
          </w:tcPr>
          <w:p>
            <w:pPr>
              <w:spacing w:after="20" w:before="20" w:line="240" w:lineRule="auto"/>
            </w:pPr>
            <w:r/>
            <w:r>
              <w:rPr>
                <w:sz w:val="18"/>
              </w:rPr>
              <w:t>6 (15%)</w:t>
            </w:r>
          </w:p>
        </w:tc>
      </w:tr>
      <w:tr>
        <w:tc>
          <w:tcPr>
            <w:tcW w:type="dxa" w:w="5162"/>
          </w:tcPr>
          <w:p>
            <w:pPr>
              <w:spacing w:after="20" w:before="20" w:line="240" w:lineRule="auto"/>
            </w:pPr>
            <w:r/>
            <w:r>
              <w:rPr>
                <w:sz w:val="18"/>
              </w:rPr>
              <w:t>Severe top-ups (30%+ of final tax)</w:t>
            </w:r>
          </w:p>
        </w:tc>
        <w:tc>
          <w:tcPr>
            <w:tcW w:type="dxa" w:w="4589"/>
          </w:tcPr>
          <w:p>
            <w:pPr>
              <w:spacing w:after="20" w:before="20" w:line="240" w:lineRule="auto"/>
            </w:pPr>
            <w:r/>
            <w:r>
              <w:rPr>
                <w:sz w:val="18"/>
              </w:rPr>
              <w:t>3 (7.5%)</w:t>
            </w:r>
          </w:p>
        </w:tc>
      </w:tr>
      <w:tr>
        <w:tc>
          <w:tcPr>
            <w:tcW w:type="dxa" w:w="5162"/>
          </w:tcPr>
          <w:p>
            <w:pPr>
              <w:spacing w:after="20" w:before="20" w:line="240" w:lineRule="auto"/>
            </w:pPr>
            <w:r/>
            <w:r>
              <w:rPr>
                <w:sz w:val="18"/>
              </w:rPr>
              <w:t>Declarations amended</w:t>
            </w:r>
          </w:p>
        </w:tc>
        <w:tc>
          <w:tcPr>
            <w:tcW w:type="dxa" w:w="4589"/>
          </w:tcPr>
          <w:p>
            <w:pPr>
              <w:spacing w:after="20" w:before="20" w:line="240" w:lineRule="auto"/>
            </w:pPr>
            <w:r/>
            <w:r>
              <w:rPr>
                <w:sz w:val="18"/>
              </w:rPr>
              <w:t>10 (25%)</w:t>
            </w:r>
          </w:p>
        </w:tc>
      </w:tr>
      <w:tr>
        <w:tc>
          <w:tcPr>
            <w:tcW w:type="dxa" w:w="5162"/>
          </w:tcPr>
          <w:p>
            <w:pPr>
              <w:spacing w:after="20" w:before="20" w:line="240" w:lineRule="auto"/>
            </w:pPr>
            <w:r/>
            <w:r>
              <w:rPr>
                <w:sz w:val="18"/>
              </w:rPr>
              <w:t>Original tax / top-ups</w:t>
            </w:r>
          </w:p>
        </w:tc>
        <w:tc>
          <w:tcPr>
            <w:tcW w:type="dxa" w:w="4589"/>
          </w:tcPr>
          <w:p>
            <w:pPr>
              <w:spacing w:after="20" w:before="20" w:line="240" w:lineRule="auto"/>
            </w:pPr>
            <w:r/>
            <w:r>
              <w:rPr>
                <w:sz w:val="18"/>
              </w:rPr>
              <w:t>UGX 200M / UGX 16M</w:t>
            </w:r>
          </w:p>
        </w:tc>
      </w:tr>
      <w:tr>
        <w:tc>
          <w:tcPr>
            <w:tcW w:type="dxa" w:w="5162"/>
          </w:tcPr>
          <w:p>
            <w:pPr>
              <w:spacing w:after="20" w:before="20" w:line="240" w:lineRule="auto"/>
            </w:pPr>
            <w:r/>
            <w:r>
              <w:rPr>
                <w:sz w:val="18"/>
              </w:rPr>
              <w:t>Last top-up</w:t>
            </w:r>
          </w:p>
        </w:tc>
        <w:tc>
          <w:tcPr>
            <w:tcW w:type="dxa" w:w="4589"/>
          </w:tcPr>
          <w:p>
            <w:pPr>
              <w:spacing w:after="20" w:before="20" w:line="240" w:lineRule="auto"/>
            </w:pPr>
            <w:r/>
            <w:r>
              <w:rPr>
                <w:sz w:val="18"/>
              </w:rPr>
              <w:t>60 days before the snapshot</w:t>
            </w:r>
          </w:p>
        </w:tc>
      </w:tr>
      <w:tr>
        <w:tc>
          <w:tcPr>
            <w:tcW w:type="dxa" w:w="5162"/>
          </w:tcPr>
          <w:p>
            <w:pPr>
              <w:spacing w:after="20" w:before="20" w:line="240" w:lineRule="auto"/>
            </w:pPr>
            <w:r/>
            <w:r>
              <w:rPr>
                <w:sz w:val="18"/>
              </w:rPr>
              <w:t>Share cleared at main station</w:t>
            </w:r>
          </w:p>
        </w:tc>
        <w:tc>
          <w:tcPr>
            <w:tcW w:type="dxa" w:w="4589"/>
          </w:tcPr>
          <w:p>
            <w:pPr>
              <w:spacing w:after="20" w:before="20" w:line="240" w:lineRule="auto"/>
            </w:pPr>
            <w:r/>
            <w:r>
              <w:rPr>
                <w:sz w:val="18"/>
              </w:rPr>
              <w:t>80%</w:t>
            </w:r>
          </w:p>
        </w:tc>
      </w:tr>
      <w:tr>
        <w:tc>
          <w:tcPr>
            <w:tcW w:type="dxa" w:w="5162"/>
          </w:tcPr>
          <w:p>
            <w:pPr>
              <w:spacing w:after="20" w:before="20" w:line="240" w:lineRule="auto"/>
            </w:pPr>
            <w:r/>
            <w:r>
              <w:rPr>
                <w:sz w:val="18"/>
              </w:rPr>
              <w:t>Value below benchmark, tax reduced after assessment</w:t>
            </w:r>
          </w:p>
        </w:tc>
        <w:tc>
          <w:tcPr>
            <w:tcW w:type="dxa" w:w="4589"/>
          </w:tcPr>
          <w:p>
            <w:pPr>
              <w:spacing w:after="20" w:before="20" w:line="240" w:lineRule="auto"/>
            </w:pPr>
            <w:r/>
            <w:r>
              <w:rPr>
                <w:sz w:val="18"/>
              </w:rPr>
              <w:t>none</w:t>
            </w:r>
          </w:p>
        </w:tc>
      </w:tr>
    </w:tbl>
    <w:p>
      <w:pPr>
        <w:spacing w:after="40"/>
      </w:pPr>
    </w:p>
    <w:p>
      <w:pPr>
        <w:pStyle w:val="Heading2"/>
      </w:pPr>
      <w:r>
        <w:t>3.2 Step 1: Work Out the Measures</w:t>
      </w:r>
    </w:p>
    <w:p>
      <w:pPr>
        <w:spacing w:after="120"/>
      </w:pPr>
      <w:r>
        <w:rPr>
          <w:rFonts w:ascii="Consolas" w:hAnsi="Consolas"/>
        </w:rPr>
        <w:t>derive()</w:t>
      </w:r>
      <w:r>
        <w:t xml:space="preserve"> in </w:t>
      </w:r>
      <w:r>
        <w:rPr>
          <w:rFonts w:ascii="Consolas" w:hAnsi="Consolas"/>
        </w:rPr>
        <w:t>src/ctrp/core.py</w:t>
      </w:r>
      <w:r>
        <w:t xml:space="preserve"> computes the measures the SQL does not give directly:</w:t>
      </w:r>
    </w:p>
    <w:p>
      <w:pPr>
        <w:pStyle w:val="ListParagraph"/>
        <w:numPr>
          <w:ilvl w:val="0"/>
          <w:numId w:val="902"/>
        </w:numPr>
        <w:spacing w:after="60"/>
      </w:pPr>
      <w:r>
        <w:rPr>
          <w:b/>
        </w:rPr>
        <w:t>PAR_048</w:t>
      </w:r>
      <w:r>
        <w:t xml:space="preserve"> = top-ups / (original tax + top-ups) = 16 / 216 = </w:t>
      </w:r>
      <w:r>
        <w:rPr>
          <w:b/>
        </w:rPr>
        <w:t>7.4%</w:t>
      </w:r>
      <w:r>
        <w:t>. Measured over the final tax so it can never explode (Part 5.2).</w:t>
      </w:r>
    </w:p>
    <w:p>
      <w:pPr>
        <w:pStyle w:val="ListParagraph"/>
        <w:numPr>
          <w:ilvl w:val="0"/>
          <w:numId w:val="902"/>
        </w:numPr>
        <w:spacing w:after="60"/>
      </w:pPr>
      <w:r>
        <w:rPr>
          <w:b/>
        </w:rPr>
        <w:t>PAR_105</w:t>
      </w:r>
      <w:r>
        <w:t xml:space="preserve"> = was there a top-up within 180 days? 60 days, so </w:t>
      </w:r>
      <w:r>
        <w:rPr>
          <w:b/>
        </w:rPr>
        <w:t>yes</w:t>
      </w:r>
      <w:r>
        <w:t xml:space="preserve"> (1).</w:t>
      </w:r>
    </w:p>
    <w:p>
      <w:pPr>
        <w:pStyle w:val="ListParagraph"/>
        <w:numPr>
          <w:ilvl w:val="0"/>
          <w:numId w:val="902"/>
        </w:numPr>
        <w:spacing w:after="60"/>
      </w:pPr>
      <w:r>
        <w:rPr>
          <w:b/>
        </w:rPr>
        <w:t>PAR_023</w:t>
      </w:r>
      <w:r>
        <w:t xml:space="preserve"> = share cleared away from the main station = 1 - 0.80 = </w:t>
      </w:r>
      <w:r>
        <w:rPr>
          <w:b/>
        </w:rPr>
        <w:t>20%</w:t>
      </w:r>
      <w:r>
        <w:t>.</w:t>
      </w:r>
    </w:p>
    <w:p>
      <w:pPr>
        <w:pStyle w:val="Heading2"/>
      </w:pPr>
      <w:r>
        <w:t>3.3 Step 2: Protect Against Small Counts</w:t>
      </w:r>
    </w:p>
    <w:p>
      <w:pPr>
        <w:spacing w:after="120"/>
      </w:pPr>
      <w:r>
        <w:t>A rate built on very few declarations is mostly luck. Toss a coin twice: getting two heads (100%) does not mean the coin always lands heads. So each rate is blended with the population average: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weighted rate = w x own rate + (1 - w) x population average,   w = n / (n + 10)</w:t>
            </w:r>
          </w:p>
          <w:p>
            <w:pPr>
              <w:spacing w:after="0" w:line="240" w:lineRule="auto"/>
            </w:pPr>
            <w:r>
              <w:rPr>
                <w:rFonts w:ascii="Consolas" w:hAnsi="Consolas"/>
                <w:sz w:val="18"/>
              </w:rPr>
              <w:t>then keep the LOWER of the weighted rate and the own rate</w:t>
            </w:r>
          </w:p>
        </w:tc>
      </w:tr>
    </w:tbl>
    <w:p>
      <w:pPr>
        <w:spacing w:after="40"/>
      </w:pPr>
    </w:p>
    <w:p>
      <w:pPr>
        <w:spacing w:after="120"/>
      </w:pPr>
      <w:r>
        <w:t>For our taxpayer, n = 40 declarations, so w = 40 / 50 = 0.8. The population average share topped up is 6.5%:</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0.8 x 15.0% + 0.2 x 6.5% = 13.3%   (lower than 15%, so 13.3% is used)</w:t>
            </w:r>
          </w:p>
        </w:tc>
      </w:tr>
    </w:tbl>
    <w:p>
      <w:pPr>
        <w:spacing w:after="40"/>
      </w:pPr>
    </w:p>
    <w:p>
      <w:pPr>
        <w:pStyle w:val="Caption"/>
      </w:pPr>
      <w:r>
        <w:t xml:space="preserve">Table </w:t>
      </w:r>
      <w:r>
        <w:fldChar w:fldCharType="begin"/>
      </w:r>
      <w:r>
        <w:instrText xml:space="preserve"> SEQ Table \* ARABIC </w:instrText>
      </w:r>
      <w:r>
        <w:fldChar w:fldCharType="separate"/>
      </w:r>
      <w:r>
        <w:t>11</w:t>
      </w:r>
      <w:r>
        <w:fldChar w:fldCharType="end"/>
      </w:r>
      <w:r>
        <w:t>: Small-count Weight for Different Histories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294"/>
            <w:shd w:val="clear" w:color="auto" w:fill="D9E2F3"/>
          </w:tcPr>
          <w:p>
            <w:pPr>
              <w:spacing w:after="20" w:before="20" w:line="240" w:lineRule="auto"/>
            </w:pPr>
            <w:r/>
            <w:r>
              <w:rPr>
                <w:b/>
                <w:sz w:val="18"/>
              </w:rPr>
              <w:t>Declarations (n)</w:t>
            </w:r>
          </w:p>
        </w:tc>
        <w:tc>
          <w:tcPr>
            <w:tcW w:type="dxa" w:w="2294"/>
            <w:shd w:val="clear" w:color="auto" w:fill="D9E2F3"/>
          </w:tcPr>
          <w:p>
            <w:pPr>
              <w:spacing w:after="20" w:before="20" w:line="240" w:lineRule="auto"/>
            </w:pPr>
            <w:r/>
            <w:r>
              <w:rPr>
                <w:b/>
                <w:sz w:val="18"/>
              </w:rPr>
              <w:t>Weight on own rate</w:t>
            </w:r>
          </w:p>
        </w:tc>
        <w:tc>
          <w:tcPr>
            <w:tcW w:type="dxa" w:w="5162"/>
            <w:shd w:val="clear" w:color="auto" w:fill="D9E2F3"/>
          </w:tcPr>
          <w:p>
            <w:pPr>
              <w:spacing w:after="20" w:before="20" w:line="240" w:lineRule="auto"/>
            </w:pPr>
            <w:r/>
            <w:r>
              <w:rPr>
                <w:b/>
                <w:sz w:val="18"/>
              </w:rPr>
              <w:t>Meaning</w:t>
            </w:r>
          </w:p>
        </w:tc>
      </w:tr>
      <w:tr>
        <w:tc>
          <w:tcPr>
            <w:tcW w:type="dxa" w:w="2294"/>
          </w:tcPr>
          <w:p>
            <w:pPr>
              <w:spacing w:after="20" w:before="20" w:line="240" w:lineRule="auto"/>
            </w:pPr>
            <w:r/>
            <w:r>
              <w:rPr>
                <w:sz w:val="18"/>
              </w:rPr>
              <w:t>1</w:t>
            </w:r>
          </w:p>
        </w:tc>
        <w:tc>
          <w:tcPr>
            <w:tcW w:type="dxa" w:w="2294"/>
          </w:tcPr>
          <w:p>
            <w:pPr>
              <w:spacing w:after="20" w:before="20" w:line="240" w:lineRule="auto"/>
            </w:pPr>
            <w:r/>
            <w:r>
              <w:rPr>
                <w:sz w:val="18"/>
              </w:rPr>
              <w:t>9%</w:t>
            </w:r>
          </w:p>
        </w:tc>
        <w:tc>
          <w:tcPr>
            <w:tcW w:type="dxa" w:w="5162"/>
          </w:tcPr>
          <w:p>
            <w:pPr>
              <w:spacing w:after="20" w:before="20" w:line="240" w:lineRule="auto"/>
            </w:pPr>
            <w:r/>
            <w:r>
              <w:rPr>
                <w:sz w:val="18"/>
              </w:rPr>
              <w:t>Almost all population average: one event proves little</w:t>
            </w:r>
          </w:p>
        </w:tc>
      </w:tr>
      <w:tr>
        <w:tc>
          <w:tcPr>
            <w:tcW w:type="dxa" w:w="2294"/>
          </w:tcPr>
          <w:p>
            <w:pPr>
              <w:spacing w:after="20" w:before="20" w:line="240" w:lineRule="auto"/>
            </w:pPr>
            <w:r/>
            <w:r>
              <w:rPr>
                <w:sz w:val="18"/>
              </w:rPr>
              <w:t>2</w:t>
            </w:r>
          </w:p>
        </w:tc>
        <w:tc>
          <w:tcPr>
            <w:tcW w:type="dxa" w:w="2294"/>
          </w:tcPr>
          <w:p>
            <w:pPr>
              <w:spacing w:after="20" w:before="20" w:line="240" w:lineRule="auto"/>
            </w:pPr>
            <w:r/>
            <w:r>
              <w:rPr>
                <w:sz w:val="18"/>
              </w:rPr>
              <w:t>17%</w:t>
            </w:r>
          </w:p>
        </w:tc>
        <w:tc>
          <w:tcPr>
            <w:tcW w:type="dxa" w:w="5162"/>
          </w:tcPr>
          <w:p>
            <w:pPr>
              <w:spacing w:after="20" w:before="20" w:line="240" w:lineRule="auto"/>
            </w:pPr>
            <w:r/>
          </w:p>
        </w:tc>
      </w:tr>
      <w:tr>
        <w:tc>
          <w:tcPr>
            <w:tcW w:type="dxa" w:w="2294"/>
          </w:tcPr>
          <w:p>
            <w:pPr>
              <w:spacing w:after="20" w:before="20" w:line="240" w:lineRule="auto"/>
            </w:pPr>
            <w:r/>
            <w:r>
              <w:rPr>
                <w:sz w:val="18"/>
              </w:rPr>
              <w:t>10</w:t>
            </w:r>
          </w:p>
        </w:tc>
        <w:tc>
          <w:tcPr>
            <w:tcW w:type="dxa" w:w="2294"/>
          </w:tcPr>
          <w:p>
            <w:pPr>
              <w:spacing w:after="20" w:before="20" w:line="240" w:lineRule="auto"/>
            </w:pPr>
            <w:r/>
            <w:r>
              <w:rPr>
                <w:sz w:val="18"/>
              </w:rPr>
              <w:t>50%</w:t>
            </w:r>
          </w:p>
        </w:tc>
        <w:tc>
          <w:tcPr>
            <w:tcW w:type="dxa" w:w="5162"/>
          </w:tcPr>
          <w:p>
            <w:pPr>
              <w:spacing w:after="20" w:before="20" w:line="240" w:lineRule="auto"/>
            </w:pPr>
            <w:r/>
            <w:r>
              <w:rPr>
                <w:sz w:val="18"/>
              </w:rPr>
              <w:t>Half own record, half average</w:t>
            </w:r>
          </w:p>
        </w:tc>
      </w:tr>
      <w:tr>
        <w:tc>
          <w:tcPr>
            <w:tcW w:type="dxa" w:w="2294"/>
          </w:tcPr>
          <w:p>
            <w:pPr>
              <w:spacing w:after="20" w:before="20" w:line="240" w:lineRule="auto"/>
            </w:pPr>
            <w:r/>
            <w:r>
              <w:rPr>
                <w:sz w:val="18"/>
              </w:rPr>
              <w:t>40</w:t>
            </w:r>
          </w:p>
        </w:tc>
        <w:tc>
          <w:tcPr>
            <w:tcW w:type="dxa" w:w="2294"/>
          </w:tcPr>
          <w:p>
            <w:pPr>
              <w:spacing w:after="20" w:before="20" w:line="240" w:lineRule="auto"/>
            </w:pPr>
            <w:r/>
            <w:r>
              <w:rPr>
                <w:sz w:val="18"/>
              </w:rPr>
              <w:t>80%</w:t>
            </w:r>
          </w:p>
        </w:tc>
        <w:tc>
          <w:tcPr>
            <w:tcW w:type="dxa" w:w="5162"/>
          </w:tcPr>
          <w:p>
            <w:pPr>
              <w:spacing w:after="20" w:before="20" w:line="240" w:lineRule="auto"/>
            </w:pPr>
            <w:r/>
            <w:r>
              <w:rPr>
                <w:sz w:val="18"/>
              </w:rPr>
              <w:t>Our example</w:t>
            </w:r>
          </w:p>
        </w:tc>
      </w:tr>
      <w:tr>
        <w:tc>
          <w:tcPr>
            <w:tcW w:type="dxa" w:w="2294"/>
          </w:tcPr>
          <w:p>
            <w:pPr>
              <w:spacing w:after="20" w:before="20" w:line="240" w:lineRule="auto"/>
            </w:pPr>
            <w:r/>
            <w:r>
              <w:rPr>
                <w:sz w:val="18"/>
              </w:rPr>
              <w:t>100</w:t>
            </w:r>
          </w:p>
        </w:tc>
        <w:tc>
          <w:tcPr>
            <w:tcW w:type="dxa" w:w="2294"/>
          </w:tcPr>
          <w:p>
            <w:pPr>
              <w:spacing w:after="20" w:before="20" w:line="240" w:lineRule="auto"/>
            </w:pPr>
            <w:r/>
            <w:r>
              <w:rPr>
                <w:sz w:val="18"/>
              </w:rPr>
              <w:t>91%</w:t>
            </w:r>
          </w:p>
        </w:tc>
        <w:tc>
          <w:tcPr>
            <w:tcW w:type="dxa" w:w="5162"/>
          </w:tcPr>
          <w:p>
            <w:pPr>
              <w:spacing w:after="20" w:before="20" w:line="240" w:lineRule="auto"/>
            </w:pPr>
            <w:r/>
            <w:r>
              <w:rPr>
                <w:sz w:val="18"/>
              </w:rPr>
              <w:t>Own record dominates</w:t>
            </w:r>
          </w:p>
        </w:tc>
      </w:tr>
      <w:tr>
        <w:tc>
          <w:tcPr>
            <w:tcW w:type="dxa" w:w="2294"/>
          </w:tcPr>
          <w:p>
            <w:pPr>
              <w:spacing w:after="20" w:before="20" w:line="240" w:lineRule="auto"/>
            </w:pPr>
            <w:r/>
            <w:r>
              <w:rPr>
                <w:sz w:val="18"/>
              </w:rPr>
              <w:t>1,000</w:t>
            </w:r>
          </w:p>
        </w:tc>
        <w:tc>
          <w:tcPr>
            <w:tcW w:type="dxa" w:w="2294"/>
          </w:tcPr>
          <w:p>
            <w:pPr>
              <w:spacing w:after="20" w:before="20" w:line="240" w:lineRule="auto"/>
            </w:pPr>
            <w:r/>
            <w:r>
              <w:rPr>
                <w:sz w:val="18"/>
              </w:rPr>
              <w:t>99%</w:t>
            </w:r>
          </w:p>
        </w:tc>
        <w:tc>
          <w:tcPr>
            <w:tcW w:type="dxa" w:w="5162"/>
          </w:tcPr>
          <w:p>
            <w:pPr>
              <w:spacing w:after="20" w:before="20" w:line="240" w:lineRule="auto"/>
            </w:pPr>
            <w:r/>
            <w:r>
              <w:rPr>
                <w:sz w:val="18"/>
              </w:rPr>
              <w:t>Practically raw</w:t>
            </w:r>
          </w:p>
        </w:tc>
      </w:tr>
    </w:tbl>
    <w:p>
      <w:pPr>
        <w:spacing w:after="40"/>
      </w:pP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Why only lower, never raise?</w:t>
            </w:r>
          </w:p>
          <w:p>
            <w:pPr>
              <w:spacing w:after="60"/>
            </w:pPr>
            <w:r>
              <w:rPr>
                <w:sz w:val="20"/>
              </w:rPr>
              <w:t>If the blend could raise a rate, a small trader with a perfect record (0 top-ups) would be pulled UP towards the average and get points for other people's behaviour. That is unfair and hard to explain. So the weighting can spare a small trader, but never accuse one.</w:t>
            </w:r>
          </w:p>
          <w:p>
            <w:pPr>
              <w:spacing w:after="60"/>
            </w:pPr>
            <w:r>
              <w:rPr>
                <w:sz w:val="20"/>
              </w:rPr>
              <w:t>The officer still sees the RAW rate (15%) in the reason sentence; the weighted rate (13.3%) is only used to compute points.</w:t>
            </w:r>
          </w:p>
        </w:tc>
      </w:tr>
    </w:tbl>
    <w:p>
      <w:pPr>
        <w:spacing w:after="40"/>
      </w:pPr>
    </w:p>
    <w:p>
      <w:pPr>
        <w:keepNext/>
        <w:jc w:val="center"/>
      </w:pPr>
      <w:r>
        <w:drawing>
          <wp:inline xmlns:a="http://schemas.openxmlformats.org/drawingml/2006/main" xmlns:pic="http://schemas.openxmlformats.org/drawingml/2006/picture">
            <wp:extent cx="5940000" cy="2682884"/>
            <wp:docPr id="3" name="Picture 3"/>
            <wp:cNvGraphicFramePr>
              <a:graphicFrameLocks noChangeAspect="1"/>
            </wp:cNvGraphicFramePr>
            <a:graphic>
              <a:graphicData uri="http://schemas.openxmlformats.org/drawingml/2006/picture">
                <pic:pic>
                  <pic:nvPicPr>
                    <pic:cNvPr id="0" name="chart_11.png"/>
                    <pic:cNvPicPr/>
                  </pic:nvPicPr>
                  <pic:blipFill>
                    <a:blip r:embed="rId28"/>
                    <a:stretch>
                      <a:fillRect/>
                    </a:stretch>
                  </pic:blipFill>
                  <pic:spPr>
                    <a:xfrm>
                      <a:off x="0" y="0"/>
                      <a:ext cx="5940000" cy="268288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Amendment rate by number of declarations: rates on few declarations are noise</w:t>
      </w:r>
    </w:p>
    <w:p>
      <w:pPr>
        <w:pStyle w:val="Heading2"/>
      </w:pPr>
      <w:r>
        <w:t>3.4 Step 3: Put Each Measure on a 0 to 1 Ruler</w:t>
      </w:r>
    </w:p>
    <w:p>
      <w:pPr>
        <w:spacing w:after="120"/>
      </w:pPr>
      <w:r>
        <w:t xml:space="preserve">Each parameter has two officer-style thresholds: a </w:t>
      </w:r>
      <w:r>
        <w:rPr>
          <w:b/>
        </w:rPr>
        <w:t>minimum risk level</w:t>
      </w:r>
      <w:r>
        <w:t xml:space="preserve"> (below it, 0) and a </w:t>
      </w:r>
      <w:r>
        <w:rPr>
          <w:b/>
        </w:rPr>
        <w:t>maximum</w:t>
      </w:r>
      <w:r>
        <w:t xml:space="preserve"> (at or above it, 1). In between is a straight line.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scaled = (value - minimum) / (maximum - minimum), held between 0 and 1</w:t>
            </w:r>
          </w:p>
          <w:p>
            <w:pPr>
              <w:spacing w:after="0" w:line="240" w:lineRule="auto"/>
            </w:pPr>
            <w:r>
              <w:rPr>
                <w:rFonts w:ascii="Consolas" w:hAnsi="Consolas"/>
                <w:sz w:val="18"/>
              </w:rPr>
              <w:t>PAR_045T: (13.3% - 3%) / (40% - 3%) = 0.278</w:t>
            </w:r>
          </w:p>
        </w:tc>
      </w:tr>
    </w:tbl>
    <w:p>
      <w:pPr>
        <w:spacing w:after="40"/>
      </w:pPr>
    </w:p>
    <w:p>
      <w:pPr>
        <w:keepNext/>
        <w:jc w:val="center"/>
      </w:pPr>
      <w:r>
        <w:drawing>
          <wp:inline xmlns:a="http://schemas.openxmlformats.org/drawingml/2006/main" xmlns:pic="http://schemas.openxmlformats.org/drawingml/2006/picture">
            <wp:extent cx="5940000" cy="2543963"/>
            <wp:docPr id="4" name="Picture 4"/>
            <wp:cNvGraphicFramePr>
              <a:graphicFrameLocks noChangeAspect="1"/>
            </wp:cNvGraphicFramePr>
            <a:graphic>
              <a:graphicData uri="http://schemas.openxmlformats.org/drawingml/2006/picture">
                <pic:pic>
                  <pic:nvPicPr>
                    <pic:cNvPr id="0" name="chart_13.png"/>
                    <pic:cNvPicPr/>
                  </pic:nvPicPr>
                  <pic:blipFill>
                    <a:blip r:embed="rId29"/>
                    <a:stretch>
                      <a:fillRect/>
                    </a:stretch>
                  </pic:blipFill>
                  <pic:spPr>
                    <a:xfrm>
                      <a:off x="0" y="0"/>
                      <a:ext cx="5940000" cy="2543963"/>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Each parameter for regular taxpayers, with its minimum risk level (dotted) and maximum (dashed)</w:t>
      </w:r>
    </w:p>
    <w:p>
      <w:pPr>
        <w:pStyle w:val="Heading2"/>
      </w:pPr>
      <w:r>
        <w:t>3.5 Step 4: Weigh the Measures</w:t>
      </w:r>
    </w:p>
    <w:p>
      <w:pPr>
        <w:spacing w:after="120"/>
      </w:pPr>
      <w:r>
        <w:t>Each parameter has a likelihood (L) and an impact (I) rating from 1 to 5. Its weight is its L x I divided by the total of all L x I, times 100, so all weights add up to 100 points.</w:t>
      </w:r>
    </w:p>
    <w:p>
      <w:pPr>
        <w:pStyle w:val="Caption"/>
      </w:pPr>
      <w:r>
        <w:t xml:space="preserve">Table </w:t>
      </w:r>
      <w:r>
        <w:fldChar w:fldCharType="begin"/>
      </w:r>
      <w:r>
        <w:instrText xml:space="preserve"> SEQ Table \* ARABIC </w:instrText>
      </w:r>
      <w:r>
        <w:fldChar w:fldCharType="separate"/>
      </w:r>
      <w:r>
        <w:t>12</w:t>
      </w:r>
      <w:r>
        <w:fldChar w:fldCharType="end"/>
      </w:r>
      <w:r>
        <w:t>: Weights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442"/>
            <w:shd w:val="clear" w:color="auto" w:fill="D9E2F3"/>
          </w:tcPr>
          <w:p>
            <w:pPr>
              <w:spacing w:after="20" w:before="20" w:line="240" w:lineRule="auto"/>
            </w:pPr>
            <w:r/>
            <w:r>
              <w:rPr>
                <w:b/>
                <w:sz w:val="18"/>
              </w:rPr>
              <w:t>Code</w:t>
            </w:r>
          </w:p>
        </w:tc>
        <w:tc>
          <w:tcPr>
            <w:tcW w:type="dxa" w:w="2294"/>
            <w:shd w:val="clear" w:color="auto" w:fill="D9E2F3"/>
          </w:tcPr>
          <w:p>
            <w:pPr>
              <w:spacing w:after="20" w:before="20" w:line="240" w:lineRule="auto"/>
            </w:pPr>
            <w:r/>
            <w:r>
              <w:rPr>
                <w:b/>
                <w:sz w:val="18"/>
              </w:rPr>
              <w:t>L x I</w:t>
            </w:r>
          </w:p>
        </w:tc>
        <w:tc>
          <w:tcPr>
            <w:tcW w:type="dxa" w:w="4015"/>
            <w:shd w:val="clear" w:color="auto" w:fill="D9E2F3"/>
          </w:tcPr>
          <w:p>
            <w:pPr>
              <w:spacing w:after="20" w:before="20" w:line="240" w:lineRule="auto"/>
            </w:pPr>
            <w:r/>
            <w:r>
              <w:rPr>
                <w:b/>
                <w:sz w:val="18"/>
              </w:rPr>
              <w:t>Weight (points available)</w:t>
            </w:r>
          </w:p>
        </w:tc>
      </w:tr>
      <w:tr>
        <w:tc>
          <w:tcPr>
            <w:tcW w:type="dxa" w:w="3442"/>
          </w:tcPr>
          <w:p>
            <w:pPr>
              <w:spacing w:after="20" w:before="20" w:line="240" w:lineRule="auto"/>
            </w:pPr>
            <w:r/>
            <w:r>
              <w:rPr>
                <w:sz w:val="18"/>
              </w:rPr>
              <w:t>PAR_045T</w:t>
            </w:r>
          </w:p>
        </w:tc>
        <w:tc>
          <w:tcPr>
            <w:tcW w:type="dxa" w:w="2294"/>
          </w:tcPr>
          <w:p>
            <w:pPr>
              <w:spacing w:after="20" w:before="20" w:line="240" w:lineRule="auto"/>
            </w:pPr>
            <w:r/>
            <w:r>
              <w:rPr>
                <w:sz w:val="18"/>
              </w:rPr>
              <w:t>5 x 5 = 25</w:t>
            </w:r>
          </w:p>
        </w:tc>
        <w:tc>
          <w:tcPr>
            <w:tcW w:type="dxa" w:w="4015"/>
          </w:tcPr>
          <w:p>
            <w:pPr>
              <w:spacing w:after="20" w:before="20" w:line="240" w:lineRule="auto"/>
            </w:pPr>
            <w:r/>
            <w:r>
              <w:rPr>
                <w:sz w:val="18"/>
              </w:rPr>
              <w:t>25 / 76 x 100 = 32.9</w:t>
            </w:r>
          </w:p>
        </w:tc>
      </w:tr>
      <w:tr>
        <w:tc>
          <w:tcPr>
            <w:tcW w:type="dxa" w:w="3442"/>
          </w:tcPr>
          <w:p>
            <w:pPr>
              <w:spacing w:after="20" w:before="20" w:line="240" w:lineRule="auto"/>
            </w:pPr>
            <w:r/>
            <w:r>
              <w:rPr>
                <w:sz w:val="18"/>
              </w:rPr>
              <w:t>PAR_077</w:t>
            </w:r>
          </w:p>
        </w:tc>
        <w:tc>
          <w:tcPr>
            <w:tcW w:type="dxa" w:w="2294"/>
          </w:tcPr>
          <w:p>
            <w:pPr>
              <w:spacing w:after="20" w:before="20" w:line="240" w:lineRule="auto"/>
            </w:pPr>
            <w:r/>
            <w:r>
              <w:rPr>
                <w:sz w:val="18"/>
              </w:rPr>
              <w:t>4 x 5 = 20</w:t>
            </w:r>
          </w:p>
        </w:tc>
        <w:tc>
          <w:tcPr>
            <w:tcW w:type="dxa" w:w="4015"/>
          </w:tcPr>
          <w:p>
            <w:pPr>
              <w:spacing w:after="20" w:before="20" w:line="240" w:lineRule="auto"/>
            </w:pPr>
            <w:r/>
            <w:r>
              <w:rPr>
                <w:sz w:val="18"/>
              </w:rPr>
              <w:t>26.3</w:t>
            </w:r>
          </w:p>
        </w:tc>
      </w:tr>
      <w:tr>
        <w:tc>
          <w:tcPr>
            <w:tcW w:type="dxa" w:w="3442"/>
          </w:tcPr>
          <w:p>
            <w:pPr>
              <w:spacing w:after="20" w:before="20" w:line="240" w:lineRule="auto"/>
            </w:pPr>
            <w:r/>
            <w:r>
              <w:rPr>
                <w:sz w:val="18"/>
              </w:rPr>
              <w:t>PAR_045</w:t>
            </w:r>
          </w:p>
        </w:tc>
        <w:tc>
          <w:tcPr>
            <w:tcW w:type="dxa" w:w="2294"/>
          </w:tcPr>
          <w:p>
            <w:pPr>
              <w:spacing w:after="20" w:before="20" w:line="240" w:lineRule="auto"/>
            </w:pPr>
            <w:r/>
            <w:r>
              <w:rPr>
                <w:sz w:val="18"/>
              </w:rPr>
              <w:t>4 x 4 = 16</w:t>
            </w:r>
          </w:p>
        </w:tc>
        <w:tc>
          <w:tcPr>
            <w:tcW w:type="dxa" w:w="4015"/>
          </w:tcPr>
          <w:p>
            <w:pPr>
              <w:spacing w:after="20" w:before="20" w:line="240" w:lineRule="auto"/>
            </w:pPr>
            <w:r/>
            <w:r>
              <w:rPr>
                <w:sz w:val="18"/>
              </w:rPr>
              <w:t>21.1</w:t>
            </w:r>
          </w:p>
        </w:tc>
      </w:tr>
      <w:tr>
        <w:tc>
          <w:tcPr>
            <w:tcW w:type="dxa" w:w="3442"/>
          </w:tcPr>
          <w:p>
            <w:pPr>
              <w:spacing w:after="20" w:before="20" w:line="240" w:lineRule="auto"/>
            </w:pPr>
            <w:r/>
            <w:r>
              <w:rPr>
                <w:sz w:val="18"/>
              </w:rPr>
              <w:t>PAR_048, PAR_076, PAR_066, PAR_105, PAR_023</w:t>
            </w:r>
          </w:p>
        </w:tc>
        <w:tc>
          <w:tcPr>
            <w:tcW w:type="dxa" w:w="2294"/>
          </w:tcPr>
          <w:p>
            <w:pPr>
              <w:spacing w:after="20" w:before="20" w:line="240" w:lineRule="auto"/>
            </w:pPr>
            <w:r/>
            <w:r>
              <w:rPr>
                <w:sz w:val="18"/>
              </w:rPr>
              <w:t>3 x 1 = 3 each</w:t>
            </w:r>
          </w:p>
        </w:tc>
        <w:tc>
          <w:tcPr>
            <w:tcW w:type="dxa" w:w="4015"/>
          </w:tcPr>
          <w:p>
            <w:pPr>
              <w:spacing w:after="20" w:before="20" w:line="240" w:lineRule="auto"/>
            </w:pPr>
            <w:r/>
            <w:r>
              <w:rPr>
                <w:sz w:val="18"/>
              </w:rPr>
              <w:t>3.9 each</w:t>
            </w:r>
          </w:p>
        </w:tc>
      </w:tr>
      <w:tr>
        <w:tc>
          <w:tcPr>
            <w:tcW w:type="dxa" w:w="3442"/>
          </w:tcPr>
          <w:p>
            <w:pPr>
              <w:spacing w:after="20" w:before="20" w:line="240" w:lineRule="auto"/>
            </w:pPr>
            <w:r/>
            <w:r>
              <w:rPr>
                <w:sz w:val="18"/>
              </w:rPr>
              <w:t>Total</w:t>
            </w:r>
          </w:p>
        </w:tc>
        <w:tc>
          <w:tcPr>
            <w:tcW w:type="dxa" w:w="2294"/>
          </w:tcPr>
          <w:p>
            <w:pPr>
              <w:spacing w:after="20" w:before="20" w:line="240" w:lineRule="auto"/>
            </w:pPr>
            <w:r/>
            <w:r>
              <w:rPr>
                <w:sz w:val="18"/>
              </w:rPr>
              <w:t>76</w:t>
            </w:r>
          </w:p>
        </w:tc>
        <w:tc>
          <w:tcPr>
            <w:tcW w:type="dxa" w:w="4015"/>
          </w:tcPr>
          <w:p>
            <w:pPr>
              <w:spacing w:after="20" w:before="20" w:line="240" w:lineRule="auto"/>
            </w:pPr>
            <w:r/>
            <w:r>
              <w:rPr>
                <w:sz w:val="18"/>
              </w:rPr>
              <w:t>100</w:t>
            </w:r>
          </w:p>
        </w:tc>
      </w:tr>
    </w:tbl>
    <w:p>
      <w:pPr>
        <w:spacing w:after="40"/>
      </w:pPr>
    </w:p>
    <w:p>
      <w:pPr>
        <w:spacing w:after="120"/>
      </w:pPr>
      <w:r>
        <w:t>If a parameter cannot be computed for a taxpayer (for example no items could be benchmarked), it is left out and the others are scaled up so the total available is still 100. The officer sees a MIS note.</w:t>
      </w:r>
    </w:p>
    <w:p>
      <w:pPr>
        <w:pStyle w:val="Heading2"/>
      </w:pPr>
      <w:r>
        <w:t>3.6 Step 5: Add Up the Points</w:t>
      </w:r>
    </w:p>
    <w:p>
      <w:pPr>
        <w:pStyle w:val="Caption"/>
      </w:pPr>
      <w:r>
        <w:t xml:space="preserve">Table </w:t>
      </w:r>
      <w:r>
        <w:fldChar w:fldCharType="begin"/>
      </w:r>
      <w:r>
        <w:instrText xml:space="preserve"> SEQ Table \* ARABIC </w:instrText>
      </w:r>
      <w:r>
        <w:fldChar w:fldCharType="separate"/>
      </w:r>
      <w:r>
        <w:t>13</w:t>
      </w:r>
      <w:r>
        <w:fldChar w:fldCharType="end"/>
      </w:r>
      <w:r>
        <w:t>: The Example Taxpayer's Points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625"/>
        <w:gridCol w:w="1625"/>
        <w:gridCol w:w="1625"/>
        <w:gridCol w:w="1625"/>
        <w:gridCol w:w="1625"/>
        <w:gridCol w:w="1625"/>
      </w:tblGrid>
      <w:tr>
        <w:trPr>
          <w:tblHeader w:val="true"/>
        </w:trPr>
        <w:tc>
          <w:tcPr>
            <w:tcW w:type="dxa" w:w="1377"/>
            <w:shd w:val="clear" w:color="auto" w:fill="D9E2F3"/>
          </w:tcPr>
          <w:p>
            <w:pPr>
              <w:spacing w:after="20" w:before="20" w:line="240" w:lineRule="auto"/>
            </w:pPr>
            <w:r/>
            <w:r>
              <w:rPr>
                <w:b/>
                <w:sz w:val="18"/>
              </w:rPr>
              <w:t>Code</w:t>
            </w:r>
          </w:p>
        </w:tc>
        <w:tc>
          <w:tcPr>
            <w:tcW w:type="dxa" w:w="1377"/>
            <w:shd w:val="clear" w:color="auto" w:fill="D9E2F3"/>
          </w:tcPr>
          <w:p>
            <w:pPr>
              <w:spacing w:after="20" w:before="20" w:line="240" w:lineRule="auto"/>
            </w:pPr>
            <w:r/>
            <w:r>
              <w:rPr>
                <w:b/>
                <w:sz w:val="18"/>
              </w:rPr>
              <w:t>Raw value</w:t>
            </w:r>
          </w:p>
        </w:tc>
        <w:tc>
          <w:tcPr>
            <w:tcW w:type="dxa" w:w="1836"/>
            <w:shd w:val="clear" w:color="auto" w:fill="D9E2F3"/>
          </w:tcPr>
          <w:p>
            <w:pPr>
              <w:spacing w:after="20" w:before="20" w:line="240" w:lineRule="auto"/>
            </w:pPr>
            <w:r/>
            <w:r>
              <w:rPr>
                <w:b/>
                <w:sz w:val="18"/>
              </w:rPr>
              <w:t>After small-count step</w:t>
            </w:r>
          </w:p>
        </w:tc>
        <w:tc>
          <w:tcPr>
            <w:tcW w:type="dxa" w:w="1606"/>
            <w:shd w:val="clear" w:color="auto" w:fill="D9E2F3"/>
          </w:tcPr>
          <w:p>
            <w:pPr>
              <w:spacing w:after="20" w:before="20" w:line="240" w:lineRule="auto"/>
            </w:pPr>
            <w:r/>
            <w:r>
              <w:rPr>
                <w:b/>
                <w:sz w:val="18"/>
              </w:rPr>
              <w:t>Scaled 0 to 1</w:t>
            </w:r>
          </w:p>
        </w:tc>
        <w:tc>
          <w:tcPr>
            <w:tcW w:type="dxa" w:w="1147"/>
            <w:shd w:val="clear" w:color="auto" w:fill="D9E2F3"/>
          </w:tcPr>
          <w:p>
            <w:pPr>
              <w:spacing w:after="20" w:before="20" w:line="240" w:lineRule="auto"/>
            </w:pPr>
            <w:r/>
            <w:r>
              <w:rPr>
                <w:b/>
                <w:sz w:val="18"/>
              </w:rPr>
              <w:t>Weight</w:t>
            </w:r>
          </w:p>
        </w:tc>
        <w:tc>
          <w:tcPr>
            <w:tcW w:type="dxa" w:w="2409"/>
            <w:shd w:val="clear" w:color="auto" w:fill="D9E2F3"/>
          </w:tcPr>
          <w:p>
            <w:pPr>
              <w:spacing w:after="20" w:before="20" w:line="240" w:lineRule="auto"/>
            </w:pPr>
            <w:r/>
            <w:r>
              <w:rPr>
                <w:b/>
                <w:sz w:val="18"/>
              </w:rPr>
              <w:t>Points</w:t>
            </w:r>
          </w:p>
        </w:tc>
      </w:tr>
      <w:tr>
        <w:tc>
          <w:tcPr>
            <w:tcW w:type="dxa" w:w="1377"/>
          </w:tcPr>
          <w:p>
            <w:pPr>
              <w:spacing w:after="20" w:before="20" w:line="240" w:lineRule="auto"/>
            </w:pPr>
            <w:r/>
            <w:r>
              <w:rPr>
                <w:sz w:val="18"/>
              </w:rPr>
              <w:t>PAR_045T</w:t>
            </w:r>
          </w:p>
        </w:tc>
        <w:tc>
          <w:tcPr>
            <w:tcW w:type="dxa" w:w="1377"/>
          </w:tcPr>
          <w:p>
            <w:pPr>
              <w:spacing w:after="20" w:before="20" w:line="240" w:lineRule="auto"/>
            </w:pPr>
            <w:r/>
            <w:r>
              <w:rPr>
                <w:sz w:val="18"/>
              </w:rPr>
              <w:t>15.0%</w:t>
            </w:r>
          </w:p>
        </w:tc>
        <w:tc>
          <w:tcPr>
            <w:tcW w:type="dxa" w:w="1836"/>
          </w:tcPr>
          <w:p>
            <w:pPr>
              <w:spacing w:after="20" w:before="20" w:line="240" w:lineRule="auto"/>
            </w:pPr>
            <w:r/>
            <w:r>
              <w:rPr>
                <w:sz w:val="18"/>
              </w:rPr>
              <w:t>13.3%</w:t>
            </w:r>
          </w:p>
        </w:tc>
        <w:tc>
          <w:tcPr>
            <w:tcW w:type="dxa" w:w="1606"/>
          </w:tcPr>
          <w:p>
            <w:pPr>
              <w:spacing w:after="20" w:before="20" w:line="240" w:lineRule="auto"/>
            </w:pPr>
            <w:r/>
            <w:r>
              <w:rPr>
                <w:sz w:val="18"/>
              </w:rPr>
              <w:t>0.278</w:t>
            </w:r>
          </w:p>
        </w:tc>
        <w:tc>
          <w:tcPr>
            <w:tcW w:type="dxa" w:w="1147"/>
          </w:tcPr>
          <w:p>
            <w:pPr>
              <w:spacing w:after="20" w:before="20" w:line="240" w:lineRule="auto"/>
            </w:pPr>
            <w:r/>
            <w:r>
              <w:rPr>
                <w:sz w:val="18"/>
              </w:rPr>
              <w:t>32.9</w:t>
            </w:r>
          </w:p>
        </w:tc>
        <w:tc>
          <w:tcPr>
            <w:tcW w:type="dxa" w:w="2409"/>
          </w:tcPr>
          <w:p>
            <w:pPr>
              <w:spacing w:after="20" w:before="20" w:line="240" w:lineRule="auto"/>
            </w:pPr>
            <w:r/>
            <w:r>
              <w:rPr>
                <w:sz w:val="18"/>
              </w:rPr>
              <w:t>9.16</w:t>
            </w:r>
          </w:p>
        </w:tc>
      </w:tr>
      <w:tr>
        <w:tc>
          <w:tcPr>
            <w:tcW w:type="dxa" w:w="1377"/>
          </w:tcPr>
          <w:p>
            <w:pPr>
              <w:spacing w:after="20" w:before="20" w:line="240" w:lineRule="auto"/>
            </w:pPr>
            <w:r/>
            <w:r>
              <w:rPr>
                <w:sz w:val="18"/>
              </w:rPr>
              <w:t>PAR_077</w:t>
            </w:r>
          </w:p>
        </w:tc>
        <w:tc>
          <w:tcPr>
            <w:tcW w:type="dxa" w:w="1377"/>
          </w:tcPr>
          <w:p>
            <w:pPr>
              <w:spacing w:after="20" w:before="20" w:line="240" w:lineRule="auto"/>
            </w:pPr>
            <w:r/>
            <w:r>
              <w:rPr>
                <w:sz w:val="18"/>
              </w:rPr>
              <w:t>7.5%</w:t>
            </w:r>
          </w:p>
        </w:tc>
        <w:tc>
          <w:tcPr>
            <w:tcW w:type="dxa" w:w="1836"/>
          </w:tcPr>
          <w:p>
            <w:pPr>
              <w:spacing w:after="20" w:before="20" w:line="240" w:lineRule="auto"/>
            </w:pPr>
            <w:r/>
            <w:r>
              <w:rPr>
                <w:sz w:val="18"/>
              </w:rPr>
              <w:t>6.6%</w:t>
            </w:r>
          </w:p>
        </w:tc>
        <w:tc>
          <w:tcPr>
            <w:tcW w:type="dxa" w:w="1606"/>
          </w:tcPr>
          <w:p>
            <w:pPr>
              <w:spacing w:after="20" w:before="20" w:line="240" w:lineRule="auto"/>
            </w:pPr>
            <w:r/>
            <w:r>
              <w:rPr>
                <w:sz w:val="18"/>
              </w:rPr>
              <w:t>0.254</w:t>
            </w:r>
          </w:p>
        </w:tc>
        <w:tc>
          <w:tcPr>
            <w:tcW w:type="dxa" w:w="1147"/>
          </w:tcPr>
          <w:p>
            <w:pPr>
              <w:spacing w:after="20" w:before="20" w:line="240" w:lineRule="auto"/>
            </w:pPr>
            <w:r/>
            <w:r>
              <w:rPr>
                <w:sz w:val="18"/>
              </w:rPr>
              <w:t>26.3</w:t>
            </w:r>
          </w:p>
        </w:tc>
        <w:tc>
          <w:tcPr>
            <w:tcW w:type="dxa" w:w="2409"/>
          </w:tcPr>
          <w:p>
            <w:pPr>
              <w:spacing w:after="20" w:before="20" w:line="240" w:lineRule="auto"/>
            </w:pPr>
            <w:r/>
            <w:r>
              <w:rPr>
                <w:sz w:val="18"/>
              </w:rPr>
              <w:t>6.68</w:t>
            </w:r>
          </w:p>
        </w:tc>
      </w:tr>
      <w:tr>
        <w:tc>
          <w:tcPr>
            <w:tcW w:type="dxa" w:w="1377"/>
          </w:tcPr>
          <w:p>
            <w:pPr>
              <w:spacing w:after="20" w:before="20" w:line="240" w:lineRule="auto"/>
            </w:pPr>
            <w:r/>
            <w:r>
              <w:rPr>
                <w:sz w:val="18"/>
              </w:rPr>
              <w:t>PAR_045</w:t>
            </w:r>
          </w:p>
        </w:tc>
        <w:tc>
          <w:tcPr>
            <w:tcW w:type="dxa" w:w="1377"/>
          </w:tcPr>
          <w:p>
            <w:pPr>
              <w:spacing w:after="20" w:before="20" w:line="240" w:lineRule="auto"/>
            </w:pPr>
            <w:r/>
            <w:r>
              <w:rPr>
                <w:sz w:val="18"/>
              </w:rPr>
              <w:t>25.0%</w:t>
            </w:r>
          </w:p>
        </w:tc>
        <w:tc>
          <w:tcPr>
            <w:tcW w:type="dxa" w:w="1836"/>
          </w:tcPr>
          <w:p>
            <w:pPr>
              <w:spacing w:after="20" w:before="20" w:line="240" w:lineRule="auto"/>
            </w:pPr>
            <w:r/>
            <w:r>
              <w:rPr>
                <w:sz w:val="18"/>
              </w:rPr>
              <w:t>22.5%</w:t>
            </w:r>
          </w:p>
        </w:tc>
        <w:tc>
          <w:tcPr>
            <w:tcW w:type="dxa" w:w="1606"/>
          </w:tcPr>
          <w:p>
            <w:pPr>
              <w:spacing w:after="20" w:before="20" w:line="240" w:lineRule="auto"/>
            </w:pPr>
            <w:r/>
            <w:r>
              <w:rPr>
                <w:sz w:val="18"/>
              </w:rPr>
              <w:t>0.311</w:t>
            </w:r>
          </w:p>
        </w:tc>
        <w:tc>
          <w:tcPr>
            <w:tcW w:type="dxa" w:w="1147"/>
          </w:tcPr>
          <w:p>
            <w:pPr>
              <w:spacing w:after="20" w:before="20" w:line="240" w:lineRule="auto"/>
            </w:pPr>
            <w:r/>
            <w:r>
              <w:rPr>
                <w:sz w:val="18"/>
              </w:rPr>
              <w:t>21.1</w:t>
            </w:r>
          </w:p>
        </w:tc>
        <w:tc>
          <w:tcPr>
            <w:tcW w:type="dxa" w:w="2409"/>
          </w:tcPr>
          <w:p>
            <w:pPr>
              <w:spacing w:after="20" w:before="20" w:line="240" w:lineRule="auto"/>
            </w:pPr>
            <w:r/>
            <w:r>
              <w:rPr>
                <w:sz w:val="18"/>
              </w:rPr>
              <w:t>6.55</w:t>
            </w:r>
          </w:p>
        </w:tc>
      </w:tr>
      <w:tr>
        <w:tc>
          <w:tcPr>
            <w:tcW w:type="dxa" w:w="1377"/>
          </w:tcPr>
          <w:p>
            <w:pPr>
              <w:spacing w:after="20" w:before="20" w:line="240" w:lineRule="auto"/>
            </w:pPr>
            <w:r/>
            <w:r>
              <w:rPr>
                <w:sz w:val="18"/>
              </w:rPr>
              <w:t>PAR_048</w:t>
            </w:r>
          </w:p>
        </w:tc>
        <w:tc>
          <w:tcPr>
            <w:tcW w:type="dxa" w:w="1377"/>
          </w:tcPr>
          <w:p>
            <w:pPr>
              <w:spacing w:after="20" w:before="20" w:line="240" w:lineRule="auto"/>
            </w:pPr>
            <w:r/>
            <w:r>
              <w:rPr>
                <w:sz w:val="18"/>
              </w:rPr>
              <w:t>7.4%</w:t>
            </w:r>
          </w:p>
        </w:tc>
        <w:tc>
          <w:tcPr>
            <w:tcW w:type="dxa" w:w="1836"/>
          </w:tcPr>
          <w:p>
            <w:pPr>
              <w:spacing w:after="20" w:before="20" w:line="240" w:lineRule="auto"/>
            </w:pPr>
            <w:r/>
            <w:r>
              <w:rPr>
                <w:sz w:val="18"/>
              </w:rPr>
              <w:t>6.7%</w:t>
            </w:r>
          </w:p>
        </w:tc>
        <w:tc>
          <w:tcPr>
            <w:tcW w:type="dxa" w:w="1606"/>
          </w:tcPr>
          <w:p>
            <w:pPr>
              <w:spacing w:after="20" w:before="20" w:line="240" w:lineRule="auto"/>
            </w:pPr>
            <w:r/>
            <w:r>
              <w:rPr>
                <w:sz w:val="18"/>
              </w:rPr>
              <w:t>0.087</w:t>
            </w:r>
          </w:p>
        </w:tc>
        <w:tc>
          <w:tcPr>
            <w:tcW w:type="dxa" w:w="1147"/>
          </w:tcPr>
          <w:p>
            <w:pPr>
              <w:spacing w:after="20" w:before="20" w:line="240" w:lineRule="auto"/>
            </w:pPr>
            <w:r/>
            <w:r>
              <w:rPr>
                <w:sz w:val="18"/>
              </w:rPr>
              <w:t>3.9</w:t>
            </w:r>
          </w:p>
        </w:tc>
        <w:tc>
          <w:tcPr>
            <w:tcW w:type="dxa" w:w="2409"/>
          </w:tcPr>
          <w:p>
            <w:pPr>
              <w:spacing w:after="20" w:before="20" w:line="240" w:lineRule="auto"/>
            </w:pPr>
            <w:r/>
            <w:r>
              <w:rPr>
                <w:sz w:val="18"/>
              </w:rPr>
              <w:t>0.34</w:t>
            </w:r>
          </w:p>
        </w:tc>
      </w:tr>
      <w:tr>
        <w:tc>
          <w:tcPr>
            <w:tcW w:type="dxa" w:w="1377"/>
          </w:tcPr>
          <w:p>
            <w:pPr>
              <w:spacing w:after="20" w:before="20" w:line="240" w:lineRule="auto"/>
            </w:pPr>
            <w:r/>
            <w:r>
              <w:rPr>
                <w:sz w:val="18"/>
              </w:rPr>
              <w:t>PAR_076</w:t>
            </w:r>
          </w:p>
        </w:tc>
        <w:tc>
          <w:tcPr>
            <w:tcW w:type="dxa" w:w="1377"/>
          </w:tcPr>
          <w:p>
            <w:pPr>
              <w:spacing w:after="20" w:before="20" w:line="240" w:lineRule="auto"/>
            </w:pPr>
            <w:r/>
            <w:r>
              <w:rPr>
                <w:sz w:val="18"/>
              </w:rPr>
              <w:t>0%</w:t>
            </w:r>
          </w:p>
        </w:tc>
        <w:tc>
          <w:tcPr>
            <w:tcW w:type="dxa" w:w="1836"/>
          </w:tcPr>
          <w:p>
            <w:pPr>
              <w:spacing w:after="20" w:before="20" w:line="240" w:lineRule="auto"/>
            </w:pPr>
            <w:r/>
            <w:r>
              <w:rPr>
                <w:sz w:val="18"/>
              </w:rPr>
              <w:t>0%</w:t>
            </w:r>
          </w:p>
        </w:tc>
        <w:tc>
          <w:tcPr>
            <w:tcW w:type="dxa" w:w="1606"/>
          </w:tcPr>
          <w:p>
            <w:pPr>
              <w:spacing w:after="20" w:before="20" w:line="240" w:lineRule="auto"/>
            </w:pPr>
            <w:r/>
            <w:r>
              <w:rPr>
                <w:sz w:val="18"/>
              </w:rPr>
              <w:t>0</w:t>
            </w:r>
          </w:p>
        </w:tc>
        <w:tc>
          <w:tcPr>
            <w:tcW w:type="dxa" w:w="1147"/>
          </w:tcPr>
          <w:p>
            <w:pPr>
              <w:spacing w:after="20" w:before="20" w:line="240" w:lineRule="auto"/>
            </w:pPr>
            <w:r/>
            <w:r>
              <w:rPr>
                <w:sz w:val="18"/>
              </w:rPr>
              <w:t>3.9</w:t>
            </w:r>
          </w:p>
        </w:tc>
        <w:tc>
          <w:tcPr>
            <w:tcW w:type="dxa" w:w="2409"/>
          </w:tcPr>
          <w:p>
            <w:pPr>
              <w:spacing w:after="20" w:before="20" w:line="240" w:lineRule="auto"/>
            </w:pPr>
            <w:r/>
            <w:r>
              <w:rPr>
                <w:sz w:val="18"/>
              </w:rPr>
              <w:t>0</w:t>
            </w:r>
          </w:p>
        </w:tc>
      </w:tr>
      <w:tr>
        <w:tc>
          <w:tcPr>
            <w:tcW w:type="dxa" w:w="1377"/>
          </w:tcPr>
          <w:p>
            <w:pPr>
              <w:spacing w:after="20" w:before="20" w:line="240" w:lineRule="auto"/>
            </w:pPr>
            <w:r/>
            <w:r>
              <w:rPr>
                <w:sz w:val="18"/>
              </w:rPr>
              <w:t>PAR_066</w:t>
            </w:r>
          </w:p>
        </w:tc>
        <w:tc>
          <w:tcPr>
            <w:tcW w:type="dxa" w:w="1377"/>
          </w:tcPr>
          <w:p>
            <w:pPr>
              <w:spacing w:after="20" w:before="20" w:line="240" w:lineRule="auto"/>
            </w:pPr>
            <w:r/>
            <w:r>
              <w:rPr>
                <w:sz w:val="18"/>
              </w:rPr>
              <w:t>0%</w:t>
            </w:r>
          </w:p>
        </w:tc>
        <w:tc>
          <w:tcPr>
            <w:tcW w:type="dxa" w:w="1836"/>
          </w:tcPr>
          <w:p>
            <w:pPr>
              <w:spacing w:after="20" w:before="20" w:line="240" w:lineRule="auto"/>
            </w:pPr>
            <w:r/>
            <w:r>
              <w:rPr>
                <w:sz w:val="18"/>
              </w:rPr>
              <w:t>0%</w:t>
            </w:r>
          </w:p>
        </w:tc>
        <w:tc>
          <w:tcPr>
            <w:tcW w:type="dxa" w:w="1606"/>
          </w:tcPr>
          <w:p>
            <w:pPr>
              <w:spacing w:after="20" w:before="20" w:line="240" w:lineRule="auto"/>
            </w:pPr>
            <w:r/>
            <w:r>
              <w:rPr>
                <w:sz w:val="18"/>
              </w:rPr>
              <w:t>0</w:t>
            </w:r>
          </w:p>
        </w:tc>
        <w:tc>
          <w:tcPr>
            <w:tcW w:type="dxa" w:w="1147"/>
          </w:tcPr>
          <w:p>
            <w:pPr>
              <w:spacing w:after="20" w:before="20" w:line="240" w:lineRule="auto"/>
            </w:pPr>
            <w:r/>
            <w:r>
              <w:rPr>
                <w:sz w:val="18"/>
              </w:rPr>
              <w:t>3.9</w:t>
            </w:r>
          </w:p>
        </w:tc>
        <w:tc>
          <w:tcPr>
            <w:tcW w:type="dxa" w:w="2409"/>
          </w:tcPr>
          <w:p>
            <w:pPr>
              <w:spacing w:after="20" w:before="20" w:line="240" w:lineRule="auto"/>
            </w:pPr>
            <w:r/>
            <w:r>
              <w:rPr>
                <w:sz w:val="18"/>
              </w:rPr>
              <w:t>0</w:t>
            </w:r>
          </w:p>
        </w:tc>
      </w:tr>
      <w:tr>
        <w:tc>
          <w:tcPr>
            <w:tcW w:type="dxa" w:w="1377"/>
          </w:tcPr>
          <w:p>
            <w:pPr>
              <w:spacing w:after="20" w:before="20" w:line="240" w:lineRule="auto"/>
            </w:pPr>
            <w:r/>
            <w:r>
              <w:rPr>
                <w:sz w:val="18"/>
              </w:rPr>
              <w:t>PAR_105</w:t>
            </w:r>
          </w:p>
        </w:tc>
        <w:tc>
          <w:tcPr>
            <w:tcW w:type="dxa" w:w="1377"/>
          </w:tcPr>
          <w:p>
            <w:pPr>
              <w:spacing w:after="20" w:before="20" w:line="240" w:lineRule="auto"/>
            </w:pPr>
            <w:r/>
            <w:r>
              <w:rPr>
                <w:sz w:val="18"/>
              </w:rPr>
              <w:t>yes (1)</w:t>
            </w:r>
          </w:p>
        </w:tc>
        <w:tc>
          <w:tcPr>
            <w:tcW w:type="dxa" w:w="1836"/>
          </w:tcPr>
          <w:p>
            <w:pPr>
              <w:spacing w:after="20" w:before="20" w:line="240" w:lineRule="auto"/>
            </w:pPr>
            <w:r/>
            <w:r>
              <w:rPr>
                <w:sz w:val="18"/>
              </w:rPr>
              <w:t>0.92</w:t>
            </w:r>
          </w:p>
        </w:tc>
        <w:tc>
          <w:tcPr>
            <w:tcW w:type="dxa" w:w="1606"/>
          </w:tcPr>
          <w:p>
            <w:pPr>
              <w:spacing w:after="20" w:before="20" w:line="240" w:lineRule="auto"/>
            </w:pPr>
            <w:r/>
            <w:r>
              <w:rPr>
                <w:sz w:val="18"/>
              </w:rPr>
              <w:t>0.92</w:t>
            </w:r>
          </w:p>
        </w:tc>
        <w:tc>
          <w:tcPr>
            <w:tcW w:type="dxa" w:w="1147"/>
          </w:tcPr>
          <w:p>
            <w:pPr>
              <w:spacing w:after="20" w:before="20" w:line="240" w:lineRule="auto"/>
            </w:pPr>
            <w:r/>
            <w:r>
              <w:rPr>
                <w:sz w:val="18"/>
              </w:rPr>
              <w:t>3.9</w:t>
            </w:r>
          </w:p>
        </w:tc>
        <w:tc>
          <w:tcPr>
            <w:tcW w:type="dxa" w:w="2409"/>
          </w:tcPr>
          <w:p>
            <w:pPr>
              <w:spacing w:after="20" w:before="20" w:line="240" w:lineRule="auto"/>
            </w:pPr>
            <w:r/>
            <w:r>
              <w:rPr>
                <w:sz w:val="18"/>
              </w:rPr>
              <w:t>3.63</w:t>
            </w:r>
          </w:p>
        </w:tc>
      </w:tr>
      <w:tr>
        <w:tc>
          <w:tcPr>
            <w:tcW w:type="dxa" w:w="1377"/>
          </w:tcPr>
          <w:p>
            <w:pPr>
              <w:spacing w:after="20" w:before="20" w:line="240" w:lineRule="auto"/>
            </w:pPr>
            <w:r/>
            <w:r>
              <w:rPr>
                <w:sz w:val="18"/>
              </w:rPr>
              <w:t>PAR_023</w:t>
            </w:r>
          </w:p>
        </w:tc>
        <w:tc>
          <w:tcPr>
            <w:tcW w:type="dxa" w:w="1377"/>
          </w:tcPr>
          <w:p>
            <w:pPr>
              <w:spacing w:after="20" w:before="20" w:line="240" w:lineRule="auto"/>
            </w:pPr>
            <w:r/>
            <w:r>
              <w:rPr>
                <w:sz w:val="18"/>
              </w:rPr>
              <w:t>20%</w:t>
            </w:r>
          </w:p>
        </w:tc>
        <w:tc>
          <w:tcPr>
            <w:tcW w:type="dxa" w:w="1836"/>
          </w:tcPr>
          <w:p>
            <w:pPr>
              <w:spacing w:after="20" w:before="20" w:line="240" w:lineRule="auto"/>
            </w:pPr>
            <w:r/>
            <w:r>
              <w:rPr>
                <w:sz w:val="18"/>
              </w:rPr>
              <w:t>19.3%</w:t>
            </w:r>
          </w:p>
        </w:tc>
        <w:tc>
          <w:tcPr>
            <w:tcW w:type="dxa" w:w="1606"/>
          </w:tcPr>
          <w:p>
            <w:pPr>
              <w:spacing w:after="20" w:before="20" w:line="240" w:lineRule="auto"/>
            </w:pPr>
            <w:r/>
            <w:r>
              <w:rPr>
                <w:sz w:val="18"/>
              </w:rPr>
              <w:t>0 (below 30%)</w:t>
            </w:r>
          </w:p>
        </w:tc>
        <w:tc>
          <w:tcPr>
            <w:tcW w:type="dxa" w:w="1147"/>
          </w:tcPr>
          <w:p>
            <w:pPr>
              <w:spacing w:after="20" w:before="20" w:line="240" w:lineRule="auto"/>
            </w:pPr>
            <w:r/>
            <w:r>
              <w:rPr>
                <w:sz w:val="18"/>
              </w:rPr>
              <w:t>3.9</w:t>
            </w:r>
          </w:p>
        </w:tc>
        <w:tc>
          <w:tcPr>
            <w:tcW w:type="dxa" w:w="2409"/>
          </w:tcPr>
          <w:p>
            <w:pPr>
              <w:spacing w:after="20" w:before="20" w:line="240" w:lineRule="auto"/>
            </w:pPr>
            <w:r/>
            <w:r>
              <w:rPr>
                <w:sz w:val="18"/>
              </w:rPr>
              <w:t>0</w:t>
            </w:r>
          </w:p>
        </w:tc>
      </w:tr>
      <w:tr>
        <w:tc>
          <w:tcPr>
            <w:tcW w:type="dxa" w:w="1377"/>
          </w:tcPr>
          <w:p>
            <w:pPr>
              <w:spacing w:after="20" w:before="20" w:line="240" w:lineRule="auto"/>
            </w:pPr>
            <w:r/>
            <w:r>
              <w:rPr>
                <w:b/>
                <w:sz w:val="18"/>
              </w:rPr>
              <w:t>Total</w:t>
            </w:r>
          </w:p>
        </w:tc>
        <w:tc>
          <w:tcPr>
            <w:tcW w:type="dxa" w:w="1377"/>
          </w:tcPr>
          <w:p>
            <w:pPr>
              <w:spacing w:after="20" w:before="20" w:line="240" w:lineRule="auto"/>
            </w:pPr>
            <w:r/>
          </w:p>
        </w:tc>
        <w:tc>
          <w:tcPr>
            <w:tcW w:type="dxa" w:w="1836"/>
          </w:tcPr>
          <w:p>
            <w:pPr>
              <w:spacing w:after="20" w:before="20" w:line="240" w:lineRule="auto"/>
            </w:pPr>
            <w:r/>
          </w:p>
        </w:tc>
        <w:tc>
          <w:tcPr>
            <w:tcW w:type="dxa" w:w="1606"/>
          </w:tcPr>
          <w:p>
            <w:pPr>
              <w:spacing w:after="20" w:before="20" w:line="240" w:lineRule="auto"/>
            </w:pPr>
            <w:r/>
          </w:p>
        </w:tc>
        <w:tc>
          <w:tcPr>
            <w:tcW w:type="dxa" w:w="1147"/>
          </w:tcPr>
          <w:p>
            <w:pPr>
              <w:spacing w:after="20" w:before="20" w:line="240" w:lineRule="auto"/>
            </w:pPr>
            <w:r/>
            <w:r>
              <w:rPr>
                <w:sz w:val="18"/>
              </w:rPr>
              <w:t>100</w:t>
            </w:r>
          </w:p>
        </w:tc>
        <w:tc>
          <w:tcPr>
            <w:tcW w:type="dxa" w:w="2409"/>
          </w:tcPr>
          <w:p>
            <w:pPr>
              <w:spacing w:after="20" w:before="20" w:line="240" w:lineRule="auto"/>
            </w:pPr>
            <w:r/>
            <w:r>
              <w:rPr>
                <w:b/>
                <w:sz w:val="18"/>
              </w:rPr>
              <w:t>26.36, rounded to 26</w:t>
            </w:r>
          </w:p>
        </w:tc>
      </w:tr>
    </w:tbl>
    <w:p>
      <w:pPr>
        <w:spacing w:after="40"/>
      </w:pPr>
    </w:p>
    <w:p>
      <w:pPr>
        <w:spacing w:after="120"/>
      </w:pPr>
      <w:r>
        <w:t>Score 26 falls in the LOW band (16 to 35). Out of 58,162 taxpayers that day, it ranked 8,608th.</w:t>
      </w:r>
    </w:p>
    <w:p>
      <w:pPr>
        <w:pStyle w:val="Heading2"/>
      </w:pPr>
      <w:r>
        <w:t>3.7 Step 6: Reasons and Notes</w:t>
      </w:r>
    </w:p>
    <w:p>
      <w:pPr>
        <w:spacing w:after="120"/>
      </w:pPr>
      <w:r>
        <w:t>Every parameter that earned points gets a fixed sentence, filled with the taxpayer's raw value. The three largest become Reason 1 to 3; all of them are on the Reasons sheet. Ties are broken by code, so two taxpayers with the same facts always get word-for-word the same reasons.</w:t>
      </w:r>
    </w:p>
    <w:p>
      <w:pPr>
        <w:pStyle w:val="Caption"/>
      </w:pPr>
      <w:r>
        <w:t xml:space="preserve">Table </w:t>
      </w:r>
      <w:r>
        <w:fldChar w:fldCharType="begin"/>
      </w:r>
      <w:r>
        <w:instrText xml:space="preserve"> SEQ Table \* ARABIC </w:instrText>
      </w:r>
      <w:r>
        <w:fldChar w:fldCharType="separate"/>
      </w:r>
      <w:r>
        <w:t>14</w:t>
      </w:r>
      <w:r>
        <w:fldChar w:fldCharType="end"/>
      </w:r>
      <w:r>
        <w:t>: Notes (no points)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918"/>
            <w:shd w:val="clear" w:color="auto" w:fill="D9E2F3"/>
          </w:tcPr>
          <w:p>
            <w:pPr>
              <w:spacing w:after="20" w:before="20" w:line="240" w:lineRule="auto"/>
            </w:pPr>
            <w:r/>
            <w:r>
              <w:rPr>
                <w:b/>
                <w:sz w:val="18"/>
              </w:rPr>
              <w:t>Code</w:t>
            </w:r>
          </w:p>
        </w:tc>
        <w:tc>
          <w:tcPr>
            <w:tcW w:type="dxa" w:w="3671"/>
            <w:shd w:val="clear" w:color="auto" w:fill="D9E2F3"/>
          </w:tcPr>
          <w:p>
            <w:pPr>
              <w:spacing w:after="20" w:before="20" w:line="240" w:lineRule="auto"/>
            </w:pPr>
            <w:r/>
            <w:r>
              <w:rPr>
                <w:b/>
                <w:sz w:val="18"/>
              </w:rPr>
              <w:t>When it appears</w:t>
            </w:r>
          </w:p>
        </w:tc>
        <w:tc>
          <w:tcPr>
            <w:tcW w:type="dxa" w:w="5162"/>
            <w:shd w:val="clear" w:color="auto" w:fill="D9E2F3"/>
          </w:tcPr>
          <w:p>
            <w:pPr>
              <w:spacing w:after="20" w:before="20" w:line="240" w:lineRule="auto"/>
            </w:pPr>
            <w:r/>
            <w:r>
              <w:rPr>
                <w:b/>
                <w:sz w:val="18"/>
              </w:rPr>
              <w:t>What it tells the officer</w:t>
            </w:r>
          </w:p>
        </w:tc>
      </w:tr>
      <w:tr>
        <w:tc>
          <w:tcPr>
            <w:tcW w:type="dxa" w:w="918"/>
          </w:tcPr>
          <w:p>
            <w:pPr>
              <w:spacing w:after="20" w:before="20" w:line="240" w:lineRule="auto"/>
            </w:pPr>
            <w:r/>
            <w:r>
              <w:rPr>
                <w:sz w:val="18"/>
              </w:rPr>
              <w:t>PAT</w:t>
            </w:r>
          </w:p>
        </w:tc>
        <w:tc>
          <w:tcPr>
            <w:tcW w:type="dxa" w:w="3671"/>
          </w:tcPr>
          <w:p>
            <w:pPr>
              <w:spacing w:after="20" w:before="20" w:line="240" w:lineRule="auto"/>
            </w:pPr>
            <w:r/>
            <w:r>
              <w:rPr>
                <w:sz w:val="18"/>
              </w:rPr>
              <w:t>Trading pattern more unusual than 95% of the peer group</w:t>
            </w:r>
          </w:p>
        </w:tc>
        <w:tc>
          <w:tcPr>
            <w:tcW w:type="dxa" w:w="5162"/>
          </w:tcPr>
          <w:p>
            <w:pPr>
              <w:spacing w:after="20" w:before="20" w:line="240" w:lineRule="auto"/>
            </w:pPr>
            <w:r/>
            <w:r>
              <w:rPr>
                <w:sz w:val="18"/>
              </w:rPr>
              <w:t>Look at how this taxpayer trades; the score itself is unaffected</w:t>
            </w:r>
          </w:p>
        </w:tc>
      </w:tr>
      <w:tr>
        <w:tc>
          <w:tcPr>
            <w:tcW w:type="dxa" w:w="918"/>
          </w:tcPr>
          <w:p>
            <w:pPr>
              <w:spacing w:after="20" w:before="20" w:line="240" w:lineRule="auto"/>
            </w:pPr>
            <w:r/>
            <w:r>
              <w:rPr>
                <w:sz w:val="18"/>
              </w:rPr>
              <w:t>LIM</w:t>
            </w:r>
          </w:p>
        </w:tc>
        <w:tc>
          <w:tcPr>
            <w:tcW w:type="dxa" w:w="3671"/>
          </w:tcPr>
          <w:p>
            <w:pPr>
              <w:spacing w:after="20" w:before="20" w:line="240" w:lineRule="auto"/>
            </w:pPr>
            <w:r/>
            <w:r>
              <w:rPr>
                <w:sz w:val="18"/>
              </w:rPr>
              <w:t>Fewer than 10 declarations in 24 months</w:t>
            </w:r>
          </w:p>
        </w:tc>
        <w:tc>
          <w:tcPr>
            <w:tcW w:type="dxa" w:w="5162"/>
          </w:tcPr>
          <w:p>
            <w:pPr>
              <w:spacing w:after="20" w:before="20" w:line="240" w:lineRule="auto"/>
            </w:pPr>
            <w:r/>
            <w:r>
              <w:rPr>
                <w:sz w:val="18"/>
              </w:rPr>
              <w:t>The score rests on little history</w:t>
            </w:r>
          </w:p>
        </w:tc>
      </w:tr>
      <w:tr>
        <w:tc>
          <w:tcPr>
            <w:tcW w:type="dxa" w:w="918"/>
          </w:tcPr>
          <w:p>
            <w:pPr>
              <w:spacing w:after="20" w:before="20" w:line="240" w:lineRule="auto"/>
            </w:pPr>
            <w:r/>
            <w:r>
              <w:rPr>
                <w:sz w:val="18"/>
              </w:rPr>
              <w:t>NPE</w:t>
            </w:r>
          </w:p>
        </w:tc>
        <w:tc>
          <w:tcPr>
            <w:tcW w:type="dxa" w:w="3671"/>
          </w:tcPr>
          <w:p>
            <w:pPr>
              <w:spacing w:after="20" w:before="20" w:line="240" w:lineRule="auto"/>
            </w:pPr>
            <w:r/>
            <w:r>
              <w:rPr>
                <w:sz w:val="18"/>
              </w:rPr>
              <w:t>Peer group too small, pooled into "Other goods"</w:t>
            </w:r>
          </w:p>
        </w:tc>
        <w:tc>
          <w:tcPr>
            <w:tcW w:type="dxa" w:w="5162"/>
          </w:tcPr>
          <w:p>
            <w:pPr>
              <w:spacing w:after="20" w:before="20" w:line="240" w:lineRule="auto"/>
            </w:pPr>
            <w:r/>
            <w:r>
              <w:rPr>
                <w:sz w:val="18"/>
              </w:rPr>
              <w:t>The pattern check compared them with a mixed group</w:t>
            </w:r>
          </w:p>
        </w:tc>
      </w:tr>
      <w:tr>
        <w:tc>
          <w:tcPr>
            <w:tcW w:type="dxa" w:w="918"/>
          </w:tcPr>
          <w:p>
            <w:pPr>
              <w:spacing w:after="20" w:before="20" w:line="240" w:lineRule="auto"/>
            </w:pPr>
            <w:r/>
            <w:r>
              <w:rPr>
                <w:sz w:val="18"/>
              </w:rPr>
              <w:t>LAG</w:t>
            </w:r>
          </w:p>
        </w:tc>
        <w:tc>
          <w:tcPr>
            <w:tcW w:type="dxa" w:w="3671"/>
          </w:tcPr>
          <w:p>
            <w:pPr>
              <w:spacing w:after="20" w:before="20" w:line="240" w:lineRule="auto"/>
            </w:pPr>
            <w:r/>
            <w:r>
              <w:rPr>
                <w:sz w:val="18"/>
              </w:rPr>
              <w:t>Scorecard and pattern check point opposite ways</w:t>
            </w:r>
          </w:p>
        </w:tc>
        <w:tc>
          <w:tcPr>
            <w:tcW w:type="dxa" w:w="5162"/>
          </w:tcPr>
          <w:p>
            <w:pPr>
              <w:spacing w:after="20" w:before="20" w:line="240" w:lineRule="auto"/>
            </w:pPr>
            <w:r/>
            <w:r>
              <w:rPr>
                <w:sz w:val="18"/>
              </w:rPr>
              <w:t>Worth a closer look either way</w:t>
            </w:r>
          </w:p>
        </w:tc>
      </w:tr>
      <w:tr>
        <w:tc>
          <w:tcPr>
            <w:tcW w:type="dxa" w:w="918"/>
          </w:tcPr>
          <w:p>
            <w:pPr>
              <w:spacing w:after="20" w:before="20" w:line="240" w:lineRule="auto"/>
            </w:pPr>
            <w:r/>
            <w:r>
              <w:rPr>
                <w:sz w:val="18"/>
              </w:rPr>
              <w:t>MIS</w:t>
            </w:r>
          </w:p>
        </w:tc>
        <w:tc>
          <w:tcPr>
            <w:tcW w:type="dxa" w:w="3671"/>
          </w:tcPr>
          <w:p>
            <w:pPr>
              <w:spacing w:after="20" w:before="20" w:line="240" w:lineRule="auto"/>
            </w:pPr>
            <w:r/>
            <w:r>
              <w:rPr>
                <w:sz w:val="18"/>
              </w:rPr>
              <w:t>Some parameters could not be computed</w:t>
            </w:r>
          </w:p>
        </w:tc>
        <w:tc>
          <w:tcPr>
            <w:tcW w:type="dxa" w:w="5162"/>
          </w:tcPr>
          <w:p>
            <w:pPr>
              <w:spacing w:after="20" w:before="20" w:line="240" w:lineRule="auto"/>
            </w:pPr>
            <w:r/>
            <w:r>
              <w:rPr>
                <w:sz w:val="18"/>
              </w:rPr>
              <w:t>The rest were reweighted</w:t>
            </w:r>
          </w:p>
        </w:tc>
      </w:tr>
    </w:tbl>
    <w:p>
      <w:pPr>
        <w:spacing w:after="40"/>
      </w:pPr>
    </w:p>
    <w:p>
      <w:pPr>
        <w:pStyle w:val="Heading2"/>
      </w:pPr>
      <w:r>
        <w:t>3.8 Step 7: Peer Group and Pattern Note</w:t>
      </w:r>
    </w:p>
    <w:p>
      <w:pPr>
        <w:spacing w:after="120"/>
      </w:pPr>
      <w:r>
        <w:t>Regular taxpayers (10 or more declarations) are placed in a peer group: main goods (the HS section where most of their customs value is) x size (bottom, middle or top third by customs value within that section). Our example is "Textiles, medium". Within the group, an Isolation Forest measures how unusual each taxpayer's overall pattern is; the top 5% get the PAT note. Part 5 explains why this adds no points.</w:t>
      </w:r>
    </w:p>
    <w:p>
      <w:pPr>
        <w:pStyle w:val="Heading2"/>
      </w:pPr>
      <w:r>
        <w:t>3.9 Step 8: The Band</w:t>
      </w:r>
    </w:p>
    <w:p>
      <w:pPr>
        <w:pStyle w:val="Caption"/>
      </w:pPr>
      <w:r>
        <w:t xml:space="preserve">Table </w:t>
      </w:r>
      <w:r>
        <w:fldChar w:fldCharType="begin"/>
      </w:r>
      <w:r>
        <w:instrText xml:space="preserve"> SEQ Table \* ARABIC </w:instrText>
      </w:r>
      <w:r>
        <w:fldChar w:fldCharType="separate"/>
      </w:r>
      <w:r>
        <w:t>15</w:t>
      </w:r>
      <w:r>
        <w:fldChar w:fldCharType="end"/>
      </w:r>
      <w:r>
        <w:t>: Bands (provisional until Stage 7)</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1606"/>
            <w:shd w:val="clear" w:color="auto" w:fill="D9E2F3"/>
          </w:tcPr>
          <w:p>
            <w:pPr>
              <w:spacing w:after="20" w:before="20" w:line="240" w:lineRule="auto"/>
            </w:pPr>
            <w:r/>
            <w:r>
              <w:rPr>
                <w:b/>
                <w:sz w:val="18"/>
              </w:rPr>
              <w:t>Band</w:t>
            </w:r>
          </w:p>
        </w:tc>
        <w:tc>
          <w:tcPr>
            <w:tcW w:type="dxa" w:w="1262"/>
            <w:shd w:val="clear" w:color="auto" w:fill="D9E2F3"/>
          </w:tcPr>
          <w:p>
            <w:pPr>
              <w:spacing w:after="20" w:before="20" w:line="240" w:lineRule="auto"/>
            </w:pPr>
            <w:r/>
            <w:r>
              <w:rPr>
                <w:b/>
                <w:sz w:val="18"/>
              </w:rPr>
              <w:t>Score</w:t>
            </w:r>
          </w:p>
        </w:tc>
        <w:tc>
          <w:tcPr>
            <w:tcW w:type="dxa" w:w="2868"/>
            <w:shd w:val="clear" w:color="auto" w:fill="D9E2F3"/>
          </w:tcPr>
          <w:p>
            <w:pPr>
              <w:spacing w:after="20" w:before="20" w:line="240" w:lineRule="auto"/>
            </w:pPr>
            <w:r/>
            <w:r>
              <w:rPr>
                <w:b/>
                <w:sz w:val="18"/>
              </w:rPr>
              <w:t>Intended handling</w:t>
            </w:r>
          </w:p>
        </w:tc>
        <w:tc>
          <w:tcPr>
            <w:tcW w:type="dxa" w:w="2065"/>
            <w:shd w:val="clear" w:color="auto" w:fill="D9E2F3"/>
          </w:tcPr>
          <w:p>
            <w:pPr>
              <w:spacing w:after="20" w:before="20" w:line="240" w:lineRule="auto"/>
            </w:pPr>
            <w:r/>
            <w:r>
              <w:rPr>
                <w:b/>
                <w:sz w:val="18"/>
              </w:rPr>
              <w:t>Taxpayers, March 2026</w:t>
            </w:r>
          </w:p>
        </w:tc>
        <w:tc>
          <w:tcPr>
            <w:tcW w:type="dxa" w:w="1950"/>
            <w:shd w:val="clear" w:color="auto" w:fill="D9E2F3"/>
          </w:tcPr>
          <w:p>
            <w:pPr>
              <w:spacing w:after="20" w:before="20" w:line="240" w:lineRule="auto"/>
            </w:pPr>
            <w:r/>
            <w:r>
              <w:rPr>
                <w:b/>
                <w:sz w:val="18"/>
              </w:rPr>
              <w:t>Later hit rate</w:t>
            </w:r>
          </w:p>
        </w:tc>
      </w:tr>
      <w:tr>
        <w:tc>
          <w:tcPr>
            <w:tcW w:type="dxa" w:w="1606"/>
          </w:tcPr>
          <w:p>
            <w:pPr>
              <w:spacing w:after="20" w:before="20" w:line="240" w:lineRule="auto"/>
            </w:pPr>
            <w:r/>
            <w:r>
              <w:rPr>
                <w:sz w:val="18"/>
              </w:rPr>
              <w:t>VERY LOW</w:t>
            </w:r>
          </w:p>
        </w:tc>
        <w:tc>
          <w:tcPr>
            <w:tcW w:type="dxa" w:w="1262"/>
          </w:tcPr>
          <w:p>
            <w:pPr>
              <w:spacing w:after="20" w:before="20" w:line="240" w:lineRule="auto"/>
            </w:pPr>
            <w:r/>
            <w:r>
              <w:rPr>
                <w:sz w:val="18"/>
              </w:rPr>
              <w:t>0 to 15</w:t>
            </w:r>
          </w:p>
        </w:tc>
        <w:tc>
          <w:tcPr>
            <w:tcW w:type="dxa" w:w="2868"/>
          </w:tcPr>
          <w:p>
            <w:pPr>
              <w:spacing w:after="20" w:before="20" w:line="240" w:lineRule="auto"/>
            </w:pPr>
            <w:r/>
            <w:r>
              <w:rPr>
                <w:sz w:val="18"/>
              </w:rPr>
              <w:t>No routine attention</w:t>
            </w:r>
          </w:p>
        </w:tc>
        <w:tc>
          <w:tcPr>
            <w:tcW w:type="dxa" w:w="2065"/>
          </w:tcPr>
          <w:p>
            <w:pPr>
              <w:spacing w:after="20" w:before="20" w:line="240" w:lineRule="auto"/>
            </w:pPr>
            <w:r/>
            <w:r>
              <w:rPr>
                <w:sz w:val="18"/>
              </w:rPr>
              <w:t>44,245</w:t>
            </w:r>
          </w:p>
        </w:tc>
        <w:tc>
          <w:tcPr>
            <w:tcW w:type="dxa" w:w="1950"/>
          </w:tcPr>
          <w:p>
            <w:pPr>
              <w:spacing w:after="20" w:before="20" w:line="240" w:lineRule="auto"/>
            </w:pPr>
            <w:r/>
            <w:r>
              <w:rPr>
                <w:sz w:val="18"/>
              </w:rPr>
              <w:t>2.8%</w:t>
            </w:r>
          </w:p>
        </w:tc>
      </w:tr>
      <w:tr>
        <w:tc>
          <w:tcPr>
            <w:tcW w:type="dxa" w:w="1606"/>
          </w:tcPr>
          <w:p>
            <w:pPr>
              <w:spacing w:after="20" w:before="20" w:line="240" w:lineRule="auto"/>
            </w:pPr>
            <w:r/>
            <w:r>
              <w:rPr>
                <w:sz w:val="18"/>
              </w:rPr>
              <w:t>LOW</w:t>
            </w:r>
          </w:p>
        </w:tc>
        <w:tc>
          <w:tcPr>
            <w:tcW w:type="dxa" w:w="1262"/>
          </w:tcPr>
          <w:p>
            <w:pPr>
              <w:spacing w:after="20" w:before="20" w:line="240" w:lineRule="auto"/>
            </w:pPr>
            <w:r/>
            <w:r>
              <w:rPr>
                <w:sz w:val="18"/>
              </w:rPr>
              <w:t>16 to 35</w:t>
            </w:r>
          </w:p>
        </w:tc>
        <w:tc>
          <w:tcPr>
            <w:tcW w:type="dxa" w:w="2868"/>
          </w:tcPr>
          <w:p>
            <w:pPr>
              <w:spacing w:after="20" w:before="20" w:line="240" w:lineRule="auto"/>
            </w:pPr>
            <w:r/>
            <w:r>
              <w:rPr>
                <w:sz w:val="18"/>
              </w:rPr>
              <w:t>Visible in monitoring</w:t>
            </w:r>
          </w:p>
        </w:tc>
        <w:tc>
          <w:tcPr>
            <w:tcW w:type="dxa" w:w="2065"/>
          </w:tcPr>
          <w:p>
            <w:pPr>
              <w:spacing w:after="20" w:before="20" w:line="240" w:lineRule="auto"/>
            </w:pPr>
            <w:r/>
            <w:r>
              <w:rPr>
                <w:sz w:val="18"/>
              </w:rPr>
              <w:t>9,888</w:t>
            </w:r>
          </w:p>
        </w:tc>
        <w:tc>
          <w:tcPr>
            <w:tcW w:type="dxa" w:w="1950"/>
          </w:tcPr>
          <w:p>
            <w:pPr>
              <w:spacing w:after="20" w:before="20" w:line="240" w:lineRule="auto"/>
            </w:pPr>
            <w:r/>
            <w:r>
              <w:rPr>
                <w:sz w:val="18"/>
              </w:rPr>
              <w:t>5.8%</w:t>
            </w:r>
          </w:p>
        </w:tc>
      </w:tr>
      <w:tr>
        <w:tc>
          <w:tcPr>
            <w:tcW w:type="dxa" w:w="1606"/>
          </w:tcPr>
          <w:p>
            <w:pPr>
              <w:spacing w:after="20" w:before="20" w:line="240" w:lineRule="auto"/>
            </w:pPr>
            <w:r/>
            <w:r>
              <w:rPr>
                <w:sz w:val="18"/>
              </w:rPr>
              <w:t>MEDIUM</w:t>
            </w:r>
          </w:p>
        </w:tc>
        <w:tc>
          <w:tcPr>
            <w:tcW w:type="dxa" w:w="1262"/>
          </w:tcPr>
          <w:p>
            <w:pPr>
              <w:spacing w:after="20" w:before="20" w:line="240" w:lineRule="auto"/>
            </w:pPr>
            <w:r/>
            <w:r>
              <w:rPr>
                <w:sz w:val="18"/>
              </w:rPr>
              <w:t>36 to 50</w:t>
            </w:r>
          </w:p>
        </w:tc>
        <w:tc>
          <w:tcPr>
            <w:tcW w:type="dxa" w:w="2868"/>
          </w:tcPr>
          <w:p>
            <w:pPr>
              <w:spacing w:after="20" w:before="20" w:line="240" w:lineRule="auto"/>
            </w:pPr>
            <w:r/>
            <w:r>
              <w:rPr>
                <w:sz w:val="18"/>
              </w:rPr>
              <w:t>Reviewed where capacity allows</w:t>
            </w:r>
          </w:p>
        </w:tc>
        <w:tc>
          <w:tcPr>
            <w:tcW w:type="dxa" w:w="2065"/>
          </w:tcPr>
          <w:p>
            <w:pPr>
              <w:spacing w:after="20" w:before="20" w:line="240" w:lineRule="auto"/>
            </w:pPr>
            <w:r/>
            <w:r>
              <w:rPr>
                <w:sz w:val="18"/>
              </w:rPr>
              <w:t>1,897</w:t>
            </w:r>
          </w:p>
        </w:tc>
        <w:tc>
          <w:tcPr>
            <w:tcW w:type="dxa" w:w="1950"/>
          </w:tcPr>
          <w:p>
            <w:pPr>
              <w:spacing w:after="20" w:before="20" w:line="240" w:lineRule="auto"/>
            </w:pPr>
            <w:r/>
            <w:r>
              <w:rPr>
                <w:sz w:val="18"/>
              </w:rPr>
              <w:t>10.7%</w:t>
            </w:r>
          </w:p>
        </w:tc>
      </w:tr>
      <w:tr>
        <w:tc>
          <w:tcPr>
            <w:tcW w:type="dxa" w:w="1606"/>
          </w:tcPr>
          <w:p>
            <w:pPr>
              <w:spacing w:after="20" w:before="20" w:line="240" w:lineRule="auto"/>
            </w:pPr>
            <w:r/>
            <w:r>
              <w:rPr>
                <w:sz w:val="18"/>
              </w:rPr>
              <w:t>HIGH</w:t>
            </w:r>
          </w:p>
        </w:tc>
        <w:tc>
          <w:tcPr>
            <w:tcW w:type="dxa" w:w="1262"/>
          </w:tcPr>
          <w:p>
            <w:pPr>
              <w:spacing w:after="20" w:before="20" w:line="240" w:lineRule="auto"/>
            </w:pPr>
            <w:r/>
            <w:r>
              <w:rPr>
                <w:sz w:val="18"/>
              </w:rPr>
              <w:t>51 to 80</w:t>
            </w:r>
          </w:p>
        </w:tc>
        <w:tc>
          <w:tcPr>
            <w:tcW w:type="dxa" w:w="2868"/>
          </w:tcPr>
          <w:p>
            <w:pPr>
              <w:spacing w:after="20" w:before="20" w:line="240" w:lineRule="auto"/>
            </w:pPr>
            <w:r/>
            <w:r>
              <w:rPr>
                <w:sz w:val="18"/>
              </w:rPr>
              <w:t>Prioritised for review</w:t>
            </w:r>
          </w:p>
        </w:tc>
        <w:tc>
          <w:tcPr>
            <w:tcW w:type="dxa" w:w="2065"/>
          </w:tcPr>
          <w:p>
            <w:pPr>
              <w:spacing w:after="20" w:before="20" w:line="240" w:lineRule="auto"/>
            </w:pPr>
            <w:r/>
            <w:r>
              <w:rPr>
                <w:sz w:val="18"/>
              </w:rPr>
              <w:t>1,785</w:t>
            </w:r>
          </w:p>
        </w:tc>
        <w:tc>
          <w:tcPr>
            <w:tcW w:type="dxa" w:w="1950"/>
          </w:tcPr>
          <w:p>
            <w:pPr>
              <w:spacing w:after="20" w:before="20" w:line="240" w:lineRule="auto"/>
            </w:pPr>
            <w:r/>
            <w:r>
              <w:rPr>
                <w:sz w:val="18"/>
              </w:rPr>
              <w:t>43.0%</w:t>
            </w:r>
          </w:p>
        </w:tc>
      </w:tr>
      <w:tr>
        <w:tc>
          <w:tcPr>
            <w:tcW w:type="dxa" w:w="1606"/>
          </w:tcPr>
          <w:p>
            <w:pPr>
              <w:spacing w:after="20" w:before="20" w:line="240" w:lineRule="auto"/>
            </w:pPr>
            <w:r/>
            <w:r>
              <w:rPr>
                <w:sz w:val="18"/>
              </w:rPr>
              <w:t>VERY HIGH</w:t>
            </w:r>
          </w:p>
        </w:tc>
        <w:tc>
          <w:tcPr>
            <w:tcW w:type="dxa" w:w="1262"/>
          </w:tcPr>
          <w:p>
            <w:pPr>
              <w:spacing w:after="20" w:before="20" w:line="240" w:lineRule="auto"/>
            </w:pPr>
            <w:r/>
            <w:r>
              <w:rPr>
                <w:sz w:val="18"/>
              </w:rPr>
              <w:t>81 to 100</w:t>
            </w:r>
          </w:p>
        </w:tc>
        <w:tc>
          <w:tcPr>
            <w:tcW w:type="dxa" w:w="2868"/>
          </w:tcPr>
          <w:p>
            <w:pPr>
              <w:spacing w:after="20" w:before="20" w:line="240" w:lineRule="auto"/>
            </w:pPr>
            <w:r/>
            <w:r>
              <w:rPr>
                <w:sz w:val="18"/>
              </w:rPr>
              <w:t>Prioritised and escalated</w:t>
            </w:r>
          </w:p>
        </w:tc>
        <w:tc>
          <w:tcPr>
            <w:tcW w:type="dxa" w:w="2065"/>
          </w:tcPr>
          <w:p>
            <w:pPr>
              <w:spacing w:after="20" w:before="20" w:line="240" w:lineRule="auto"/>
            </w:pPr>
            <w:r/>
            <w:r>
              <w:rPr>
                <w:sz w:val="18"/>
              </w:rPr>
              <w:t>346</w:t>
            </w:r>
          </w:p>
        </w:tc>
        <w:tc>
          <w:tcPr>
            <w:tcW w:type="dxa" w:w="1950"/>
          </w:tcPr>
          <w:p>
            <w:pPr>
              <w:spacing w:after="20" w:before="20" w:line="240" w:lineRule="auto"/>
            </w:pPr>
            <w:r/>
            <w:r>
              <w:rPr>
                <w:sz w:val="18"/>
              </w:rPr>
              <w:t>38.4%</w:t>
            </w:r>
          </w:p>
        </w:tc>
      </w:tr>
    </w:tbl>
    <w:p>
      <w:pPr>
        <w:spacing w:after="40"/>
      </w:pPr>
    </w:p>
    <w:p>
      <w:pPr>
        <w:keepNext/>
        <w:jc w:val="center"/>
      </w:pPr>
      <w:r>
        <w:drawing>
          <wp:inline xmlns:a="http://schemas.openxmlformats.org/drawingml/2006/main" xmlns:pic="http://schemas.openxmlformats.org/drawingml/2006/picture">
            <wp:extent cx="5940000" cy="3127739"/>
            <wp:docPr id="5" name="Picture 5"/>
            <wp:cNvGraphicFramePr>
              <a:graphicFrameLocks noChangeAspect="1"/>
            </wp:cNvGraphicFramePr>
            <a:graphic>
              <a:graphicData uri="http://schemas.openxmlformats.org/drawingml/2006/picture">
                <pic:pic>
                  <pic:nvPicPr>
                    <pic:cNvPr id="0" name="chart_27.png"/>
                    <pic:cNvPicPr/>
                  </pic:nvPicPr>
                  <pic:blipFill>
                    <a:blip r:embed="rId30"/>
                    <a:stretch>
                      <a:fillRect/>
                    </a:stretch>
                  </pic:blipFill>
                  <pic:spPr>
                    <a:xfrm>
                      <a:off x="0" y="0"/>
                      <a:ext cx="5940000" cy="312773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Where the points come from, by band</w:t>
      </w:r>
    </w:p>
    <w:p>
      <w:pPr>
        <w:pStyle w:val="Heading2"/>
      </w:pPr>
      <w:r>
        <w:t>3.10 The Workbook, Sheet by Sheet</w:t>
      </w:r>
    </w:p>
    <w:p>
      <w:pPr>
        <w:pStyle w:val="Caption"/>
      </w:pPr>
      <w:r>
        <w:t xml:space="preserve">Table </w:t>
      </w:r>
      <w:r>
        <w:fldChar w:fldCharType="begin"/>
      </w:r>
      <w:r>
        <w:instrText xml:space="preserve"> SEQ Table \* ARABIC </w:instrText>
      </w:r>
      <w:r>
        <w:fldChar w:fldCharType="separate"/>
      </w:r>
      <w:r>
        <w:t>16</w:t>
      </w:r>
      <w:r>
        <w:fldChar w:fldCharType="end"/>
      </w:r>
      <w:r>
        <w:t>: The Officers' Workbook</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Sheet</w:t>
            </w:r>
          </w:p>
        </w:tc>
        <w:tc>
          <w:tcPr>
            <w:tcW w:type="dxa" w:w="7457"/>
            <w:shd w:val="clear" w:color="auto" w:fill="D9E2F3"/>
          </w:tcPr>
          <w:p>
            <w:pPr>
              <w:spacing w:after="20" w:before="20" w:line="240" w:lineRule="auto"/>
            </w:pPr>
            <w:r/>
            <w:r>
              <w:rPr>
                <w:b/>
                <w:sz w:val="18"/>
              </w:rPr>
              <w:t>What is on it</w:t>
            </w:r>
          </w:p>
        </w:tc>
      </w:tr>
      <w:tr>
        <w:tc>
          <w:tcPr>
            <w:tcW w:type="dxa" w:w="2294"/>
          </w:tcPr>
          <w:p>
            <w:pPr>
              <w:spacing w:after="20" w:before="20" w:line="240" w:lineRule="auto"/>
            </w:pPr>
            <w:r/>
            <w:r>
              <w:rPr>
                <w:sz w:val="18"/>
              </w:rPr>
              <w:t>Read me</w:t>
            </w:r>
          </w:p>
        </w:tc>
        <w:tc>
          <w:tcPr>
            <w:tcW w:type="dxa" w:w="7457"/>
          </w:tcPr>
          <w:p>
            <w:pPr>
              <w:spacing w:after="20" w:before="20" w:line="240" w:lineRule="auto"/>
            </w:pPr>
            <w:r/>
            <w:r>
              <w:rPr>
                <w:sz w:val="18"/>
              </w:rPr>
              <w:t>What the file is, how to read a score, the bands, the status of the settings</w:t>
            </w:r>
          </w:p>
        </w:tc>
      </w:tr>
      <w:tr>
        <w:tc>
          <w:tcPr>
            <w:tcW w:type="dxa" w:w="2294"/>
          </w:tcPr>
          <w:p>
            <w:pPr>
              <w:spacing w:after="20" w:before="20" w:line="240" w:lineRule="auto"/>
            </w:pPr>
            <w:r/>
            <w:r>
              <w:rPr>
                <w:sz w:val="18"/>
              </w:rPr>
              <w:t>Scores</w:t>
            </w:r>
          </w:p>
        </w:tc>
        <w:tc>
          <w:tcPr>
            <w:tcW w:type="dxa" w:w="7457"/>
          </w:tcPr>
          <w:p>
            <w:pPr>
              <w:spacing w:after="20" w:before="20" w:line="240" w:lineRule="auto"/>
            </w:pPr>
            <w:r/>
            <w:r>
              <w:rPr>
                <w:sz w:val="18"/>
              </w:rPr>
              <w:t>One row per taxpayer, highest risk first: rank, TIN, score, band, reasons 1 to 3, notes, flags</w:t>
            </w:r>
          </w:p>
        </w:tc>
      </w:tr>
      <w:tr>
        <w:tc>
          <w:tcPr>
            <w:tcW w:type="dxa" w:w="2294"/>
          </w:tcPr>
          <w:p>
            <w:pPr>
              <w:spacing w:after="20" w:before="20" w:line="240" w:lineRule="auto"/>
            </w:pPr>
            <w:r/>
            <w:r>
              <w:rPr>
                <w:sz w:val="18"/>
              </w:rPr>
              <w:t>Reasons</w:t>
            </w:r>
          </w:p>
        </w:tc>
        <w:tc>
          <w:tcPr>
            <w:tcW w:type="dxa" w:w="7457"/>
          </w:tcPr>
          <w:p>
            <w:pPr>
              <w:spacing w:after="20" w:before="20" w:line="240" w:lineRule="auto"/>
            </w:pPr>
            <w:r/>
            <w:r>
              <w:rPr>
                <w:sz w:val="18"/>
              </w:rPr>
              <w:t>Every reason for every taxpayer, one per row, with the value, thresholds and points (for filtering)</w:t>
            </w:r>
          </w:p>
        </w:tc>
      </w:tr>
      <w:tr>
        <w:tc>
          <w:tcPr>
            <w:tcW w:type="dxa" w:w="2294"/>
          </w:tcPr>
          <w:p>
            <w:pPr>
              <w:spacing w:after="20" w:before="20" w:line="240" w:lineRule="auto"/>
            </w:pPr>
            <w:r/>
            <w:r>
              <w:rPr>
                <w:sz w:val="18"/>
              </w:rPr>
              <w:t>Parameter values</w:t>
            </w:r>
          </w:p>
        </w:tc>
        <w:tc>
          <w:tcPr>
            <w:tcW w:type="dxa" w:w="7457"/>
          </w:tcPr>
          <w:p>
            <w:pPr>
              <w:spacing w:after="20" w:before="20" w:line="240" w:lineRule="auto"/>
            </w:pPr>
            <w:r/>
            <w:r>
              <w:rPr>
                <w:sz w:val="18"/>
              </w:rPr>
              <w:t>The value and points of every parameter for every taxpayer</w:t>
            </w:r>
          </w:p>
        </w:tc>
      </w:tr>
      <w:tr>
        <w:tc>
          <w:tcPr>
            <w:tcW w:type="dxa" w:w="2294"/>
          </w:tcPr>
          <w:p>
            <w:pPr>
              <w:spacing w:after="20" w:before="20" w:line="240" w:lineRule="auto"/>
            </w:pPr>
            <w:r/>
            <w:r>
              <w:rPr>
                <w:sz w:val="18"/>
              </w:rPr>
              <w:t>Band summary</w:t>
            </w:r>
          </w:p>
        </w:tc>
        <w:tc>
          <w:tcPr>
            <w:tcW w:type="dxa" w:w="7457"/>
          </w:tcPr>
          <w:p>
            <w:pPr>
              <w:spacing w:after="20" w:before="20" w:line="240" w:lineRule="auto"/>
            </w:pPr>
            <w:r/>
            <w:r>
              <w:rPr>
                <w:sz w:val="18"/>
              </w:rPr>
              <w:t>Taxpayers, declarations and value per band</w:t>
            </w:r>
          </w:p>
        </w:tc>
      </w:tr>
      <w:tr>
        <w:tc>
          <w:tcPr>
            <w:tcW w:type="dxa" w:w="2294"/>
          </w:tcPr>
          <w:p>
            <w:pPr>
              <w:spacing w:after="20" w:before="20" w:line="240" w:lineRule="auto"/>
            </w:pPr>
            <w:r/>
            <w:r>
              <w:rPr>
                <w:sz w:val="18"/>
              </w:rPr>
              <w:t>Reason codes</w:t>
            </w:r>
          </w:p>
        </w:tc>
        <w:tc>
          <w:tcPr>
            <w:tcW w:type="dxa" w:w="7457"/>
          </w:tcPr>
          <w:p>
            <w:pPr>
              <w:spacing w:after="20" w:before="20" w:line="240" w:lineRule="auto"/>
            </w:pPr>
            <w:r/>
            <w:r>
              <w:rPr>
                <w:sz w:val="18"/>
              </w:rPr>
              <w:t>Every code that can appear, with its fixed wording, thresholds and L x I</w:t>
            </w:r>
          </w:p>
        </w:tc>
      </w:tr>
      <w:tr>
        <w:tc>
          <w:tcPr>
            <w:tcW w:type="dxa" w:w="2294"/>
          </w:tcPr>
          <w:p>
            <w:pPr>
              <w:spacing w:after="20" w:before="20" w:line="240" w:lineRule="auto"/>
            </w:pPr>
            <w:r/>
            <w:r>
              <w:rPr>
                <w:sz w:val="18"/>
              </w:rPr>
              <w:t>Run info</w:t>
            </w:r>
          </w:p>
        </w:tc>
        <w:tc>
          <w:tcPr>
            <w:tcW w:type="dxa" w:w="7457"/>
          </w:tcPr>
          <w:p>
            <w:pPr>
              <w:spacing w:after="20" w:before="20" w:line="240" w:lineRule="auto"/>
            </w:pPr>
            <w:r/>
            <w:r>
              <w:rPr>
                <w:sz w:val="18"/>
              </w:rPr>
              <w:t>Model version, settings fingerprint, snapshot, run time, input file</w:t>
            </w:r>
          </w:p>
        </w:tc>
      </w:tr>
    </w:tbl>
    <w:p>
      <w:pPr>
        <w:spacing w:after="40"/>
      </w:pPr>
    </w:p>
    <w:p>
      <w:r>
        <w:br w:type="page"/>
      </w:r>
    </w:p>
    <w:p/>
    <w:p/>
    <w:p/>
    <w:p/>
    <w:p/>
    <w:p/>
    <w:p>
      <w:pPr>
        <w:pStyle w:val="Heading1"/>
      </w:pPr>
      <w:r>
        <w:t>PART 4: HOW WE KNOW IT WORKS</w:t>
      </w:r>
    </w:p>
    <w:p>
      <w:pPr>
        <w:spacing w:after="120"/>
      </w:pPr>
      <w:r>
        <w:t>How the back-test measures the model, how to read lift, what the results are, and the limits you must state honestly whenever you present them.</w:t>
      </w:r>
    </w:p>
    <w:p>
      <w:r>
        <w:br w:type="page"/>
      </w:r>
    </w:p>
    <w:p>
      <w:pPr>
        <w:pStyle w:val="Heading2"/>
      </w:pPr>
      <w:r>
        <w:t>4.1 Lift, Step by Step</w:t>
      </w:r>
    </w:p>
    <w:p>
      <w:pPr>
        <w:spacing w:after="120"/>
      </w:pPr>
      <w:r>
        <w:t>Lift is the single most important number in this project, so here it is slowly, with the real numbers from the 31 March 2026 snapshot.</w:t>
      </w:r>
    </w:p>
    <w:p>
      <w:pPr>
        <w:pStyle w:val="ListParagraph"/>
        <w:numPr>
          <w:ilvl w:val="0"/>
          <w:numId w:val="903"/>
        </w:numPr>
        <w:spacing w:after="60"/>
      </w:pPr>
      <w:r>
        <w:rPr>
          <w:b/>
        </w:rPr>
        <w:t>Start with everyone.</w:t>
      </w:r>
      <w:r>
        <w:t xml:space="preserve"> In the 6 months after the snapshot, customs checked (red or yellow lane) 182,868 declarations from these 58,161 taxpayers. 12,726 of those checks ended in a top-up. So the hit rate for everyone is 12,726 / 182,868 = </w:t>
      </w:r>
      <w:r>
        <w:rPr>
          <w:b/>
        </w:rPr>
        <w:t>7.0%</w:t>
      </w:r>
      <w:r>
        <w:t>. If officers picked declarations to check at random, about 7 checks in 100 would find a top-up.</w:t>
      </w:r>
    </w:p>
    <w:p>
      <w:pPr>
        <w:pStyle w:val="ListParagraph"/>
        <w:numPr>
          <w:ilvl w:val="0"/>
          <w:numId w:val="903"/>
        </w:numPr>
        <w:spacing w:after="60"/>
      </w:pPr>
      <w:r>
        <w:rPr>
          <w:b/>
        </w:rPr>
        <w:t>Now take the top of the list.</w:t>
      </w:r>
      <w:r>
        <w:t xml:space="preserve"> The model's top 5% is 2,908 taxpayers. Their declarations got 19,134 checks, and 7,162 of them ended in a top-up. Their hit rate is 7,162 / 19,134 = </w:t>
      </w:r>
      <w:r>
        <w:rPr>
          <w:b/>
        </w:rPr>
        <w:t>37.4%</w:t>
      </w:r>
      <w:r>
        <w:t>: about 37 top-ups per 100 checks.</w:t>
      </w:r>
    </w:p>
    <w:p>
      <w:pPr>
        <w:pStyle w:val="ListParagraph"/>
        <w:numPr>
          <w:ilvl w:val="0"/>
          <w:numId w:val="903"/>
        </w:numPr>
        <w:spacing w:after="60"/>
      </w:pPr>
      <w:r>
        <w:rPr>
          <w:b/>
        </w:rPr>
        <w:t>Divide the two.</w:t>
      </w:r>
      <w:r>
        <w:t xml:space="preserve"> Lift = 37.4% / 7.0% = </w:t>
      </w:r>
      <w:r>
        <w:rPr>
          <w:b/>
        </w:rPr>
        <w:t>5.4</w:t>
      </w:r>
      <w:r>
        <w:t>. Checks on the top of the list found top-ups 5.4 times as often as checks picked at random.</w:t>
      </w:r>
    </w:p>
    <w:p>
      <w:pPr>
        <w:pStyle w:val="ListParagraph"/>
        <w:numPr>
          <w:ilvl w:val="0"/>
          <w:numId w:val="903"/>
        </w:numPr>
        <w:spacing w:after="60"/>
      </w:pPr>
      <w:r>
        <w:rPr>
          <w:b/>
        </w:rPr>
        <w:t>Read it.</w:t>
      </w:r>
      <w:r>
        <w:t xml:space="preserve"> Lift 1 means the list is no better than chance. Lift 2 means twice as good. Below 1 means worse than chance (the list is pointing at the wrong people).</w:t>
      </w:r>
    </w:p>
    <w:p>
      <w:pPr>
        <w:pStyle w:val="Caption"/>
      </w:pPr>
      <w:r>
        <w:t xml:space="preserve">Table </w:t>
      </w:r>
      <w:r>
        <w:fldChar w:fldCharType="begin"/>
      </w:r>
      <w:r>
        <w:instrText xml:space="preserve"> SEQ Table \* ARABIC </w:instrText>
      </w:r>
      <w:r>
        <w:fldChar w:fldCharType="separate"/>
      </w:r>
      <w:r>
        <w:t>17</w:t>
      </w:r>
      <w:r>
        <w:fldChar w:fldCharType="end"/>
      </w:r>
      <w:r>
        <w:t>: Lift at Three Cut-offs (31 March 2026)</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1665"/>
            <w:shd w:val="clear" w:color="auto" w:fill="D9E2F3"/>
          </w:tcPr>
          <w:p>
            <w:pPr>
              <w:spacing w:after="20" w:before="20" w:line="240" w:lineRule="auto"/>
            </w:pPr>
            <w:r/>
            <w:r>
              <w:rPr>
                <w:b/>
                <w:sz w:val="18"/>
              </w:rPr>
              <w:t>Top of the list</w:t>
            </w:r>
          </w:p>
        </w:tc>
        <w:tc>
          <w:tcPr>
            <w:tcW w:type="dxa" w:w="1308"/>
            <w:shd w:val="clear" w:color="auto" w:fill="D9E2F3"/>
          </w:tcPr>
          <w:p>
            <w:pPr>
              <w:spacing w:after="20" w:before="20" w:line="240" w:lineRule="auto"/>
            </w:pPr>
            <w:r/>
            <w:r>
              <w:rPr>
                <w:b/>
                <w:sz w:val="18"/>
              </w:rPr>
              <w:t>Taxpayers</w:t>
            </w:r>
          </w:p>
        </w:tc>
        <w:tc>
          <w:tcPr>
            <w:tcW w:type="dxa" w:w="1427"/>
            <w:shd w:val="clear" w:color="auto" w:fill="D9E2F3"/>
          </w:tcPr>
          <w:p>
            <w:pPr>
              <w:spacing w:after="20" w:before="20" w:line="240" w:lineRule="auto"/>
            </w:pPr>
            <w:r/>
            <w:r>
              <w:rPr>
                <w:b/>
                <w:sz w:val="18"/>
              </w:rPr>
              <w:t>Checks</w:t>
            </w:r>
          </w:p>
        </w:tc>
        <w:tc>
          <w:tcPr>
            <w:tcW w:type="dxa" w:w="1189"/>
            <w:shd w:val="clear" w:color="auto" w:fill="D9E2F3"/>
          </w:tcPr>
          <w:p>
            <w:pPr>
              <w:spacing w:after="20" w:before="20" w:line="240" w:lineRule="auto"/>
            </w:pPr>
            <w:r/>
            <w:r>
              <w:rPr>
                <w:b/>
                <w:sz w:val="18"/>
              </w:rPr>
              <w:t>Hits</w:t>
            </w:r>
          </w:p>
        </w:tc>
        <w:tc>
          <w:tcPr>
            <w:tcW w:type="dxa" w:w="1308"/>
            <w:shd w:val="clear" w:color="auto" w:fill="D9E2F3"/>
          </w:tcPr>
          <w:p>
            <w:pPr>
              <w:spacing w:after="20" w:before="20" w:line="240" w:lineRule="auto"/>
            </w:pPr>
            <w:r/>
            <w:r>
              <w:rPr>
                <w:b/>
                <w:sz w:val="18"/>
              </w:rPr>
              <w:t>Hit rate</w:t>
            </w:r>
          </w:p>
        </w:tc>
        <w:tc>
          <w:tcPr>
            <w:tcW w:type="dxa" w:w="951"/>
            <w:shd w:val="clear" w:color="auto" w:fill="D9E2F3"/>
          </w:tcPr>
          <w:p>
            <w:pPr>
              <w:spacing w:after="20" w:before="20" w:line="240" w:lineRule="auto"/>
            </w:pPr>
            <w:r/>
            <w:r>
              <w:rPr>
                <w:b/>
                <w:sz w:val="18"/>
              </w:rPr>
              <w:t>Lift</w:t>
            </w:r>
          </w:p>
        </w:tc>
        <w:tc>
          <w:tcPr>
            <w:tcW w:type="dxa" w:w="1903"/>
            <w:shd w:val="clear" w:color="auto" w:fill="D9E2F3"/>
          </w:tcPr>
          <w:p>
            <w:pPr>
              <w:spacing w:after="20" w:before="20" w:line="240" w:lineRule="auto"/>
            </w:pPr>
            <w:r/>
            <w:r>
              <w:rPr>
                <w:b/>
                <w:sz w:val="18"/>
              </w:rPr>
              <w:t>Share of all hits</w:t>
            </w:r>
          </w:p>
        </w:tc>
      </w:tr>
      <w:tr>
        <w:tc>
          <w:tcPr>
            <w:tcW w:type="dxa" w:w="1665"/>
          </w:tcPr>
          <w:p>
            <w:pPr>
              <w:spacing w:after="20" w:before="20" w:line="240" w:lineRule="auto"/>
            </w:pPr>
            <w:r/>
            <w:r>
              <w:rPr>
                <w:sz w:val="18"/>
              </w:rPr>
              <w:t>Top 1%</w:t>
            </w:r>
          </w:p>
        </w:tc>
        <w:tc>
          <w:tcPr>
            <w:tcW w:type="dxa" w:w="1308"/>
          </w:tcPr>
          <w:p>
            <w:pPr>
              <w:spacing w:after="20" w:before="20" w:line="240" w:lineRule="auto"/>
            </w:pPr>
            <w:r/>
            <w:r>
              <w:rPr>
                <w:sz w:val="18"/>
              </w:rPr>
              <w:t>582</w:t>
            </w:r>
          </w:p>
        </w:tc>
        <w:tc>
          <w:tcPr>
            <w:tcW w:type="dxa" w:w="1427"/>
          </w:tcPr>
          <w:p>
            <w:pPr>
              <w:spacing w:after="20" w:before="20" w:line="240" w:lineRule="auto"/>
            </w:pPr>
            <w:r/>
            <w:r>
              <w:rPr>
                <w:sz w:val="18"/>
              </w:rPr>
              <w:t>2,469</w:t>
            </w:r>
          </w:p>
        </w:tc>
        <w:tc>
          <w:tcPr>
            <w:tcW w:type="dxa" w:w="1189"/>
          </w:tcPr>
          <w:p>
            <w:pPr>
              <w:spacing w:after="20" w:before="20" w:line="240" w:lineRule="auto"/>
            </w:pPr>
            <w:r/>
            <w:r>
              <w:rPr>
                <w:sz w:val="18"/>
              </w:rPr>
              <w:t>794</w:t>
            </w:r>
          </w:p>
        </w:tc>
        <w:tc>
          <w:tcPr>
            <w:tcW w:type="dxa" w:w="1308"/>
          </w:tcPr>
          <w:p>
            <w:pPr>
              <w:spacing w:after="20" w:before="20" w:line="240" w:lineRule="auto"/>
            </w:pPr>
            <w:r/>
            <w:r>
              <w:rPr>
                <w:sz w:val="18"/>
              </w:rPr>
              <w:t>32.2%</w:t>
            </w:r>
          </w:p>
        </w:tc>
        <w:tc>
          <w:tcPr>
            <w:tcW w:type="dxa" w:w="951"/>
          </w:tcPr>
          <w:p>
            <w:pPr>
              <w:spacing w:after="20" w:before="20" w:line="240" w:lineRule="auto"/>
            </w:pPr>
            <w:r/>
            <w:r>
              <w:rPr>
                <w:sz w:val="18"/>
              </w:rPr>
              <w:t>4.6</w:t>
            </w:r>
          </w:p>
        </w:tc>
        <w:tc>
          <w:tcPr>
            <w:tcW w:type="dxa" w:w="1903"/>
          </w:tcPr>
          <w:p>
            <w:pPr>
              <w:spacing w:after="20" w:before="20" w:line="240" w:lineRule="auto"/>
            </w:pPr>
            <w:r/>
            <w:r>
              <w:rPr>
                <w:sz w:val="18"/>
              </w:rPr>
              <w:t>6%</w:t>
            </w:r>
          </w:p>
        </w:tc>
      </w:tr>
      <w:tr>
        <w:tc>
          <w:tcPr>
            <w:tcW w:type="dxa" w:w="1665"/>
          </w:tcPr>
          <w:p>
            <w:pPr>
              <w:spacing w:after="20" w:before="20" w:line="240" w:lineRule="auto"/>
            </w:pPr>
            <w:r/>
            <w:r>
              <w:rPr>
                <w:sz w:val="18"/>
              </w:rPr>
              <w:t>Top 5%</w:t>
            </w:r>
          </w:p>
        </w:tc>
        <w:tc>
          <w:tcPr>
            <w:tcW w:type="dxa" w:w="1308"/>
          </w:tcPr>
          <w:p>
            <w:pPr>
              <w:spacing w:after="20" w:before="20" w:line="240" w:lineRule="auto"/>
            </w:pPr>
            <w:r/>
            <w:r>
              <w:rPr>
                <w:sz w:val="18"/>
              </w:rPr>
              <w:t>2,908</w:t>
            </w:r>
          </w:p>
        </w:tc>
        <w:tc>
          <w:tcPr>
            <w:tcW w:type="dxa" w:w="1427"/>
          </w:tcPr>
          <w:p>
            <w:pPr>
              <w:spacing w:after="20" w:before="20" w:line="240" w:lineRule="auto"/>
            </w:pPr>
            <w:r/>
            <w:r>
              <w:rPr>
                <w:sz w:val="18"/>
              </w:rPr>
              <w:t>19,134</w:t>
            </w:r>
          </w:p>
        </w:tc>
        <w:tc>
          <w:tcPr>
            <w:tcW w:type="dxa" w:w="1189"/>
          </w:tcPr>
          <w:p>
            <w:pPr>
              <w:spacing w:after="20" w:before="20" w:line="240" w:lineRule="auto"/>
            </w:pPr>
            <w:r/>
            <w:r>
              <w:rPr>
                <w:sz w:val="18"/>
              </w:rPr>
              <w:t>7,162</w:t>
            </w:r>
          </w:p>
        </w:tc>
        <w:tc>
          <w:tcPr>
            <w:tcW w:type="dxa" w:w="1308"/>
          </w:tcPr>
          <w:p>
            <w:pPr>
              <w:spacing w:after="20" w:before="20" w:line="240" w:lineRule="auto"/>
            </w:pPr>
            <w:r/>
            <w:r>
              <w:rPr>
                <w:sz w:val="18"/>
              </w:rPr>
              <w:t>37.4%</w:t>
            </w:r>
          </w:p>
        </w:tc>
        <w:tc>
          <w:tcPr>
            <w:tcW w:type="dxa" w:w="951"/>
          </w:tcPr>
          <w:p>
            <w:pPr>
              <w:spacing w:after="20" w:before="20" w:line="240" w:lineRule="auto"/>
            </w:pPr>
            <w:r/>
            <w:r>
              <w:rPr>
                <w:sz w:val="18"/>
              </w:rPr>
              <w:t>5.4</w:t>
            </w:r>
          </w:p>
        </w:tc>
        <w:tc>
          <w:tcPr>
            <w:tcW w:type="dxa" w:w="1903"/>
          </w:tcPr>
          <w:p>
            <w:pPr>
              <w:spacing w:after="20" w:before="20" w:line="240" w:lineRule="auto"/>
            </w:pPr>
            <w:r/>
            <w:r>
              <w:rPr>
                <w:sz w:val="18"/>
              </w:rPr>
              <w:t>56%</w:t>
            </w:r>
          </w:p>
        </w:tc>
      </w:tr>
      <w:tr>
        <w:tc>
          <w:tcPr>
            <w:tcW w:type="dxa" w:w="1665"/>
          </w:tcPr>
          <w:p>
            <w:pPr>
              <w:spacing w:after="20" w:before="20" w:line="240" w:lineRule="auto"/>
            </w:pPr>
            <w:r/>
            <w:r>
              <w:rPr>
                <w:sz w:val="18"/>
              </w:rPr>
              <w:t>Top 10%</w:t>
            </w:r>
          </w:p>
        </w:tc>
        <w:tc>
          <w:tcPr>
            <w:tcW w:type="dxa" w:w="1308"/>
          </w:tcPr>
          <w:p>
            <w:pPr>
              <w:spacing w:after="20" w:before="20" w:line="240" w:lineRule="auto"/>
            </w:pPr>
            <w:r/>
            <w:r>
              <w:rPr>
                <w:sz w:val="18"/>
              </w:rPr>
              <w:t>5,816</w:t>
            </w:r>
          </w:p>
        </w:tc>
        <w:tc>
          <w:tcPr>
            <w:tcW w:type="dxa" w:w="1427"/>
          </w:tcPr>
          <w:p>
            <w:pPr>
              <w:spacing w:after="20" w:before="20" w:line="240" w:lineRule="auto"/>
            </w:pPr>
            <w:r/>
            <w:r>
              <w:rPr>
                <w:sz w:val="18"/>
              </w:rPr>
              <w:t>26,471</w:t>
            </w:r>
          </w:p>
        </w:tc>
        <w:tc>
          <w:tcPr>
            <w:tcW w:type="dxa" w:w="1189"/>
          </w:tcPr>
          <w:p>
            <w:pPr>
              <w:spacing w:after="20" w:before="20" w:line="240" w:lineRule="auto"/>
            </w:pPr>
            <w:r/>
            <w:r>
              <w:rPr>
                <w:sz w:val="18"/>
              </w:rPr>
              <w:t>7,774</w:t>
            </w:r>
          </w:p>
        </w:tc>
        <w:tc>
          <w:tcPr>
            <w:tcW w:type="dxa" w:w="1308"/>
          </w:tcPr>
          <w:p>
            <w:pPr>
              <w:spacing w:after="20" w:before="20" w:line="240" w:lineRule="auto"/>
            </w:pPr>
            <w:r/>
            <w:r>
              <w:rPr>
                <w:sz w:val="18"/>
              </w:rPr>
              <w:t>29.4%</w:t>
            </w:r>
          </w:p>
        </w:tc>
        <w:tc>
          <w:tcPr>
            <w:tcW w:type="dxa" w:w="951"/>
          </w:tcPr>
          <w:p>
            <w:pPr>
              <w:spacing w:after="20" w:before="20" w:line="240" w:lineRule="auto"/>
            </w:pPr>
            <w:r/>
            <w:r>
              <w:rPr>
                <w:sz w:val="18"/>
              </w:rPr>
              <w:t>4.2</w:t>
            </w:r>
          </w:p>
        </w:tc>
        <w:tc>
          <w:tcPr>
            <w:tcW w:type="dxa" w:w="1903"/>
          </w:tcPr>
          <w:p>
            <w:pPr>
              <w:spacing w:after="20" w:before="20" w:line="240" w:lineRule="auto"/>
            </w:pPr>
            <w:r/>
            <w:r>
              <w:rPr>
                <w:sz w:val="18"/>
              </w:rPr>
              <w:t>61%</w:t>
            </w:r>
          </w:p>
        </w:tc>
      </w:tr>
      <w:tr>
        <w:tc>
          <w:tcPr>
            <w:tcW w:type="dxa" w:w="1665"/>
          </w:tcPr>
          <w:p>
            <w:pPr>
              <w:spacing w:after="20" w:before="20" w:line="240" w:lineRule="auto"/>
            </w:pPr>
            <w:r/>
            <w:r>
              <w:rPr>
                <w:sz w:val="18"/>
              </w:rPr>
              <w:t>Everyone</w:t>
            </w:r>
          </w:p>
        </w:tc>
        <w:tc>
          <w:tcPr>
            <w:tcW w:type="dxa" w:w="1308"/>
          </w:tcPr>
          <w:p>
            <w:pPr>
              <w:spacing w:after="20" w:before="20" w:line="240" w:lineRule="auto"/>
            </w:pPr>
            <w:r/>
            <w:r>
              <w:rPr>
                <w:sz w:val="18"/>
              </w:rPr>
              <w:t>58,161</w:t>
            </w:r>
          </w:p>
        </w:tc>
        <w:tc>
          <w:tcPr>
            <w:tcW w:type="dxa" w:w="1427"/>
          </w:tcPr>
          <w:p>
            <w:pPr>
              <w:spacing w:after="20" w:before="20" w:line="240" w:lineRule="auto"/>
            </w:pPr>
            <w:r/>
            <w:r>
              <w:rPr>
                <w:sz w:val="18"/>
              </w:rPr>
              <w:t>182,868</w:t>
            </w:r>
          </w:p>
        </w:tc>
        <w:tc>
          <w:tcPr>
            <w:tcW w:type="dxa" w:w="1189"/>
          </w:tcPr>
          <w:p>
            <w:pPr>
              <w:spacing w:after="20" w:before="20" w:line="240" w:lineRule="auto"/>
            </w:pPr>
            <w:r/>
            <w:r>
              <w:rPr>
                <w:sz w:val="18"/>
              </w:rPr>
              <w:t>12,726</w:t>
            </w:r>
          </w:p>
        </w:tc>
        <w:tc>
          <w:tcPr>
            <w:tcW w:type="dxa" w:w="1308"/>
          </w:tcPr>
          <w:p>
            <w:pPr>
              <w:spacing w:after="20" w:before="20" w:line="240" w:lineRule="auto"/>
            </w:pPr>
            <w:r/>
            <w:r>
              <w:rPr>
                <w:sz w:val="18"/>
              </w:rPr>
              <w:t>7.0%</w:t>
            </w:r>
          </w:p>
        </w:tc>
        <w:tc>
          <w:tcPr>
            <w:tcW w:type="dxa" w:w="951"/>
          </w:tcPr>
          <w:p>
            <w:pPr>
              <w:spacing w:after="20" w:before="20" w:line="240" w:lineRule="auto"/>
            </w:pPr>
            <w:r/>
            <w:r>
              <w:rPr>
                <w:sz w:val="18"/>
              </w:rPr>
              <w:t>1.0</w:t>
            </w:r>
          </w:p>
        </w:tc>
        <w:tc>
          <w:tcPr>
            <w:tcW w:type="dxa" w:w="1903"/>
          </w:tcPr>
          <w:p>
            <w:pPr>
              <w:spacing w:after="20" w:before="20" w:line="240" w:lineRule="auto"/>
            </w:pPr>
            <w:r/>
            <w:r>
              <w:rPr>
                <w:sz w:val="18"/>
              </w:rPr>
              <w:t>100%</w:t>
            </w:r>
          </w:p>
        </w:tc>
      </w:tr>
    </w:tbl>
    <w:p>
      <w:pPr>
        <w:spacing w:after="40"/>
      </w:pPr>
    </w:p>
    <w:p>
      <w:pPr>
        <w:pStyle w:val="Heading3"/>
      </w:pPr>
      <w:r>
        <w:t>Why lift matters</w:t>
      </w:r>
    </w:p>
    <w:p>
      <w:pPr>
        <w:spacing w:after="120"/>
      </w:pPr>
      <w:r>
        <w:t xml:space="preserve">Customs can only check a small share of declarations. The question that matters is therefore not "is the model right about everyone?" but "if officers follow the top of the list, how much more do they find per check?" That is exactly what lift measures. In this snapshot, the top 5% of taxpayers produced </w:t>
      </w:r>
      <w:r>
        <w:rPr>
          <w:b/>
        </w:rPr>
        <w:t>56% of all hits</w:t>
      </w:r>
      <w:r>
        <w:t>: following the list would put officers in front of more than half of the problems while looking at a twentieth of the taxpayers.</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Why not "accuracy"?</w:t>
            </w:r>
          </w:p>
          <w:p>
            <w:pPr>
              <w:spacing w:after="60"/>
            </w:pPr>
            <w:r>
              <w:rPr>
                <w:sz w:val="20"/>
              </w:rPr>
              <w:t>Only 7% of checks end in a top-up. A lazy model that says "no top-up" for every declaration is 93% accurate, and completely useless. Accuracy rewards being right about the easy majority. Lift only looks at the top of the list, where officers actually spend their time.</w:t>
            </w:r>
          </w:p>
        </w:tc>
      </w:tr>
    </w:tbl>
    <w:p>
      <w:pPr>
        <w:spacing w:after="40"/>
      </w:pPr>
    </w:p>
    <w:p>
      <w:pPr>
        <w:keepNext/>
        <w:jc w:val="center"/>
      </w:pPr>
      <w:r>
        <w:drawing>
          <wp:inline xmlns:a="http://schemas.openxmlformats.org/drawingml/2006/main" xmlns:pic="http://schemas.openxmlformats.org/drawingml/2006/picture">
            <wp:extent cx="5940000" cy="1704602"/>
            <wp:docPr id="6" name="Picture 6"/>
            <wp:cNvGraphicFramePr>
              <a:graphicFrameLocks noChangeAspect="1"/>
            </wp:cNvGraphicFramePr>
            <a:graphic>
              <a:graphicData uri="http://schemas.openxmlformats.org/drawingml/2006/picture">
                <pic:pic>
                  <pic:nvPicPr>
                    <pic:cNvPr id="0" name="chart_29.png"/>
                    <pic:cNvPicPr/>
                  </pic:nvPicPr>
                  <pic:blipFill>
                    <a:blip r:embed="rId31"/>
                    <a:stretch>
                      <a:fillRect/>
                    </a:stretch>
                  </pic:blipFill>
                  <pic:spPr>
                    <a:xfrm>
                      <a:off x="0" y="0"/>
                      <a:ext cx="5940000" cy="170460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Left: hit rate in each tenth of the ranked list. Right: share of all hits caught as you go down the list</w:t>
      </w:r>
    </w:p>
    <w:p>
      <w:pPr>
        <w:spacing w:after="120"/>
      </w:pPr>
      <w:r>
        <w:t>The left chart shows the shape we want: one tall bar at the top (29% hit rate, lift 4.2) and short bars after it, all below average. The right chart shows the same thing as a running total: the blue line shoots up at the start (the top of the list catches most of the hits) while a random order would follow the dashed diagonal.</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How to say it in a meeting</w:t>
            </w:r>
          </w:p>
          <w:p>
            <w:pPr>
              <w:spacing w:after="60"/>
            </w:pPr>
            <w:r>
              <w:rPr>
                <w:sz w:val="20"/>
              </w:rPr>
              <w:t>If officers had checked only the taxpayers in the top 5% of the list, each check would have been more than five times as likely to find a top-up as a check picked at random, and they would have met more than half of all the top-ups found that half-year.</w:t>
            </w:r>
          </w:p>
        </w:tc>
      </w:tr>
    </w:tbl>
    <w:p>
      <w:pPr>
        <w:spacing w:after="40"/>
      </w:pPr>
    </w:p>
    <w:p>
      <w:pPr>
        <w:pStyle w:val="Heading2"/>
      </w:pPr>
      <w:r>
        <w:t>4.2 Why We Compare With a Baseline</w:t>
      </w:r>
    </w:p>
    <w:p>
      <w:pPr>
        <w:spacing w:after="120"/>
      </w:pPr>
      <w:r>
        <w:t>A model is only worth its complexity if it beats the simplest sensible rule. Our baseline ranks taxpayers on their past top-up ratio alone. Averaged over the six snapshots:</w:t>
      </w:r>
    </w:p>
    <w:p>
      <w:pPr>
        <w:pStyle w:val="Caption"/>
      </w:pPr>
      <w:r>
        <w:t xml:space="preserve">Table </w:t>
      </w:r>
      <w:r>
        <w:fldChar w:fldCharType="begin"/>
      </w:r>
      <w:r>
        <w:instrText xml:space="preserve"> SEQ Table \* ARABIC </w:instrText>
      </w:r>
      <w:r>
        <w:fldChar w:fldCharType="separate"/>
      </w:r>
      <w:r>
        <w:t>18</w:t>
      </w:r>
      <w:r>
        <w:fldChar w:fldCharType="end"/>
      </w:r>
      <w:r>
        <w:t>: Release 1 Model Against the Baseline (average of 6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4015"/>
            <w:shd w:val="clear" w:color="auto" w:fill="D9E2F3"/>
          </w:tcPr>
          <w:p>
            <w:pPr>
              <w:spacing w:after="20" w:before="20" w:line="240" w:lineRule="auto"/>
            </w:pPr>
            <w:r/>
            <w:r>
              <w:rPr>
                <w:b/>
                <w:sz w:val="18"/>
              </w:rPr>
              <w:t>Ranking</w:t>
            </w:r>
          </w:p>
        </w:tc>
        <w:tc>
          <w:tcPr>
            <w:tcW w:type="dxa" w:w="1893"/>
            <w:shd w:val="clear" w:color="auto" w:fill="D9E2F3"/>
          </w:tcPr>
          <w:p>
            <w:pPr>
              <w:spacing w:after="20" w:before="20" w:line="240" w:lineRule="auto"/>
            </w:pPr>
            <w:r/>
            <w:r>
              <w:rPr>
                <w:b/>
                <w:sz w:val="18"/>
              </w:rPr>
              <w:t>Lift top 1%</w:t>
            </w:r>
          </w:p>
        </w:tc>
        <w:tc>
          <w:tcPr>
            <w:tcW w:type="dxa" w:w="1893"/>
            <w:shd w:val="clear" w:color="auto" w:fill="D9E2F3"/>
          </w:tcPr>
          <w:p>
            <w:pPr>
              <w:spacing w:after="20" w:before="20" w:line="240" w:lineRule="auto"/>
            </w:pPr>
            <w:r/>
            <w:r>
              <w:rPr>
                <w:b/>
                <w:sz w:val="18"/>
              </w:rPr>
              <w:t>Lift top 5%</w:t>
            </w:r>
          </w:p>
        </w:tc>
        <w:tc>
          <w:tcPr>
            <w:tcW w:type="dxa" w:w="1950"/>
            <w:shd w:val="clear" w:color="auto" w:fill="D9E2F3"/>
          </w:tcPr>
          <w:p>
            <w:pPr>
              <w:spacing w:after="20" w:before="20" w:line="240" w:lineRule="auto"/>
            </w:pPr>
            <w:r/>
            <w:r>
              <w:rPr>
                <w:b/>
                <w:sz w:val="18"/>
              </w:rPr>
              <w:t>Lift top 10%</w:t>
            </w:r>
          </w:p>
        </w:tc>
      </w:tr>
      <w:tr>
        <w:tc>
          <w:tcPr>
            <w:tcW w:type="dxa" w:w="4015"/>
          </w:tcPr>
          <w:p>
            <w:pPr>
              <w:spacing w:after="20" w:before="20" w:line="240" w:lineRule="auto"/>
            </w:pPr>
            <w:r/>
            <w:r>
              <w:rPr>
                <w:sz w:val="18"/>
              </w:rPr>
              <w:t>Scorecard (release 1)</w:t>
            </w:r>
          </w:p>
        </w:tc>
        <w:tc>
          <w:tcPr>
            <w:tcW w:type="dxa" w:w="1893"/>
          </w:tcPr>
          <w:p>
            <w:pPr>
              <w:spacing w:after="20" w:before="20" w:line="240" w:lineRule="auto"/>
            </w:pPr>
            <w:r/>
            <w:r>
              <w:rPr>
                <w:sz w:val="18"/>
              </w:rPr>
              <w:t>4.62</w:t>
            </w:r>
          </w:p>
        </w:tc>
        <w:tc>
          <w:tcPr>
            <w:tcW w:type="dxa" w:w="1893"/>
          </w:tcPr>
          <w:p>
            <w:pPr>
              <w:spacing w:after="20" w:before="20" w:line="240" w:lineRule="auto"/>
            </w:pPr>
            <w:r/>
            <w:r>
              <w:rPr>
                <w:sz w:val="18"/>
              </w:rPr>
              <w:t>4.49</w:t>
            </w:r>
          </w:p>
        </w:tc>
        <w:tc>
          <w:tcPr>
            <w:tcW w:type="dxa" w:w="1950"/>
          </w:tcPr>
          <w:p>
            <w:pPr>
              <w:spacing w:after="20" w:before="20" w:line="240" w:lineRule="auto"/>
            </w:pPr>
            <w:r/>
            <w:r>
              <w:rPr>
                <w:sz w:val="18"/>
              </w:rPr>
              <w:t>4.05</w:t>
            </w:r>
          </w:p>
        </w:tc>
      </w:tr>
      <w:tr>
        <w:tc>
          <w:tcPr>
            <w:tcW w:type="dxa" w:w="4015"/>
          </w:tcPr>
          <w:p>
            <w:pPr>
              <w:spacing w:after="20" w:before="20" w:line="240" w:lineRule="auto"/>
            </w:pPr>
            <w:r/>
            <w:r>
              <w:rPr>
                <w:sz w:val="18"/>
              </w:rPr>
              <w:t>Baseline: past top-up ratio</w:t>
            </w:r>
          </w:p>
        </w:tc>
        <w:tc>
          <w:tcPr>
            <w:tcW w:type="dxa" w:w="1893"/>
          </w:tcPr>
          <w:p>
            <w:pPr>
              <w:spacing w:after="20" w:before="20" w:line="240" w:lineRule="auto"/>
            </w:pPr>
            <w:r/>
            <w:r>
              <w:rPr>
                <w:sz w:val="18"/>
              </w:rPr>
              <w:t>2.87</w:t>
            </w:r>
          </w:p>
        </w:tc>
        <w:tc>
          <w:tcPr>
            <w:tcW w:type="dxa" w:w="1893"/>
          </w:tcPr>
          <w:p>
            <w:pPr>
              <w:spacing w:after="20" w:before="20" w:line="240" w:lineRule="auto"/>
            </w:pPr>
            <w:r/>
            <w:r>
              <w:rPr>
                <w:sz w:val="18"/>
              </w:rPr>
              <w:t>3.60</w:t>
            </w:r>
          </w:p>
        </w:tc>
        <w:tc>
          <w:tcPr>
            <w:tcW w:type="dxa" w:w="1950"/>
          </w:tcPr>
          <w:p>
            <w:pPr>
              <w:spacing w:after="20" w:before="20" w:line="240" w:lineRule="auto"/>
            </w:pPr>
            <w:r/>
            <w:r>
              <w:rPr>
                <w:sz w:val="18"/>
              </w:rPr>
              <w:t>3.55</w:t>
            </w:r>
          </w:p>
        </w:tc>
      </w:tr>
    </w:tbl>
    <w:p>
      <w:pPr>
        <w:spacing w:after="40"/>
      </w:pPr>
    </w:p>
    <w:p>
      <w:pPr>
        <w:spacing w:after="120"/>
      </w:pPr>
      <w:r>
        <w:t>Snapshot by snapshot, the model beats the baseline at the top 1% every time, and at the top 5% and 10% in four of six. It loses in the two earliest snapshots (2023 and early 2024), when past top-ups alone happened to predict unusually well; it wins clearly in the four latest. Say this openly if asked: it is the honest picture.</w:t>
      </w:r>
    </w:p>
    <w:p>
      <w:pPr>
        <w:keepNext/>
        <w:jc w:val="center"/>
      </w:pPr>
      <w:r>
        <w:drawing>
          <wp:inline xmlns:a="http://schemas.openxmlformats.org/drawingml/2006/main" xmlns:pic="http://schemas.openxmlformats.org/drawingml/2006/picture">
            <wp:extent cx="5940000" cy="1688793"/>
            <wp:docPr id="7" name="Picture 7"/>
            <wp:cNvGraphicFramePr>
              <a:graphicFrameLocks noChangeAspect="1"/>
            </wp:cNvGraphicFramePr>
            <a:graphic>
              <a:graphicData uri="http://schemas.openxmlformats.org/drawingml/2006/picture">
                <pic:pic>
                  <pic:nvPicPr>
                    <pic:cNvPr id="0" name="chart_31.png"/>
                    <pic:cNvPicPr/>
                  </pic:nvPicPr>
                  <pic:blipFill>
                    <a:blip r:embed="rId32"/>
                    <a:stretch>
                      <a:fillRect/>
                    </a:stretch>
                  </pic:blipFill>
                  <pic:spPr>
                    <a:xfrm>
                      <a:off x="0" y="0"/>
                      <a:ext cx="5940000" cy="1688793"/>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Lift by snapshot: model against past top-ups alone</w:t>
      </w:r>
    </w:p>
    <w:p>
      <w:pPr>
        <w:pStyle w:val="Heading2"/>
      </w:pPr>
      <w:r>
        <w:t>4.3 Do the Bands Mean Anything?</w:t>
      </w:r>
    </w:p>
    <w:p>
      <w:pPr>
        <w:spacing w:after="120"/>
      </w:pPr>
      <w:r>
        <w:t>If the bands work, the hit rate should climb band by band. It does from VERY LOW (2.8%) to HIGH (43%). VERY HIGH is the open problem: in the two latest snapshots it was hit less often than HIGH, with the dip in scores 71 to 90. Stage 7 will look at what those taxpayers have in common before setting the cut-offs.</w:t>
      </w:r>
    </w:p>
    <w:p>
      <w:pPr>
        <w:keepNext/>
        <w:jc w:val="center"/>
      </w:pPr>
      <w:r>
        <w:drawing>
          <wp:inline xmlns:a="http://schemas.openxmlformats.org/drawingml/2006/main" xmlns:pic="http://schemas.openxmlformats.org/drawingml/2006/picture">
            <wp:extent cx="5940000" cy="2865790"/>
            <wp:docPr id="8" name="Picture 8"/>
            <wp:cNvGraphicFramePr>
              <a:graphicFrameLocks noChangeAspect="1"/>
            </wp:cNvGraphicFramePr>
            <a:graphic>
              <a:graphicData uri="http://schemas.openxmlformats.org/drawingml/2006/picture">
                <pic:pic>
                  <pic:nvPicPr>
                    <pic:cNvPr id="0" name="chart_32.png"/>
                    <pic:cNvPicPr/>
                  </pic:nvPicPr>
                  <pic:blipFill>
                    <a:blip r:embed="rId33"/>
                    <a:stretch>
                      <a:fillRect/>
                    </a:stretch>
                  </pic:blipFill>
                  <pic:spPr>
                    <a:xfrm>
                      <a:off x="0" y="0"/>
                      <a:ext cx="5940000" cy="286579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Hit rate by band in every snapshot</w:t>
      </w:r>
    </w:p>
    <w:p>
      <w:pPr>
        <w:pStyle w:val="Heading2"/>
      </w:pPr>
      <w:r>
        <w:t>4.4 Lift Is Not Everything</w:t>
      </w:r>
    </w:p>
    <w:p>
      <w:pPr>
        <w:spacing w:after="120"/>
      </w:pPr>
      <w:r>
        <w:t>Lift is a rate, so it can be raised by putting the "right" kind of small taxpayer at the top: an importer with 2 declarations, both topped up, has a 100% hit rate but contributes 2 hits. A model doing this shows a high lift while catching fewer hits and less revenue. From decision 48, every comparison also shows hits caught, revenue caught and the share of small traders at the top (Part 6 has a real example).</w:t>
      </w:r>
    </w:p>
    <w:p>
      <w:pPr>
        <w:pStyle w:val="Heading2"/>
      </w:pPr>
      <w:r>
        <w:t>4.5 The Limits You Must State</w:t>
      </w:r>
    </w:p>
    <w:p>
      <w:pPr>
        <w:pStyle w:val="ListParagraph"/>
        <w:numPr>
          <w:ilvl w:val="0"/>
          <w:numId w:val="904"/>
        </w:numPr>
        <w:spacing w:after="60"/>
      </w:pPr>
      <w:r>
        <w:rPr>
          <w:b/>
        </w:rPr>
        <w:t>Selection bias.</w:t>
      </w:r>
      <w:r>
        <w:t xml:space="preserve"> We only know the outcome of declarations that were checked, and the selectivity system chose which ones. It is like a teacher who only marks the homework they chose to collect: we never learn about the rest. The model may partly learn what selectivity already picks. The fix, in time, is a small random check share or post-clearance audit results.</w:t>
      </w:r>
    </w:p>
    <w:p>
      <w:pPr>
        <w:pStyle w:val="ListParagraph"/>
        <w:numPr>
          <w:ilvl w:val="0"/>
          <w:numId w:val="904"/>
        </w:numPr>
        <w:spacing w:after="60"/>
      </w:pPr>
      <w:r>
        <w:rPr>
          <w:b/>
        </w:rPr>
        <w:t>The outcome is narrow.</w:t>
      </w:r>
      <w:r>
        <w:t xml:space="preserve"> It only sees top-ups on checked declarations. Risk that is never checked, or never found, cannot show up as a hit.</w:t>
      </w:r>
    </w:p>
    <w:p>
      <w:pPr>
        <w:pStyle w:val="ListParagraph"/>
        <w:numPr>
          <w:ilvl w:val="0"/>
          <w:numId w:val="904"/>
        </w:numPr>
        <w:spacing w:after="60"/>
      </w:pPr>
      <w:r>
        <w:rPr>
          <w:b/>
        </w:rPr>
        <w:t>The base rate fell.</w:t>
      </w:r>
      <w:r>
        <w:t xml:space="preserve"> The hit rate of all checks dropped from 11-13% to about 7% after March 2024 (4.8 shows nine years). We judge each snapshot against its own rate, so this does not distort the comparison, but the cause is a question for the Risk Officers.</w:t>
      </w:r>
    </w:p>
    <w:p>
      <w:pPr>
        <w:pStyle w:val="ListParagraph"/>
        <w:numPr>
          <w:ilvl w:val="0"/>
          <w:numId w:val="904"/>
        </w:numPr>
        <w:spacing w:after="60"/>
      </w:pPr>
      <w:r>
        <w:rPr>
          <w:b/>
        </w:rPr>
        <w:t>Flags are as they stand today</w:t>
      </w:r>
      <w:r>
        <w:t>, not as they stood on the snapshot date. A top-up raised just after the snapshot on a declaration lodged just before it counts in the history. The effect is limited to a few weeks.</w:t>
      </w:r>
    </w:p>
    <w:p>
      <w:pPr>
        <w:pStyle w:val="ListParagraph"/>
        <w:numPr>
          <w:ilvl w:val="0"/>
          <w:numId w:val="904"/>
        </w:numPr>
        <w:spacing w:after="60"/>
      </w:pPr>
      <w:r>
        <w:rPr>
          <w:b/>
        </w:rPr>
        <w:t>The six snapshots overlap</w:t>
      </w:r>
      <w:r>
        <w:t xml:space="preserve"> (each history window shares 18 months with the next), so they are not six fully independent tests. Consistency across them is still the best evidence we have.</w:t>
      </w:r>
    </w:p>
    <w:p>
      <w:pPr>
        <w:pStyle w:val="Heading2"/>
      </w:pPr>
      <w:r>
        <w:t>4.6 Measuring Per Check, Not Per Taxpayer</w:t>
      </w:r>
    </w:p>
    <w:p>
      <w:pPr>
        <w:spacing w:after="120"/>
      </w:pPr>
      <w:r>
        <w:t>There are three ways to score a ranking against what happened next. We use the first as the main measure and the third beside it (decisions 84 and 88).</w:t>
      </w:r>
    </w:p>
    <w:p>
      <w:pPr>
        <w:pStyle w:val="Caption"/>
      </w:pPr>
      <w:r>
        <w:t xml:space="preserve">Table </w:t>
      </w:r>
      <w:r>
        <w:fldChar w:fldCharType="begin"/>
      </w:r>
      <w:r>
        <w:instrText xml:space="preserve"> SEQ Table \* ARABIC </w:instrText>
      </w:r>
      <w:r>
        <w:fldChar w:fldCharType="separate"/>
      </w:r>
      <w:r>
        <w:t>19</w:t>
      </w:r>
      <w:r>
        <w:fldChar w:fldCharType="end"/>
      </w:r>
      <w:r>
        <w:t>: Three Ways to Measure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008"/>
            <w:shd w:val="clear" w:color="auto" w:fill="D9E2F3"/>
          </w:tcPr>
          <w:p>
            <w:pPr>
              <w:spacing w:after="20" w:before="20" w:line="240" w:lineRule="auto"/>
            </w:pPr>
            <w:r/>
            <w:r>
              <w:rPr>
                <w:b/>
                <w:sz w:val="18"/>
              </w:rPr>
              <w:t>Way</w:t>
            </w:r>
          </w:p>
        </w:tc>
        <w:tc>
          <w:tcPr>
            <w:tcW w:type="dxa" w:w="4015"/>
            <w:shd w:val="clear" w:color="auto" w:fill="D9E2F3"/>
          </w:tcPr>
          <w:p>
            <w:pPr>
              <w:spacing w:after="20" w:before="20" w:line="240" w:lineRule="auto"/>
            </w:pPr>
            <w:r/>
            <w:r>
              <w:rPr>
                <w:b/>
                <w:sz w:val="18"/>
              </w:rPr>
              <w:t>Question it answers</w:t>
            </w:r>
          </w:p>
        </w:tc>
        <w:tc>
          <w:tcPr>
            <w:tcW w:type="dxa" w:w="3728"/>
            <w:shd w:val="clear" w:color="auto" w:fill="D9E2F3"/>
          </w:tcPr>
          <w:p>
            <w:pPr>
              <w:spacing w:after="20" w:before="20" w:line="240" w:lineRule="auto"/>
            </w:pPr>
            <w:r/>
            <w:r>
              <w:rPr>
                <w:b/>
                <w:sz w:val="18"/>
              </w:rPr>
              <w:t>Verdict</w:t>
            </w:r>
          </w:p>
        </w:tc>
      </w:tr>
      <w:tr>
        <w:tc>
          <w:tcPr>
            <w:tcW w:type="dxa" w:w="2008"/>
          </w:tcPr>
          <w:p>
            <w:pPr>
              <w:spacing w:after="20" w:before="20" w:line="240" w:lineRule="auto"/>
            </w:pPr>
            <w:r/>
            <w:r>
              <w:rPr>
                <w:sz w:val="18"/>
              </w:rPr>
              <w:t>A. Per check</w:t>
            </w:r>
          </w:p>
        </w:tc>
        <w:tc>
          <w:tcPr>
            <w:tcW w:type="dxa" w:w="4015"/>
          </w:tcPr>
          <w:p>
            <w:pPr>
              <w:spacing w:after="20" w:before="20" w:line="240" w:lineRule="auto"/>
            </w:pPr>
            <w:r/>
            <w:r>
              <w:rPr>
                <w:sz w:val="18"/>
              </w:rPr>
              <w:t>Of all red and yellow checks, does the model rank the ones that found a top-up above the ones that did not?</w:t>
            </w:r>
          </w:p>
        </w:tc>
        <w:tc>
          <w:tcPr>
            <w:tcW w:type="dxa" w:w="3728"/>
          </w:tcPr>
          <w:p>
            <w:pPr>
              <w:spacing w:after="20" w:before="20" w:line="240" w:lineRule="auto"/>
            </w:pPr>
            <w:r/>
            <w:r>
              <w:rPr>
                <w:sz w:val="18"/>
              </w:rPr>
              <w:t>Main measure. Fair to big and small traders; matches how officers judge selectivity (accuracy of checks)</w:t>
            </w:r>
          </w:p>
        </w:tc>
      </w:tr>
      <w:tr>
        <w:tc>
          <w:tcPr>
            <w:tcW w:type="dxa" w:w="2008"/>
          </w:tcPr>
          <w:p>
            <w:pPr>
              <w:spacing w:after="20" w:before="20" w:line="240" w:lineRule="auto"/>
            </w:pPr>
            <w:r/>
            <w:r>
              <w:rPr>
                <w:sz w:val="18"/>
              </w:rPr>
              <w:t>B. Per taxpayer, yes or no</w:t>
            </w:r>
          </w:p>
        </w:tc>
        <w:tc>
          <w:tcPr>
            <w:tcW w:type="dxa" w:w="4015"/>
          </w:tcPr>
          <w:p>
            <w:pPr>
              <w:spacing w:after="20" w:before="20" w:line="240" w:lineRule="auto"/>
            </w:pPr>
            <w:r/>
            <w:r>
              <w:rPr>
                <w:sz w:val="18"/>
              </w:rPr>
              <w:t>Did the taxpayer get at least one top-up?</w:t>
            </w:r>
          </w:p>
        </w:tc>
        <w:tc>
          <w:tcPr>
            <w:tcW w:type="dxa" w:w="3728"/>
          </w:tcPr>
          <w:p>
            <w:pPr>
              <w:spacing w:after="20" w:before="20" w:line="240" w:lineRule="auto"/>
            </w:pPr>
            <w:r/>
            <w:r>
              <w:rPr>
                <w:sz w:val="18"/>
              </w:rPr>
              <w:t>Dropped. A trader checked 50 times almost surely gets one; a trader checked twice rarely does. It measures how often customs looked</w:t>
            </w:r>
          </w:p>
        </w:tc>
      </w:tr>
      <w:tr>
        <w:tc>
          <w:tcPr>
            <w:tcW w:type="dxa" w:w="2008"/>
          </w:tcPr>
          <w:p>
            <w:pPr>
              <w:spacing w:after="20" w:before="20" w:line="240" w:lineRule="auto"/>
            </w:pPr>
            <w:r/>
            <w:r>
              <w:rPr>
                <w:sz w:val="18"/>
              </w:rPr>
              <w:t>C. Money</w:t>
            </w:r>
          </w:p>
        </w:tc>
        <w:tc>
          <w:tcPr>
            <w:tcW w:type="dxa" w:w="4015"/>
          </w:tcPr>
          <w:p>
            <w:pPr>
              <w:spacing w:after="20" w:before="20" w:line="240" w:lineRule="auto"/>
            </w:pPr>
            <w:r/>
            <w:r>
              <w:rPr>
                <w:sz w:val="18"/>
              </w:rPr>
              <w:t>What share of all top-up money came from taxpayers above the line?</w:t>
            </w:r>
          </w:p>
        </w:tc>
        <w:tc>
          <w:tcPr>
            <w:tcW w:type="dxa" w:w="3728"/>
          </w:tcPr>
          <w:p>
            <w:pPr>
              <w:spacing w:after="20" w:before="20" w:line="240" w:lineRule="auto"/>
            </w:pPr>
            <w:r/>
            <w:r>
              <w:rPr>
                <w:sz w:val="18"/>
              </w:rPr>
              <w:t>Shown beside A. Matches "additional revenue" in the officers' own list; a few big cases can swing it</w:t>
            </w:r>
          </w:p>
        </w:tc>
      </w:tr>
    </w:tbl>
    <w:p>
      <w:pPr>
        <w:spacing w:after="40"/>
      </w:pP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Why not accuracy?</w:t>
            </w:r>
          </w:p>
          <w:p>
            <w:pPr>
              <w:spacing w:after="60"/>
            </w:pPr>
            <w:r>
              <w:rPr>
                <w:sz w:val="20"/>
              </w:rPr>
              <w:t>Only about 7% of checks find a top-up, so a model that says "nothing found" for everything is right about 93% of the time and useless. Accuracy rewards being right about the easy majority.</w:t>
            </w:r>
          </w:p>
        </w:tc>
      </w:tr>
    </w:tbl>
    <w:p>
      <w:pPr>
        <w:spacing w:after="40"/>
      </w:pPr>
    </w:p>
    <w:p>
      <w:pPr>
        <w:pStyle w:val="Heading2"/>
      </w:pPr>
      <w:r>
        <w:t>4.7 Precision and Recall Need a Line</w:t>
      </w:r>
    </w:p>
    <w:p>
      <w:pPr>
        <w:spacing w:after="120"/>
      </w:pPr>
      <w:r>
        <w:t>Precision and recall only mean something once a line is drawn: these taxpayers get checked, the rest do not. With every taxpayer above the line, recall is 100% and precision is just the average hit rate, which says nothing about the model. AUC is the measure over all taxpayers; precision and recall are read at the lines officers might use. Averages over the six full snapshots:</w:t>
      </w:r>
    </w:p>
    <w:p>
      <w:pPr>
        <w:pStyle w:val="Caption"/>
      </w:pPr>
      <w:r>
        <w:t xml:space="preserve">Table </w:t>
      </w:r>
      <w:r>
        <w:fldChar w:fldCharType="begin"/>
      </w:r>
      <w:r>
        <w:instrText xml:space="preserve"> SEQ Table \* ARABIC </w:instrText>
      </w:r>
      <w:r>
        <w:fldChar w:fldCharType="separate"/>
      </w:r>
      <w:r>
        <w:t>20</w:t>
      </w:r>
      <w:r>
        <w:fldChar w:fldCharType="end"/>
      </w:r>
      <w:r>
        <w:t>: Precision and Recall at Different Lines (average of 6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1836"/>
            <w:shd w:val="clear" w:color="auto" w:fill="D9E2F3"/>
          </w:tcPr>
          <w:p>
            <w:pPr>
              <w:spacing w:after="20" w:before="20" w:line="240" w:lineRule="auto"/>
            </w:pPr>
            <w:r/>
            <w:r>
              <w:rPr>
                <w:b/>
                <w:sz w:val="18"/>
              </w:rPr>
              <w:t>Line</w:t>
            </w:r>
          </w:p>
        </w:tc>
        <w:tc>
          <w:tcPr>
            <w:tcW w:type="dxa" w:w="1721"/>
            <w:shd w:val="clear" w:color="auto" w:fill="D9E2F3"/>
          </w:tcPr>
          <w:p>
            <w:pPr>
              <w:spacing w:after="20" w:before="20" w:line="240" w:lineRule="auto"/>
            </w:pPr>
            <w:r/>
            <w:r>
              <w:rPr>
                <w:b/>
                <w:sz w:val="18"/>
              </w:rPr>
              <w:t>Taxpayers above it</w:t>
            </w:r>
          </w:p>
        </w:tc>
        <w:tc>
          <w:tcPr>
            <w:tcW w:type="dxa" w:w="2065"/>
            <w:shd w:val="clear" w:color="auto" w:fill="D9E2F3"/>
          </w:tcPr>
          <w:p>
            <w:pPr>
              <w:spacing w:after="20" w:before="20" w:line="240" w:lineRule="auto"/>
            </w:pPr>
            <w:r/>
            <w:r>
              <w:rPr>
                <w:b/>
                <w:sz w:val="18"/>
              </w:rPr>
              <w:t>Precision (hits per check)</w:t>
            </w:r>
          </w:p>
        </w:tc>
        <w:tc>
          <w:tcPr>
            <w:tcW w:type="dxa" w:w="2065"/>
            <w:shd w:val="clear" w:color="auto" w:fill="D9E2F3"/>
          </w:tcPr>
          <w:p>
            <w:pPr>
              <w:spacing w:after="20" w:before="20" w:line="240" w:lineRule="auto"/>
            </w:pPr>
            <w:r/>
            <w:r>
              <w:rPr>
                <w:b/>
                <w:sz w:val="18"/>
              </w:rPr>
              <w:t>Recall (share of all hits)</w:t>
            </w:r>
          </w:p>
        </w:tc>
        <w:tc>
          <w:tcPr>
            <w:tcW w:type="dxa" w:w="2065"/>
            <w:shd w:val="clear" w:color="auto" w:fill="D9E2F3"/>
          </w:tcPr>
          <w:p>
            <w:pPr>
              <w:spacing w:after="20" w:before="20" w:line="240" w:lineRule="auto"/>
            </w:pPr>
            <w:r/>
            <w:r>
              <w:rPr>
                <w:b/>
                <w:sz w:val="18"/>
              </w:rPr>
              <w:t>Share of top-up money</w:t>
            </w:r>
          </w:p>
        </w:tc>
      </w:tr>
      <w:tr>
        <w:tc>
          <w:tcPr>
            <w:tcW w:type="dxa" w:w="1836"/>
          </w:tcPr>
          <w:p>
            <w:pPr>
              <w:spacing w:after="20" w:before="20" w:line="240" w:lineRule="auto"/>
            </w:pPr>
            <w:r/>
            <w:r>
              <w:rPr>
                <w:sz w:val="18"/>
              </w:rPr>
              <w:t>Top 1%</w:t>
            </w:r>
          </w:p>
        </w:tc>
        <w:tc>
          <w:tcPr>
            <w:tcW w:type="dxa" w:w="1721"/>
          </w:tcPr>
          <w:p>
            <w:pPr>
              <w:spacing w:after="20" w:before="20" w:line="240" w:lineRule="auto"/>
            </w:pPr>
            <w:r/>
            <w:r>
              <w:rPr>
                <w:sz w:val="18"/>
              </w:rPr>
              <w:t>1%</w:t>
            </w:r>
          </w:p>
        </w:tc>
        <w:tc>
          <w:tcPr>
            <w:tcW w:type="dxa" w:w="2065"/>
          </w:tcPr>
          <w:p>
            <w:pPr>
              <w:spacing w:after="20" w:before="20" w:line="240" w:lineRule="auto"/>
            </w:pPr>
            <w:r/>
            <w:r>
              <w:rPr>
                <w:sz w:val="18"/>
              </w:rPr>
              <w:t>41%</w:t>
            </w:r>
          </w:p>
        </w:tc>
        <w:tc>
          <w:tcPr>
            <w:tcW w:type="dxa" w:w="2065"/>
          </w:tcPr>
          <w:p>
            <w:pPr>
              <w:spacing w:after="20" w:before="20" w:line="240" w:lineRule="auto"/>
            </w:pPr>
            <w:r/>
            <w:r>
              <w:rPr>
                <w:sz w:val="18"/>
              </w:rPr>
              <w:t>15%</w:t>
            </w:r>
          </w:p>
        </w:tc>
        <w:tc>
          <w:tcPr>
            <w:tcW w:type="dxa" w:w="2065"/>
          </w:tcPr>
          <w:p>
            <w:pPr>
              <w:spacing w:after="20" w:before="20" w:line="240" w:lineRule="auto"/>
            </w:pPr>
            <w:r/>
            <w:r>
              <w:rPr>
                <w:sz w:val="18"/>
              </w:rPr>
              <w:t>26%</w:t>
            </w:r>
          </w:p>
        </w:tc>
      </w:tr>
      <w:tr>
        <w:tc>
          <w:tcPr>
            <w:tcW w:type="dxa" w:w="1836"/>
          </w:tcPr>
          <w:p>
            <w:pPr>
              <w:spacing w:after="20" w:before="20" w:line="240" w:lineRule="auto"/>
            </w:pPr>
            <w:r/>
            <w:r>
              <w:rPr>
                <w:sz w:val="18"/>
              </w:rPr>
              <w:t>Top 5%</w:t>
            </w:r>
          </w:p>
        </w:tc>
        <w:tc>
          <w:tcPr>
            <w:tcW w:type="dxa" w:w="1721"/>
          </w:tcPr>
          <w:p>
            <w:pPr>
              <w:spacing w:after="20" w:before="20" w:line="240" w:lineRule="auto"/>
            </w:pPr>
            <w:r/>
            <w:r>
              <w:rPr>
                <w:sz w:val="18"/>
              </w:rPr>
              <w:t>5%</w:t>
            </w:r>
          </w:p>
        </w:tc>
        <w:tc>
          <w:tcPr>
            <w:tcW w:type="dxa" w:w="2065"/>
          </w:tcPr>
          <w:p>
            <w:pPr>
              <w:spacing w:after="20" w:before="20" w:line="240" w:lineRule="auto"/>
            </w:pPr>
            <w:r/>
            <w:r>
              <w:rPr>
                <w:sz w:val="18"/>
              </w:rPr>
              <w:t>40%</w:t>
            </w:r>
          </w:p>
        </w:tc>
        <w:tc>
          <w:tcPr>
            <w:tcW w:type="dxa" w:w="2065"/>
          </w:tcPr>
          <w:p>
            <w:pPr>
              <w:spacing w:after="20" w:before="20" w:line="240" w:lineRule="auto"/>
            </w:pPr>
            <w:r/>
            <w:r>
              <w:rPr>
                <w:sz w:val="18"/>
              </w:rPr>
              <w:t>42%</w:t>
            </w:r>
          </w:p>
        </w:tc>
        <w:tc>
          <w:tcPr>
            <w:tcW w:type="dxa" w:w="2065"/>
          </w:tcPr>
          <w:p>
            <w:pPr>
              <w:spacing w:after="20" w:before="20" w:line="240" w:lineRule="auto"/>
            </w:pPr>
            <w:r/>
            <w:r>
              <w:rPr>
                <w:sz w:val="18"/>
              </w:rPr>
              <w:t>47%</w:t>
            </w:r>
          </w:p>
        </w:tc>
      </w:tr>
      <w:tr>
        <w:tc>
          <w:tcPr>
            <w:tcW w:type="dxa" w:w="1836"/>
          </w:tcPr>
          <w:p>
            <w:pPr>
              <w:spacing w:after="20" w:before="20" w:line="240" w:lineRule="auto"/>
            </w:pPr>
            <w:r/>
            <w:r>
              <w:rPr>
                <w:sz w:val="18"/>
              </w:rPr>
              <w:t>Top 10%</w:t>
            </w:r>
          </w:p>
        </w:tc>
        <w:tc>
          <w:tcPr>
            <w:tcW w:type="dxa" w:w="1721"/>
          </w:tcPr>
          <w:p>
            <w:pPr>
              <w:spacing w:after="20" w:before="20" w:line="240" w:lineRule="auto"/>
            </w:pPr>
            <w:r/>
            <w:r>
              <w:rPr>
                <w:sz w:val="18"/>
              </w:rPr>
              <w:t>10%</w:t>
            </w:r>
          </w:p>
        </w:tc>
        <w:tc>
          <w:tcPr>
            <w:tcW w:type="dxa" w:w="2065"/>
          </w:tcPr>
          <w:p>
            <w:pPr>
              <w:spacing w:after="20" w:before="20" w:line="240" w:lineRule="auto"/>
            </w:pPr>
            <w:r/>
            <w:r>
              <w:rPr>
                <w:sz w:val="18"/>
              </w:rPr>
              <w:t>36%</w:t>
            </w:r>
          </w:p>
        </w:tc>
        <w:tc>
          <w:tcPr>
            <w:tcW w:type="dxa" w:w="2065"/>
          </w:tcPr>
          <w:p>
            <w:pPr>
              <w:spacing w:after="20" w:before="20" w:line="240" w:lineRule="auto"/>
            </w:pPr>
            <w:r/>
            <w:r>
              <w:rPr>
                <w:sz w:val="18"/>
              </w:rPr>
              <w:t>54%</w:t>
            </w:r>
          </w:p>
        </w:tc>
        <w:tc>
          <w:tcPr>
            <w:tcW w:type="dxa" w:w="2065"/>
          </w:tcPr>
          <w:p>
            <w:pPr>
              <w:spacing w:after="20" w:before="20" w:line="240" w:lineRule="auto"/>
            </w:pPr>
            <w:r/>
            <w:r>
              <w:rPr>
                <w:sz w:val="18"/>
              </w:rPr>
              <w:t>59%</w:t>
            </w:r>
          </w:p>
        </w:tc>
      </w:tr>
      <w:tr>
        <w:tc>
          <w:tcPr>
            <w:tcW w:type="dxa" w:w="1836"/>
          </w:tcPr>
          <w:p>
            <w:pPr>
              <w:spacing w:after="20" w:before="20" w:line="240" w:lineRule="auto"/>
            </w:pPr>
            <w:r/>
            <w:r>
              <w:rPr>
                <w:sz w:val="18"/>
              </w:rPr>
              <w:t>VERY HIGH</w:t>
            </w:r>
          </w:p>
        </w:tc>
        <w:tc>
          <w:tcPr>
            <w:tcW w:type="dxa" w:w="1721"/>
          </w:tcPr>
          <w:p>
            <w:pPr>
              <w:spacing w:after="20" w:before="20" w:line="240" w:lineRule="auto"/>
            </w:pPr>
            <w:r/>
            <w:r>
              <w:rPr>
                <w:sz w:val="18"/>
              </w:rPr>
              <w:t>2%</w:t>
            </w:r>
          </w:p>
        </w:tc>
        <w:tc>
          <w:tcPr>
            <w:tcW w:type="dxa" w:w="2065"/>
          </w:tcPr>
          <w:p>
            <w:pPr>
              <w:spacing w:after="20" w:before="20" w:line="240" w:lineRule="auto"/>
            </w:pPr>
            <w:r/>
            <w:r>
              <w:rPr>
                <w:sz w:val="18"/>
              </w:rPr>
              <w:t>41%</w:t>
            </w:r>
          </w:p>
        </w:tc>
        <w:tc>
          <w:tcPr>
            <w:tcW w:type="dxa" w:w="2065"/>
          </w:tcPr>
          <w:p>
            <w:pPr>
              <w:spacing w:after="20" w:before="20" w:line="240" w:lineRule="auto"/>
            </w:pPr>
            <w:r/>
            <w:r>
              <w:rPr>
                <w:sz w:val="18"/>
              </w:rPr>
              <w:t>22%</w:t>
            </w:r>
          </w:p>
        </w:tc>
        <w:tc>
          <w:tcPr>
            <w:tcW w:type="dxa" w:w="2065"/>
          </w:tcPr>
          <w:p>
            <w:pPr>
              <w:spacing w:after="20" w:before="20" w:line="240" w:lineRule="auto"/>
            </w:pPr>
            <w:r/>
            <w:r>
              <w:rPr>
                <w:sz w:val="18"/>
              </w:rPr>
              <w:t>34%</w:t>
            </w:r>
          </w:p>
        </w:tc>
      </w:tr>
      <w:tr>
        <w:tc>
          <w:tcPr>
            <w:tcW w:type="dxa" w:w="1836"/>
          </w:tcPr>
          <w:p>
            <w:pPr>
              <w:spacing w:after="20" w:before="20" w:line="240" w:lineRule="auto"/>
            </w:pPr>
            <w:r/>
            <w:r>
              <w:rPr>
                <w:sz w:val="18"/>
              </w:rPr>
              <w:t>HIGH and above</w:t>
            </w:r>
          </w:p>
        </w:tc>
        <w:tc>
          <w:tcPr>
            <w:tcW w:type="dxa" w:w="1721"/>
          </w:tcPr>
          <w:p>
            <w:pPr>
              <w:spacing w:after="20" w:before="20" w:line="240" w:lineRule="auto"/>
            </w:pPr>
            <w:r/>
            <w:r>
              <w:rPr>
                <w:sz w:val="18"/>
              </w:rPr>
              <w:t>8%</w:t>
            </w:r>
          </w:p>
        </w:tc>
        <w:tc>
          <w:tcPr>
            <w:tcW w:type="dxa" w:w="2065"/>
          </w:tcPr>
          <w:p>
            <w:pPr>
              <w:spacing w:after="20" w:before="20" w:line="240" w:lineRule="auto"/>
            </w:pPr>
            <w:r/>
            <w:r>
              <w:rPr>
                <w:sz w:val="18"/>
              </w:rPr>
              <w:t>39%</w:t>
            </w:r>
          </w:p>
        </w:tc>
        <w:tc>
          <w:tcPr>
            <w:tcW w:type="dxa" w:w="2065"/>
          </w:tcPr>
          <w:p>
            <w:pPr>
              <w:spacing w:after="20" w:before="20" w:line="240" w:lineRule="auto"/>
            </w:pPr>
            <w:r/>
            <w:r>
              <w:rPr>
                <w:sz w:val="18"/>
              </w:rPr>
              <w:t>52%</w:t>
            </w:r>
          </w:p>
        </w:tc>
        <w:tc>
          <w:tcPr>
            <w:tcW w:type="dxa" w:w="2065"/>
          </w:tcPr>
          <w:p>
            <w:pPr>
              <w:spacing w:after="20" w:before="20" w:line="240" w:lineRule="auto"/>
            </w:pPr>
            <w:r/>
            <w:r>
              <w:rPr>
                <w:sz w:val="18"/>
              </w:rPr>
              <w:t>55%</w:t>
            </w:r>
          </w:p>
        </w:tc>
      </w:tr>
      <w:tr>
        <w:tc>
          <w:tcPr>
            <w:tcW w:type="dxa" w:w="1836"/>
          </w:tcPr>
          <w:p>
            <w:pPr>
              <w:spacing w:after="20" w:before="20" w:line="240" w:lineRule="auto"/>
            </w:pPr>
            <w:r/>
            <w:r>
              <w:rPr>
                <w:sz w:val="18"/>
              </w:rPr>
              <w:t>All taxpayers</w:t>
            </w:r>
          </w:p>
        </w:tc>
        <w:tc>
          <w:tcPr>
            <w:tcW w:type="dxa" w:w="1721"/>
          </w:tcPr>
          <w:p>
            <w:pPr>
              <w:spacing w:after="20" w:before="20" w:line="240" w:lineRule="auto"/>
            </w:pPr>
            <w:r/>
            <w:r>
              <w:rPr>
                <w:sz w:val="18"/>
              </w:rPr>
              <w:t>100%</w:t>
            </w:r>
          </w:p>
        </w:tc>
        <w:tc>
          <w:tcPr>
            <w:tcW w:type="dxa" w:w="2065"/>
          </w:tcPr>
          <w:p>
            <w:pPr>
              <w:spacing w:after="20" w:before="20" w:line="240" w:lineRule="auto"/>
            </w:pPr>
            <w:r/>
            <w:r>
              <w:rPr>
                <w:sz w:val="18"/>
              </w:rPr>
              <w:t>9%</w:t>
            </w:r>
          </w:p>
        </w:tc>
        <w:tc>
          <w:tcPr>
            <w:tcW w:type="dxa" w:w="2065"/>
          </w:tcPr>
          <w:p>
            <w:pPr>
              <w:spacing w:after="20" w:before="20" w:line="240" w:lineRule="auto"/>
            </w:pPr>
            <w:r/>
            <w:r>
              <w:rPr>
                <w:sz w:val="18"/>
              </w:rPr>
              <w:t>100%</w:t>
            </w:r>
          </w:p>
        </w:tc>
        <w:tc>
          <w:tcPr>
            <w:tcW w:type="dxa" w:w="2065"/>
          </w:tcPr>
          <w:p>
            <w:pPr>
              <w:spacing w:after="20" w:before="20" w:line="240" w:lineRule="auto"/>
            </w:pPr>
            <w:r/>
            <w:r>
              <w:rPr>
                <w:sz w:val="18"/>
              </w:rPr>
              <w:t>100%</w:t>
            </w:r>
          </w:p>
        </w:tc>
      </w:tr>
    </w:tbl>
    <w:p>
      <w:pPr>
        <w:spacing w:after="40"/>
      </w:pPr>
    </w:p>
    <w:p>
      <w:pPr>
        <w:spacing w:after="120"/>
      </w:pPr>
      <w:r>
        <w:t xml:space="preserve">The line to quote is </w:t>
      </w:r>
      <w:r>
        <w:rPr>
          <w:b/>
        </w:rPr>
        <w:t>HIGH and above</w:t>
      </w:r>
      <w:r>
        <w:t>, because the bands are what officers act on: the riskiest 8% of taxpayers carry about half of all hits and half of the top-up money, and checks on them find something about four times as often as average. This is not news to officers, who already target repeat offenders. Its value is that the bands mean what they say, that every taxpayer is scored the same way with reasons, and that the other half of the risk sits below HIGH, where history cannot see it: the reason for Track B (Part 10).</w:t>
      </w:r>
    </w:p>
    <w:p>
      <w:pPr>
        <w:pStyle w:val="Heading2"/>
      </w:pPr>
      <w:r>
        <w:t>4.8 Nine Years of Evidence</w:t>
      </w:r>
    </w:p>
    <w:p>
      <w:pPr>
        <w:spacing w:after="120"/>
      </w:pPr>
      <w:r>
        <w:t>A one-pass query (the long run, 7.9) gives every taxpayer's counts for every half-year since October 2014. From it, Track A was scored at 18 dates, every six months from September 2017 to March 2026, each judged on the six months that followed. Checked first against the six dates also pulled in full: the same taxpayers, and 99.5% to 100% of taxpayers matching on every measure. The long run cannot give the price benchmark (PAR_076) or station spread (PAR_023), so it scores on six parameters carrying 92% of the weight; on the six full dates this keeps 95% to 97% of the same top 5%.</w:t>
      </w:r>
    </w:p>
    <w:p>
      <w:pPr>
        <w:keepNext/>
        <w:jc w:val="center"/>
      </w:pPr>
      <w:r>
        <w:drawing>
          <wp:inline xmlns:a="http://schemas.openxmlformats.org/drawingml/2006/main" xmlns:pic="http://schemas.openxmlformats.org/drawingml/2006/picture">
            <wp:extent cx="5940000" cy="4092000"/>
            <wp:docPr id="9" name="Picture 9"/>
            <wp:cNvGraphicFramePr>
              <a:graphicFrameLocks noChangeAspect="1"/>
            </wp:cNvGraphicFramePr>
            <a:graphic>
              <a:graphicData uri="http://schemas.openxmlformats.org/drawingml/2006/picture">
                <pic:pic>
                  <pic:nvPicPr>
                    <pic:cNvPr id="0" name="nine_years.png"/>
                    <pic:cNvPicPr/>
                  </pic:nvPicPr>
                  <pic:blipFill>
                    <a:blip r:embed="rId34"/>
                    <a:stretch>
                      <a:fillRect/>
                    </a:stretch>
                  </pic:blipFill>
                  <pic:spPr>
                    <a:xfrm>
                      <a:off x="0" y="0"/>
                      <a:ext cx="5940000" cy="40920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Nine years of validation: AUC per check (top) and the hit rate of all checks (bottom), Sep 2017 to Mar 2026</w:t>
      </w:r>
    </w:p>
    <w:p>
      <w:pPr>
        <w:pStyle w:val="ListParagraph"/>
        <w:numPr>
          <w:ilvl w:val="0"/>
          <w:numId w:val="905"/>
        </w:numPr>
        <w:spacing w:after="60"/>
      </w:pPr>
      <w:r>
        <w:rPr>
          <w:b/>
        </w:rPr>
        <w:t>Steady over the long run.</w:t>
      </w:r>
      <w:r>
        <w:t xml:space="preserve"> AUC per check between 0.77 and 0.86, at 0.80 or above on most dates, through pre-COVID, COVID and recovery years.</w:t>
      </w:r>
    </w:p>
    <w:p>
      <w:pPr>
        <w:pStyle w:val="ListParagraph"/>
        <w:numPr>
          <w:ilvl w:val="0"/>
          <w:numId w:val="905"/>
        </w:numPr>
        <w:spacing w:after="60"/>
      </w:pPr>
      <w:r>
        <w:rPr>
          <w:b/>
        </w:rPr>
        <w:t>One clear dip in nine years</w:t>
      </w:r>
      <w:r>
        <w:t>, from September 2024 to September 2025 (low point 0.74 in March 2025), recovering to 0.80.</w:t>
      </w:r>
    </w:p>
    <w:p>
      <w:pPr>
        <w:pStyle w:val="ListParagraph"/>
        <w:numPr>
          <w:ilvl w:val="0"/>
          <w:numId w:val="905"/>
        </w:numPr>
        <w:spacing w:after="60"/>
      </w:pPr>
      <w:r>
        <w:rPr>
          <w:b/>
        </w:rPr>
        <w:t>The dip follows a change in customs, not in the model.</w:t>
      </w:r>
      <w:r>
        <w:t xml:space="preserve"> The hit rate of all checks fell from 11-13% to 7% after March 2024: checks in general started finding less. The question "what changed in March 2024?" is for the Risk Officers.</w:t>
      </w:r>
    </w:p>
    <w:p>
      <w:pPr>
        <w:pStyle w:val="Heading2"/>
      </w:pPr>
      <w:r>
        <w:t>4.9 How Many Years of History, and Why Recent Years Count More</w:t>
      </w:r>
    </w:p>
    <w:p>
      <w:pPr>
        <w:spacing w:after="120"/>
      </w:pPr>
      <w:r>
        <w:t>The rates behind the three main parameters used to treat the last 24 months equally. Officers look further back but give recent behaviour more weight, so we tested ways of doing the same (decisions 92 to 94).</w:t>
      </w:r>
    </w:p>
    <w:p>
      <w:pPr>
        <w:pStyle w:val="Caption"/>
      </w:pPr>
      <w:r>
        <w:t xml:space="preserve">Table </w:t>
      </w:r>
      <w:r>
        <w:fldChar w:fldCharType="begin"/>
      </w:r>
      <w:r>
        <w:instrText xml:space="preserve"> SEQ Table \* ARABIC </w:instrText>
      </w:r>
      <w:r>
        <w:fldChar w:fldCharType="separate"/>
      </w:r>
      <w:r>
        <w:t>21</w:t>
      </w:r>
      <w:r>
        <w:fldChar w:fldCharType="end"/>
      </w:r>
      <w:r>
        <w:t>: Weighting the Years of History (18 dates; 14 for five years)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4015"/>
            <w:shd w:val="clear" w:color="auto" w:fill="D9E2F3"/>
          </w:tcPr>
          <w:p>
            <w:pPr>
              <w:spacing w:after="20" w:before="20" w:line="240" w:lineRule="auto"/>
            </w:pPr>
            <w:r/>
            <w:r>
              <w:rPr>
                <w:b/>
                <w:sz w:val="18"/>
              </w:rPr>
              <w:t>Option</w:t>
            </w:r>
          </w:p>
        </w:tc>
        <w:tc>
          <w:tcPr>
            <w:tcW w:type="dxa" w:w="2868"/>
            <w:shd w:val="clear" w:color="auto" w:fill="D9E2F3"/>
          </w:tcPr>
          <w:p>
            <w:pPr>
              <w:spacing w:after="20" w:before="20" w:line="240" w:lineRule="auto"/>
            </w:pPr>
            <w:r/>
            <w:r>
              <w:rPr>
                <w:b/>
                <w:sz w:val="18"/>
              </w:rPr>
              <w:t>AUC per check</w:t>
            </w:r>
          </w:p>
        </w:tc>
        <w:tc>
          <w:tcPr>
            <w:tcW w:type="dxa" w:w="2868"/>
            <w:shd w:val="clear" w:color="auto" w:fill="D9E2F3"/>
          </w:tcPr>
          <w:p>
            <w:pPr>
              <w:spacing w:after="20" w:before="20" w:line="240" w:lineRule="auto"/>
            </w:pPr>
            <w:r/>
            <w:r>
              <w:rPr>
                <w:b/>
                <w:sz w:val="18"/>
              </w:rPr>
              <w:t>Better than the old rule on</w:t>
            </w:r>
          </w:p>
        </w:tc>
      </w:tr>
      <w:tr>
        <w:tc>
          <w:tcPr>
            <w:tcW w:type="dxa" w:w="4015"/>
          </w:tcPr>
          <w:p>
            <w:pPr>
              <w:spacing w:after="20" w:before="20" w:line="240" w:lineRule="auto"/>
            </w:pPr>
            <w:r/>
            <w:r>
              <w:rPr>
                <w:sz w:val="18"/>
              </w:rPr>
              <w:t>Old rule: last 2 years, equal</w:t>
            </w:r>
          </w:p>
        </w:tc>
        <w:tc>
          <w:tcPr>
            <w:tcW w:type="dxa" w:w="2868"/>
          </w:tcPr>
          <w:p>
            <w:pPr>
              <w:spacing w:after="20" w:before="20" w:line="240" w:lineRule="auto"/>
            </w:pPr>
            <w:r/>
            <w:r>
              <w:rPr>
                <w:sz w:val="18"/>
              </w:rPr>
              <w:t>0.813</w:t>
            </w:r>
          </w:p>
        </w:tc>
        <w:tc>
          <w:tcPr>
            <w:tcW w:type="dxa" w:w="2868"/>
          </w:tcPr>
          <w:p>
            <w:pPr>
              <w:spacing w:after="20" w:before="20" w:line="240" w:lineRule="auto"/>
            </w:pPr>
            <w:r/>
            <w:r>
              <w:rPr>
                <w:sz w:val="18"/>
              </w:rPr>
              <w:t>reference</w:t>
            </w:r>
          </w:p>
        </w:tc>
      </w:tr>
      <w:tr>
        <w:tc>
          <w:tcPr>
            <w:tcW w:type="dxa" w:w="4015"/>
          </w:tcPr>
          <w:p>
            <w:pPr>
              <w:spacing w:after="20" w:before="20" w:line="240" w:lineRule="auto"/>
            </w:pPr>
            <w:r/>
            <w:r>
              <w:rPr>
                <w:sz w:val="18"/>
              </w:rPr>
              <w:t>Last year only</w:t>
            </w:r>
          </w:p>
        </w:tc>
        <w:tc>
          <w:tcPr>
            <w:tcW w:type="dxa" w:w="2868"/>
          </w:tcPr>
          <w:p>
            <w:pPr>
              <w:spacing w:after="20" w:before="20" w:line="240" w:lineRule="auto"/>
            </w:pPr>
            <w:r/>
            <w:r>
              <w:rPr>
                <w:sz w:val="18"/>
              </w:rPr>
              <w:t>0.804</w:t>
            </w:r>
          </w:p>
        </w:tc>
        <w:tc>
          <w:tcPr>
            <w:tcW w:type="dxa" w:w="2868"/>
          </w:tcPr>
          <w:p>
            <w:pPr>
              <w:spacing w:after="20" w:before="20" w:line="240" w:lineRule="auto"/>
            </w:pPr>
            <w:r/>
            <w:r>
              <w:rPr>
                <w:sz w:val="18"/>
              </w:rPr>
              <w:t>0 of 18 (worse on 16)</w:t>
            </w:r>
          </w:p>
        </w:tc>
      </w:tr>
      <w:tr>
        <w:tc>
          <w:tcPr>
            <w:tcW w:type="dxa" w:w="4015"/>
          </w:tcPr>
          <w:p>
            <w:pPr>
              <w:spacing w:after="20" w:before="20" w:line="240" w:lineRule="auto"/>
            </w:pPr>
            <w:r/>
            <w:r>
              <w:rPr>
                <w:sz w:val="18"/>
              </w:rPr>
              <w:t>3 years, equal (1, 1, 1)</w:t>
            </w:r>
          </w:p>
        </w:tc>
        <w:tc>
          <w:tcPr>
            <w:tcW w:type="dxa" w:w="2868"/>
          </w:tcPr>
          <w:p>
            <w:pPr>
              <w:spacing w:after="20" w:before="20" w:line="240" w:lineRule="auto"/>
            </w:pPr>
            <w:r/>
            <w:r>
              <w:rPr>
                <w:sz w:val="18"/>
              </w:rPr>
              <w:t>0.816</w:t>
            </w:r>
          </w:p>
        </w:tc>
        <w:tc>
          <w:tcPr>
            <w:tcW w:type="dxa" w:w="2868"/>
          </w:tcPr>
          <w:p>
            <w:pPr>
              <w:spacing w:after="20" w:before="20" w:line="240" w:lineRule="auto"/>
            </w:pPr>
            <w:r/>
            <w:r>
              <w:rPr>
                <w:sz w:val="18"/>
              </w:rPr>
              <w:t>14 of 18</w:t>
            </w:r>
          </w:p>
        </w:tc>
      </w:tr>
      <w:tr>
        <w:tc>
          <w:tcPr>
            <w:tcW w:type="dxa" w:w="4015"/>
          </w:tcPr>
          <w:p>
            <w:pPr>
              <w:spacing w:after="20" w:before="20" w:line="240" w:lineRule="auto"/>
            </w:pPr>
            <w:r/>
            <w:r>
              <w:rPr>
                <w:sz w:val="18"/>
              </w:rPr>
              <w:t>3 years, gentle (1, 0.75, 0.5)</w:t>
            </w:r>
          </w:p>
        </w:tc>
        <w:tc>
          <w:tcPr>
            <w:tcW w:type="dxa" w:w="2868"/>
          </w:tcPr>
          <w:p>
            <w:pPr>
              <w:spacing w:after="20" w:before="20" w:line="240" w:lineRule="auto"/>
            </w:pPr>
            <w:r/>
            <w:r>
              <w:rPr>
                <w:sz w:val="18"/>
              </w:rPr>
              <w:t>0.817</w:t>
            </w:r>
          </w:p>
        </w:tc>
        <w:tc>
          <w:tcPr>
            <w:tcW w:type="dxa" w:w="2868"/>
          </w:tcPr>
          <w:p>
            <w:pPr>
              <w:spacing w:after="20" w:before="20" w:line="240" w:lineRule="auto"/>
            </w:pPr>
            <w:r/>
            <w:r>
              <w:rPr>
                <w:sz w:val="18"/>
              </w:rPr>
              <w:t>16 of 18</w:t>
            </w:r>
          </w:p>
        </w:tc>
      </w:tr>
      <w:tr>
        <w:tc>
          <w:tcPr>
            <w:tcW w:type="dxa" w:w="4015"/>
          </w:tcPr>
          <w:p>
            <w:pPr>
              <w:spacing w:after="20" w:before="20" w:line="240" w:lineRule="auto"/>
            </w:pPr>
            <w:r/>
            <w:r>
              <w:rPr>
                <w:b/>
                <w:sz w:val="18"/>
              </w:rPr>
              <w:t>3 years, halving (1, 0.5, 0.25): adopted</w:t>
            </w:r>
          </w:p>
        </w:tc>
        <w:tc>
          <w:tcPr>
            <w:tcW w:type="dxa" w:w="2868"/>
          </w:tcPr>
          <w:p>
            <w:pPr>
              <w:spacing w:after="20" w:before="20" w:line="240" w:lineRule="auto"/>
            </w:pPr>
            <w:r/>
            <w:r>
              <w:rPr>
                <w:sz w:val="18"/>
              </w:rPr>
              <w:t>0.817</w:t>
            </w:r>
          </w:p>
        </w:tc>
        <w:tc>
          <w:tcPr>
            <w:tcW w:type="dxa" w:w="2868"/>
          </w:tcPr>
          <w:p>
            <w:pPr>
              <w:spacing w:after="20" w:before="20" w:line="240" w:lineRule="auto"/>
            </w:pPr>
            <w:r/>
            <w:r>
              <w:rPr>
                <w:b/>
                <w:sz w:val="18"/>
              </w:rPr>
              <w:t>18 of 18</w:t>
            </w:r>
          </w:p>
        </w:tc>
      </w:tr>
      <w:tr>
        <w:tc>
          <w:tcPr>
            <w:tcW w:type="dxa" w:w="4015"/>
          </w:tcPr>
          <w:p>
            <w:pPr>
              <w:spacing w:after="20" w:before="20" w:line="240" w:lineRule="auto"/>
            </w:pPr>
            <w:r/>
            <w:r>
              <w:rPr>
                <w:sz w:val="18"/>
              </w:rPr>
              <w:t>3 years, steep (1, 0.33, 0.11)</w:t>
            </w:r>
          </w:p>
        </w:tc>
        <w:tc>
          <w:tcPr>
            <w:tcW w:type="dxa" w:w="2868"/>
          </w:tcPr>
          <w:p>
            <w:pPr>
              <w:spacing w:after="20" w:before="20" w:line="240" w:lineRule="auto"/>
            </w:pPr>
            <w:r/>
            <w:r>
              <w:rPr>
                <w:sz w:val="18"/>
              </w:rPr>
              <w:t>0.816</w:t>
            </w:r>
          </w:p>
        </w:tc>
        <w:tc>
          <w:tcPr>
            <w:tcW w:type="dxa" w:w="2868"/>
          </w:tcPr>
          <w:p>
            <w:pPr>
              <w:spacing w:after="20" w:before="20" w:line="240" w:lineRule="auto"/>
            </w:pPr>
            <w:r/>
            <w:r>
              <w:rPr>
                <w:sz w:val="18"/>
              </w:rPr>
              <w:t>14 of 18</w:t>
            </w:r>
          </w:p>
        </w:tc>
      </w:tr>
      <w:tr>
        <w:tc>
          <w:tcPr>
            <w:tcW w:type="dxa" w:w="4015"/>
          </w:tcPr>
          <w:p>
            <w:pPr>
              <w:spacing w:after="20" w:before="20" w:line="240" w:lineRule="auto"/>
            </w:pPr>
            <w:r/>
            <w:r>
              <w:rPr>
                <w:sz w:val="18"/>
              </w:rPr>
              <w:t>5 years, halving (14 dates)</w:t>
            </w:r>
          </w:p>
        </w:tc>
        <w:tc>
          <w:tcPr>
            <w:tcW w:type="dxa" w:w="2868"/>
          </w:tcPr>
          <w:p>
            <w:pPr>
              <w:spacing w:after="20" w:before="20" w:line="240" w:lineRule="auto"/>
            </w:pPr>
            <w:r/>
            <w:r>
              <w:rPr>
                <w:sz w:val="18"/>
              </w:rPr>
              <w:t>0.821 (3 years: 0.820 on the same dates)</w:t>
            </w:r>
          </w:p>
        </w:tc>
        <w:tc>
          <w:tcPr>
            <w:tcW w:type="dxa" w:w="2868"/>
          </w:tcPr>
          <w:p>
            <w:pPr>
              <w:spacing w:after="20" w:before="20" w:line="240" w:lineRule="auto"/>
            </w:pPr>
            <w:r/>
            <w:r>
              <w:rPr>
                <w:sz w:val="18"/>
              </w:rPr>
              <w:t>14 of 14</w:t>
            </w:r>
          </w:p>
        </w:tc>
      </w:tr>
    </w:tbl>
    <w:p>
      <w:pPr>
        <w:spacing w:after="40"/>
      </w:pPr>
    </w:p>
    <w:p>
      <w:pPr>
        <w:spacing w:after="120"/>
      </w:pPr>
      <w:r>
        <w:rPr>
          <w:b/>
        </w:rPr>
        <w:t>Why halving.</w:t>
      </w:r>
      <w:r>
        <w:t xml:space="preserve"> Each year back counts half as much as the year after it. It is the only option better than the old rule on every date. Equal or gentle weights let a top-up from three years ago count almost as much as last year's, which flags fewer taxpayers and less accurately; steeper weights forget too quickly. Halving keeps old mistakes visible while letting a trader who has cleaned up recover within about two years. Five years adds nothing measurable over three and needs heavier queries, so the model uses three.</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In plain words</w:t>
            </w:r>
          </w:p>
          <w:p>
            <w:pPr>
              <w:spacing w:after="60"/>
            </w:pPr>
            <w:r>
              <w:rPr>
                <w:sz w:val="20"/>
              </w:rPr>
              <w:t>A rate is now: (last year's top-ups + half of the year before + a quarter of the year before that) divided by the same mix of declarations. Last year speaks loudest; three years ago still has a say.</w:t>
            </w:r>
          </w:p>
        </w:tc>
      </w:tr>
    </w:tbl>
    <w:p>
      <w:pPr>
        <w:spacing w:after="40"/>
      </w:pPr>
    </w:p>
    <w:p>
      <w:r>
        <w:br w:type="page"/>
      </w:r>
    </w:p>
    <w:p/>
    <w:p/>
    <w:p/>
    <w:p/>
    <w:p/>
    <w:p/>
    <w:p>
      <w:pPr>
        <w:pStyle w:val="Heading1"/>
      </w:pPr>
      <w:r>
        <w:t>PART 5: WHAT WE TRIED, WHAT WE DROPPED, AND WHY</w:t>
      </w:r>
    </w:p>
    <w:p>
      <w:pPr>
        <w:spacing w:after="120"/>
      </w:pPr>
      <w:r>
        <w:t>The choices most likely to be questioned. Each section tells the story: what was tried, what the evidence showed, and how to defend the decision in one sentence.</w:t>
      </w:r>
    </w:p>
    <w:p>
      <w:r>
        <w:br w:type="page"/>
      </w:r>
    </w:p>
    <w:p>
      <w:pPr>
        <w:pStyle w:val="Heading2"/>
      </w:pPr>
      <w:r>
        <w:t>5.1 The Maximum for PAR_045T: 40%, Not 10%</w:t>
      </w:r>
    </w:p>
    <w:p>
      <w:pPr>
        <w:spacing w:after="120"/>
      </w:pPr>
      <w:r>
        <w:t>The officers' rule says a taxpayer with more than 10% of declarations topped up is as bad as it gets. With 10% as the maximum, 35% of regular traders scored full points: they were all tied at the top, and the scale could no longer tell a 12% taxpayer from a 60% one. Ranked on this parameter alone, lift fell to 2.6; with a 40% maximum it was 5.3.</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Defend it in one sentence</w:t>
            </w:r>
          </w:p>
          <w:p>
            <w:pPr>
              <w:spacing w:after="60"/>
            </w:pPr>
            <w:r>
              <w:rPr>
                <w:sz w:val="20"/>
              </w:rPr>
              <w:t>We kept the officers' minimum risk level of 3%, and moved the maximum to 40% because a test that a third of the class passes with full marks cannot rank the class.</w:t>
            </w:r>
          </w:p>
        </w:tc>
      </w:tr>
    </w:tbl>
    <w:p>
      <w:pPr>
        <w:spacing w:after="40"/>
      </w:pPr>
    </w:p>
    <w:p>
      <w:pPr>
        <w:pStyle w:val="Heading2"/>
      </w:pPr>
      <w:r>
        <w:t>5.2 PAR_048 Measured Over Final Tax</w:t>
      </w:r>
    </w:p>
    <w:p>
      <w:pPr>
        <w:spacing w:after="120"/>
      </w:pPr>
      <w:r>
        <w:t>Top-ups divided by ORIGINAL tax explodes when the original tax is tiny: one taxpayer declared UGX 29 of tax and got a ratio of 4,399. 2,318 taxpayers were above 1. Dividing by FINAL tax (original plus top-ups) keeps the same order, stays between 0 and 1, and the officers' thresholds convert exactly: 6% becomes 5.7%, 33% becomes 24.8%.</w:t>
      </w:r>
    </w:p>
    <w:p>
      <w:pPr>
        <w:keepNext/>
        <w:jc w:val="center"/>
      </w:pPr>
      <w:r>
        <w:drawing>
          <wp:inline xmlns:a="http://schemas.openxmlformats.org/drawingml/2006/main" xmlns:pic="http://schemas.openxmlformats.org/drawingml/2006/picture">
            <wp:extent cx="5940000" cy="2018871"/>
            <wp:docPr id="10" name="Picture 10"/>
            <wp:cNvGraphicFramePr>
              <a:graphicFrameLocks noChangeAspect="1"/>
            </wp:cNvGraphicFramePr>
            <a:graphic>
              <a:graphicData uri="http://schemas.openxmlformats.org/drawingml/2006/picture">
                <pic:pic>
                  <pic:nvPicPr>
                    <pic:cNvPr id="0" name="chart_14.png"/>
                    <pic:cNvPicPr/>
                  </pic:nvPicPr>
                  <pic:blipFill>
                    <a:blip r:embed="rId35"/>
                    <a:stretch>
                      <a:fillRect/>
                    </a:stretch>
                  </pic:blipFill>
                  <pic:spPr>
                    <a:xfrm>
                      <a:off x="0" y="0"/>
                      <a:ext cx="5940000" cy="2018871"/>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The ratio over original tax explodes; over final tax it is bounded</w:t>
      </w:r>
    </w:p>
    <w:p>
      <w:pPr>
        <w:pStyle w:val="Heading2"/>
      </w:pPr>
      <w:r>
        <w:t>5.3 One-way Small-count Weighting at K = 10</w:t>
      </w:r>
    </w:p>
    <w:p>
      <w:pPr>
        <w:pStyle w:val="ListParagraph"/>
        <w:numPr>
          <w:ilvl w:val="0"/>
          <w:numId w:val="906"/>
        </w:numPr>
        <w:spacing w:after="60"/>
      </w:pPr>
      <w:r>
        <w:rPr>
          <w:b/>
        </w:rPr>
        <w:t>No weighting</w:t>
      </w:r>
      <w:r>
        <w:t>: 5,254 small traders in HIGH or VERY HIGH, many of them one-off vehicle importers with a single top-up.</w:t>
      </w:r>
    </w:p>
    <w:p>
      <w:pPr>
        <w:pStyle w:val="ListParagraph"/>
        <w:numPr>
          <w:ilvl w:val="0"/>
          <w:numId w:val="906"/>
        </w:numPr>
        <w:spacing w:after="60"/>
      </w:pPr>
      <w:r>
        <w:rPr>
          <w:b/>
        </w:rPr>
        <w:t>K = 10, one-way</w:t>
      </w:r>
      <w:r>
        <w:t>: 538, with a small cost in lift. Agreed as the fairer balance.</w:t>
      </w:r>
    </w:p>
    <w:p>
      <w:pPr>
        <w:pStyle w:val="ListParagraph"/>
        <w:numPr>
          <w:ilvl w:val="0"/>
          <w:numId w:val="906"/>
        </w:numPr>
        <w:spacing w:after="60"/>
      </w:pPr>
      <w:r>
        <w:rPr>
          <w:b/>
        </w:rPr>
        <w:t>Two-way</w:t>
      </w:r>
      <w:r>
        <w:t xml:space="preserve"> (raising clean small traders towards the average): rejected, it accuses people for others' behaviour.</w:t>
      </w:r>
    </w:p>
    <w:p>
      <w:pPr>
        <w:pStyle w:val="ListParagraph"/>
        <w:numPr>
          <w:ilvl w:val="0"/>
          <w:numId w:val="906"/>
        </w:numPr>
        <w:spacing w:after="60"/>
      </w:pPr>
      <w:r>
        <w:rPr>
          <w:b/>
        </w:rPr>
        <w:t>K estimated from the data</w:t>
      </w:r>
      <w:r>
        <w:t xml:space="preserve"> (about 3) with two-way shrinkage, tested in the challenger round: it pushed small traders to the top and caught 60% fewer hits.</w:t>
      </w:r>
    </w:p>
    <w:p>
      <w:pPr>
        <w:pStyle w:val="Heading2"/>
      </w:pPr>
      <w:r>
        <w:t>5.4 HDBSCAN Peer Groups: Dropped</w:t>
      </w:r>
    </w:p>
    <w:p>
      <w:pPr>
        <w:spacing w:after="120"/>
      </w:pPr>
      <w:r>
        <w:t>HDBSCAN looks for crowded neighbourhoods of points and calls everything in thin areas "noise". Picture a football field with people standing around: HDBSCAN only forms a group where people stand shoulder to shoulder. Our taxpayers do not stand in clumps; they spread smoothly from tiny to huge. The only crowded spots were piles of taxpayers with identical counts (one HS heading, one origin, one item per declaration). So HDBSCAN made 6 groups of single-product traders and left 77% of regular taxpayers as noise.</w:t>
      </w:r>
    </w:p>
    <w:p>
      <w:pPr>
        <w:keepNext/>
        <w:jc w:val="center"/>
      </w:pPr>
      <w:r>
        <w:drawing>
          <wp:inline xmlns:a="http://schemas.openxmlformats.org/drawingml/2006/main" xmlns:pic="http://schemas.openxmlformats.org/drawingml/2006/picture">
            <wp:extent cx="5940000" cy="2123895"/>
            <wp:docPr id="11" name="Picture 11"/>
            <wp:cNvGraphicFramePr>
              <a:graphicFrameLocks noChangeAspect="1"/>
            </wp:cNvGraphicFramePr>
            <a:graphic>
              <a:graphicData uri="http://schemas.openxmlformats.org/drawingml/2006/picture">
                <pic:pic>
                  <pic:nvPicPr>
                    <pic:cNvPr id="0" name="chart_19.png"/>
                    <pic:cNvPicPr/>
                  </pic:nvPicPr>
                  <pic:blipFill>
                    <a:blip r:embed="rId36"/>
                    <a:stretch>
                      <a:fillRect/>
                    </a:stretch>
                  </pic:blipFill>
                  <pic:spPr>
                    <a:xfrm>
                      <a:off x="0" y="0"/>
                      <a:ext cx="5940000" cy="212389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Left: data with real clumps. Right: data like ours, a smooth spread plus a few piles</w:t>
      </w:r>
    </w:p>
    <w:p>
      <w:pPr>
        <w:keepNext/>
        <w:jc w:val="center"/>
      </w:pPr>
      <w:r>
        <w:drawing>
          <wp:inline xmlns:a="http://schemas.openxmlformats.org/drawingml/2006/main" xmlns:pic="http://schemas.openxmlformats.org/drawingml/2006/picture">
            <wp:extent cx="5940000" cy="2940000"/>
            <wp:docPr id="12" name="Picture 12"/>
            <wp:cNvGraphicFramePr>
              <a:graphicFrameLocks noChangeAspect="1"/>
            </wp:cNvGraphicFramePr>
            <a:graphic>
              <a:graphicData uri="http://schemas.openxmlformats.org/drawingml/2006/picture">
                <pic:pic>
                  <pic:nvPicPr>
                    <pic:cNvPr id="0" name="chart_20.png"/>
                    <pic:cNvPicPr/>
                  </pic:nvPicPr>
                  <pic:blipFill>
                    <a:blip r:embed="rId37"/>
                    <a:stretch>
                      <a:fillRect/>
                    </a:stretch>
                  </pic:blipFill>
                  <pic:spPr>
                    <a:xfrm>
                      <a:off x="0" y="0"/>
                      <a:ext cx="5940000" cy="294000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11</w:t>
      </w:r>
      <w:r>
        <w:fldChar w:fldCharType="end"/>
      </w:r>
      <w:r>
        <w:t>: HDBSCAN on our regular taxpayers: the six groups sit in one corner</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Defend it in one sentence</w:t>
            </w:r>
          </w:p>
          <w:p>
            <w:pPr>
              <w:spacing w:after="60"/>
            </w:pPr>
            <w:r>
              <w:rPr>
                <w:sz w:val="20"/>
              </w:rPr>
              <w:t>HDBSCAN found piles, not peers: it left three quarters of traders without a group, while main goods x size gives every regular trader a group an officer can name.</w:t>
            </w:r>
          </w:p>
        </w:tc>
      </w:tr>
    </w:tbl>
    <w:p>
      <w:pPr>
        <w:spacing w:after="40"/>
      </w:pPr>
    </w:p>
    <w:p>
      <w:pPr>
        <w:pStyle w:val="Heading2"/>
      </w:pPr>
      <w:r>
        <w:t>5.5 Pattern Points: Replaced by a Note</w:t>
      </w:r>
    </w:p>
    <w:p>
      <w:pPr>
        <w:spacing w:after="120"/>
      </w:pPr>
      <w:r>
        <w:t>The Isolation Forest plays a game of "20 random questions" to single a taxpayer out from their peer group: "more than 40 HS headings?", "IM7 share above 0.3?". A typical taxpayer needs many questions; an odd one needs few. It never sees outcomes, so it finds what is rare, not what is risky.</w:t>
      </w:r>
    </w:p>
    <w:p>
      <w:pPr>
        <w:keepNext/>
        <w:jc w:val="center"/>
      </w:pPr>
      <w:r>
        <w:drawing>
          <wp:inline xmlns:a="http://schemas.openxmlformats.org/drawingml/2006/main" xmlns:pic="http://schemas.openxmlformats.org/drawingml/2006/picture">
            <wp:extent cx="5940000" cy="2195587"/>
            <wp:docPr id="13" name="Picture 13"/>
            <wp:cNvGraphicFramePr>
              <a:graphicFrameLocks noChangeAspect="1"/>
            </wp:cNvGraphicFramePr>
            <a:graphic>
              <a:graphicData uri="http://schemas.openxmlformats.org/drawingml/2006/picture">
                <pic:pic>
                  <pic:nvPicPr>
                    <pic:cNvPr id="0" name="chart_21.png"/>
                    <pic:cNvPicPr/>
                  </pic:nvPicPr>
                  <pic:blipFill>
                    <a:blip r:embed="rId38"/>
                    <a:stretch>
                      <a:fillRect/>
                    </a:stretch>
                  </pic:blipFill>
                  <pic:spPr>
                    <a:xfrm>
                      <a:off x="0" y="0"/>
                      <a:ext cx="5940000" cy="2195587"/>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12</w:t>
      </w:r>
      <w:r>
        <w:fldChar w:fldCharType="end"/>
      </w:r>
      <w:r>
        <w:t>: Odd points are isolated in few cuts; the tested rule gave the top 20% up to 15 points</w:t>
      </w:r>
    </w:p>
    <w:p>
      <w:pPr>
        <w:spacing w:after="120"/>
      </w:pPr>
      <w:r>
        <w:t>A real example from March 2026, in the "Hides and leather, medium" group: 43 HS headings against a group norm of 1, 5 origins against 1, 4 stations against 1, never topped up, 1% amended against 33%. Scorecard: 0 points. Pattern check: most unusual in the group, 15 points. Next 6 months: 34 declarations, all 34 checked, 0 top-ups.</w:t>
      </w:r>
    </w:p>
    <w:p>
      <w:pPr>
        <w:keepNext/>
        <w:jc w:val="center"/>
      </w:pPr>
      <w:r>
        <w:drawing>
          <wp:inline xmlns:a="http://schemas.openxmlformats.org/drawingml/2006/main" xmlns:pic="http://schemas.openxmlformats.org/drawingml/2006/picture">
            <wp:extent cx="5940000" cy="1773824"/>
            <wp:docPr id="14" name="Picture 14"/>
            <wp:cNvGraphicFramePr>
              <a:graphicFrameLocks noChangeAspect="1"/>
            </wp:cNvGraphicFramePr>
            <a:graphic>
              <a:graphicData uri="http://schemas.openxmlformats.org/drawingml/2006/picture">
                <pic:pic>
                  <pic:nvPicPr>
                    <pic:cNvPr id="0" name="chart_23.png"/>
                    <pic:cNvPicPr/>
                  </pic:nvPicPr>
                  <pic:blipFill>
                    <a:blip r:embed="rId39"/>
                    <a:stretch>
                      <a:fillRect/>
                    </a:stretch>
                  </pic:blipFill>
                  <pic:spPr>
                    <a:xfrm>
                      <a:off x="0" y="0"/>
                      <a:ext cx="5940000" cy="177382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13</w:t>
      </w:r>
      <w:r>
        <w:fldChar w:fldCharType="end"/>
      </w:r>
      <w:r>
        <w:t>: Among low-scoring taxpayers, the unusual ones were hit no more often than the usual ones</w:t>
      </w:r>
    </w:p>
    <w:p>
      <w:pPr>
        <w:keepNext/>
        <w:jc w:val="center"/>
      </w:pPr>
      <w:r>
        <w:drawing>
          <wp:inline xmlns:a="http://schemas.openxmlformats.org/drawingml/2006/main" xmlns:pic="http://schemas.openxmlformats.org/drawingml/2006/picture">
            <wp:extent cx="5940000" cy="2756842"/>
            <wp:docPr id="15" name="Picture 15"/>
            <wp:cNvGraphicFramePr>
              <a:graphicFrameLocks noChangeAspect="1"/>
            </wp:cNvGraphicFramePr>
            <a:graphic>
              <a:graphicData uri="http://schemas.openxmlformats.org/drawingml/2006/picture">
                <pic:pic>
                  <pic:nvPicPr>
                    <pic:cNvPr id="0" name="chart_24.png"/>
                    <pic:cNvPicPr/>
                  </pic:nvPicPr>
                  <pic:blipFill>
                    <a:blip r:embed="rId40"/>
                    <a:stretch>
                      <a:fillRect/>
                    </a:stretch>
                  </pic:blipFill>
                  <pic:spPr>
                    <a:xfrm>
                      <a:off x="0" y="0"/>
                      <a:ext cx="5940000" cy="275684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14</w:t>
      </w:r>
      <w:r>
        <w:fldChar w:fldCharType="end"/>
      </w:r>
      <w:r>
        <w:t>: Lift by how many points the pattern check may add: 0 is best at every cut-off</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Defend it in one sentence</w:t>
            </w:r>
          </w:p>
          <w:p>
            <w:pPr>
              <w:spacing w:after="60"/>
            </w:pPr>
            <w:r>
              <w:rPr>
                <w:sz w:val="20"/>
              </w:rPr>
              <w:t>Unusual is not the same as risky: the pattern points pushed honest general merchants above taxpayers with real top-up records, so we kept the pattern as a note the officer can read.</w:t>
            </w:r>
          </w:p>
        </w:tc>
      </w:tr>
    </w:tbl>
    <w:p>
      <w:pPr>
        <w:spacing w:after="40"/>
      </w:pPr>
    </w:p>
    <w:p>
      <w:pPr>
        <w:pStyle w:val="Heading2"/>
      </w:pPr>
      <w:r>
        <w:t>5.6 Why All Eight Parameters, Not the Best Three</w:t>
      </w:r>
    </w:p>
    <w:p>
      <w:pPr>
        <w:spacing w:after="120"/>
      </w:pPr>
      <w:r>
        <w:t>A lean card of the three strongest parameters scored slightly higher at the top 1% (4.87 against 4.62) and slightly lower at 5% (4.26 against 4.49). Keeping all eight costs almost nothing in ranking and keeps every agreed parameter with data in the score and in the reasons officers read. The five weaker ones carry 4% each.</w:t>
      </w:r>
    </w:p>
    <w:p>
      <w:r>
        <w:br w:type="page"/>
      </w:r>
    </w:p>
    <w:p/>
    <w:p/>
    <w:p/>
    <w:p/>
    <w:p/>
    <w:p/>
    <w:p>
      <w:pPr>
        <w:pStyle w:val="Heading1"/>
      </w:pPr>
      <w:r>
        <w:t>PART 6: THE CHALLENGER MODELS</w:t>
      </w:r>
    </w:p>
    <w:p>
      <w:pPr>
        <w:spacing w:after="120"/>
      </w:pPr>
      <w:r>
        <w:t>Other ways of ranking the same taxpayers, what each one is in plain words, how they did against the scorecard, and what happens next.</w:t>
      </w:r>
    </w:p>
    <w:p>
      <w:r>
        <w:br w:type="page"/>
      </w:r>
    </w:p>
    <w:p>
      <w:pPr>
        <w:pStyle w:val="Heading2"/>
      </w:pPr>
      <w:r>
        <w:t>6.1 Why Test Challengers</w:t>
      </w:r>
    </w:p>
    <w:p>
      <w:pPr>
        <w:spacing w:after="120"/>
      </w:pPr>
      <w:r>
        <w:t>You can only call a model good next to its alternatives. The challengers include the candidates of the June 2026 Scope, Architecture and Design document and the strongest ideas from desk research on customs and tax risk models (see the research report "Challenger models for customs risk").</w:t>
      </w:r>
    </w:p>
    <w:p>
      <w:pPr>
        <w:pStyle w:val="Heading2"/>
      </w:pPr>
      <w:r>
        <w:t>6.2 Each Challenger in Plain Words</w:t>
      </w:r>
    </w:p>
    <w:p>
      <w:pPr>
        <w:pStyle w:val="Caption"/>
      </w:pPr>
      <w:r>
        <w:t xml:space="preserve">Table </w:t>
      </w:r>
      <w:r>
        <w:fldChar w:fldCharType="begin"/>
      </w:r>
      <w:r>
        <w:instrText xml:space="preserve"> SEQ Table \* ARABIC </w:instrText>
      </w:r>
      <w:r>
        <w:fldChar w:fldCharType="separate"/>
      </w:r>
      <w:r>
        <w:t>22</w:t>
      </w:r>
      <w:r>
        <w:fldChar w:fldCharType="end"/>
      </w:r>
      <w:r>
        <w:t>: The Challengers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Challenger</w:t>
            </w:r>
          </w:p>
        </w:tc>
        <w:tc>
          <w:tcPr>
            <w:tcW w:type="dxa" w:w="6883"/>
            <w:shd w:val="clear" w:color="auto" w:fill="D9E2F3"/>
          </w:tcPr>
          <w:p>
            <w:pPr>
              <w:spacing w:after="20" w:before="20" w:line="240" w:lineRule="auto"/>
            </w:pPr>
            <w:r/>
            <w:r>
              <w:rPr>
                <w:b/>
                <w:sz w:val="18"/>
              </w:rPr>
              <w:t>In plain words</w:t>
            </w:r>
          </w:p>
        </w:tc>
      </w:tr>
      <w:tr>
        <w:tc>
          <w:tcPr>
            <w:tcW w:type="dxa" w:w="2868"/>
          </w:tcPr>
          <w:p>
            <w:pPr>
              <w:spacing w:after="20" w:before="20" w:line="240" w:lineRule="auto"/>
            </w:pPr>
            <w:r/>
            <w:r>
              <w:rPr>
                <w:sz w:val="18"/>
              </w:rPr>
              <w:t>Baseline</w:t>
            </w:r>
          </w:p>
        </w:tc>
        <w:tc>
          <w:tcPr>
            <w:tcW w:type="dxa" w:w="6883"/>
          </w:tcPr>
          <w:p>
            <w:pPr>
              <w:spacing w:after="20" w:before="20" w:line="240" w:lineRule="auto"/>
            </w:pPr>
            <w:r/>
            <w:r>
              <w:rPr>
                <w:sz w:val="18"/>
              </w:rPr>
              <w:t>Rank on past top-up ratio alone.</w:t>
            </w:r>
          </w:p>
        </w:tc>
      </w:tr>
      <w:tr>
        <w:tc>
          <w:tcPr>
            <w:tcW w:type="dxa" w:w="2868"/>
          </w:tcPr>
          <w:p>
            <w:pPr>
              <w:spacing w:after="20" w:before="20" w:line="240" w:lineRule="auto"/>
            </w:pPr>
            <w:r/>
            <w:r>
              <w:rPr>
                <w:sz w:val="18"/>
              </w:rPr>
              <w:t>Learned weights (logistic regression)</w:t>
            </w:r>
          </w:p>
        </w:tc>
        <w:tc>
          <w:tcPr>
            <w:tcW w:type="dxa" w:w="6883"/>
          </w:tcPr>
          <w:p>
            <w:pPr>
              <w:spacing w:after="20" w:before="20" w:line="240" w:lineRule="auto"/>
            </w:pPr>
            <w:r/>
            <w:r>
              <w:rPr>
                <w:sz w:val="18"/>
              </w:rPr>
              <w:t>Same 8 measures, but instead of officers choosing the weights, the computer finds the weights that best predicted past hits.</w:t>
            </w:r>
          </w:p>
        </w:tc>
      </w:tr>
      <w:tr>
        <w:tc>
          <w:tcPr>
            <w:tcW w:type="dxa" w:w="2868"/>
          </w:tcPr>
          <w:p>
            <w:pPr>
              <w:spacing w:after="20" w:before="20" w:line="240" w:lineRule="auto"/>
            </w:pPr>
            <w:r/>
            <w:r>
              <w:rPr>
                <w:sz w:val="18"/>
              </w:rPr>
              <w:t>Monotone boosting</w:t>
            </w:r>
          </w:p>
        </w:tc>
        <w:tc>
          <w:tcPr>
            <w:tcW w:type="dxa" w:w="6883"/>
          </w:tcPr>
          <w:p>
            <w:pPr>
              <w:spacing w:after="20" w:before="20" w:line="240" w:lineRule="auto"/>
            </w:pPr>
            <w:r/>
            <w:r>
              <w:rPr>
                <w:sz w:val="18"/>
              </w:rPr>
              <w:t>Hundreds of tiny "if this measure is above X, add a little risk" rules added up. Monotone means a worse value can never lower risk. Additive means each measure's effect can still be read separately.</w:t>
            </w:r>
          </w:p>
        </w:tc>
      </w:tr>
      <w:tr>
        <w:tc>
          <w:tcPr>
            <w:tcW w:type="dxa" w:w="2868"/>
          </w:tcPr>
          <w:p>
            <w:pPr>
              <w:spacing w:after="20" w:before="20" w:line="240" w:lineRule="auto"/>
            </w:pPr>
            <w:r/>
            <w:r>
              <w:rPr>
                <w:sz w:val="18"/>
              </w:rPr>
              <w:t>Monotone boosting with size</w:t>
            </w:r>
          </w:p>
        </w:tc>
        <w:tc>
          <w:tcPr>
            <w:tcW w:type="dxa" w:w="6883"/>
          </w:tcPr>
          <w:p>
            <w:pPr>
              <w:spacing w:after="20" w:before="20" w:line="240" w:lineRule="auto"/>
            </w:pPr>
            <w:r/>
            <w:r>
              <w:rPr>
                <w:sz w:val="18"/>
              </w:rPr>
              <w:t>The same, also told how big the taxpayer is. Kept as a warning case.</w:t>
            </w:r>
          </w:p>
        </w:tc>
      </w:tr>
      <w:tr>
        <w:tc>
          <w:tcPr>
            <w:tcW w:type="dxa" w:w="2868"/>
          </w:tcPr>
          <w:p>
            <w:pPr>
              <w:spacing w:after="20" w:before="20" w:line="240" w:lineRule="auto"/>
            </w:pPr>
            <w:r/>
            <w:r>
              <w:rPr>
                <w:sz w:val="18"/>
              </w:rPr>
              <w:t>Data-estimated shrinkage</w:t>
            </w:r>
          </w:p>
        </w:tc>
        <w:tc>
          <w:tcPr>
            <w:tcW w:type="dxa" w:w="6883"/>
          </w:tcPr>
          <w:p>
            <w:pPr>
              <w:spacing w:after="20" w:before="20" w:line="240" w:lineRule="auto"/>
            </w:pPr>
            <w:r/>
            <w:r>
              <w:rPr>
                <w:sz w:val="18"/>
              </w:rPr>
              <w:t>The scorecard, but the small-count weighting strength is learned from the data and works both ways.</w:t>
            </w:r>
          </w:p>
        </w:tc>
      </w:tr>
      <w:tr>
        <w:tc>
          <w:tcPr>
            <w:tcW w:type="dxa" w:w="2868"/>
          </w:tcPr>
          <w:p>
            <w:pPr>
              <w:spacing w:after="20" w:before="20" w:line="240" w:lineRule="auto"/>
            </w:pPr>
            <w:r/>
            <w:r>
              <w:rPr>
                <w:sz w:val="18"/>
              </w:rPr>
              <w:t>Peer percentile</w:t>
            </w:r>
          </w:p>
        </w:tc>
        <w:tc>
          <w:tcPr>
            <w:tcW w:type="dxa" w:w="6883"/>
          </w:tcPr>
          <w:p>
            <w:pPr>
              <w:spacing w:after="20" w:before="20" w:line="240" w:lineRule="auto"/>
            </w:pPr>
            <w:r/>
            <w:r>
              <w:rPr>
                <w:sz w:val="18"/>
              </w:rPr>
              <w:t>For each measure: how much worse than half of the taxpayers in the same HS section? Added up with the expert weights.</w:t>
            </w:r>
          </w:p>
        </w:tc>
      </w:tr>
      <w:tr>
        <w:tc>
          <w:tcPr>
            <w:tcW w:type="dxa" w:w="2868"/>
          </w:tcPr>
          <w:p>
            <w:pPr>
              <w:spacing w:after="20" w:before="20" w:line="240" w:lineRule="auto"/>
            </w:pPr>
            <w:r/>
            <w:r>
              <w:rPr>
                <w:sz w:val="18"/>
              </w:rPr>
              <w:t>Ensemble (Isolation Forest + PCA)</w:t>
            </w:r>
          </w:p>
        </w:tc>
        <w:tc>
          <w:tcPr>
            <w:tcW w:type="dxa" w:w="6883"/>
          </w:tcPr>
          <w:p>
            <w:pPr>
              <w:spacing w:after="20" w:before="20" w:line="240" w:lineRule="auto"/>
            </w:pPr>
            <w:r/>
            <w:r>
              <w:rPr>
                <w:sz w:val="18"/>
              </w:rPr>
              <w:t>The design document's anomaly approach, given only "worse than peers" measures.</w:t>
            </w:r>
          </w:p>
        </w:tc>
      </w:tr>
      <w:tr>
        <w:tc>
          <w:tcPr>
            <w:tcW w:type="dxa" w:w="2868"/>
          </w:tcPr>
          <w:p>
            <w:pPr>
              <w:spacing w:after="20" w:before="20" w:line="240" w:lineRule="auto"/>
            </w:pPr>
            <w:r/>
            <w:r>
              <w:rPr>
                <w:sz w:val="18"/>
              </w:rPr>
              <w:t>K-Means distance</w:t>
            </w:r>
          </w:p>
        </w:tc>
        <w:tc>
          <w:tcPr>
            <w:tcW w:type="dxa" w:w="6883"/>
          </w:tcPr>
          <w:p>
            <w:pPr>
              <w:spacing w:after="20" w:before="20" w:line="240" w:lineRule="auto"/>
            </w:pPr>
            <w:r/>
            <w:r>
              <w:rPr>
                <w:sz w:val="18"/>
              </w:rPr>
              <w:t>Groups taxpayers into 8 clusters; the further from the centre of your cluster, the riskier.</w:t>
            </w:r>
          </w:p>
        </w:tc>
      </w:tr>
      <w:tr>
        <w:tc>
          <w:tcPr>
            <w:tcW w:type="dxa" w:w="2868"/>
          </w:tcPr>
          <w:p>
            <w:pPr>
              <w:spacing w:after="20" w:before="20" w:line="240" w:lineRule="auto"/>
            </w:pPr>
            <w:r/>
            <w:r>
              <w:rPr>
                <w:sz w:val="18"/>
              </w:rPr>
              <w:t>Gaussian mixture</w:t>
            </w:r>
          </w:p>
        </w:tc>
        <w:tc>
          <w:tcPr>
            <w:tcW w:type="dxa" w:w="6883"/>
          </w:tcPr>
          <w:p>
            <w:pPr>
              <w:spacing w:after="20" w:before="20" w:line="240" w:lineRule="auto"/>
            </w:pPr>
            <w:r/>
            <w:r>
              <w:rPr>
                <w:sz w:val="18"/>
              </w:rPr>
              <w:t>Fits a smooth "typical taxpayer" shape; the less likely you are under it, the riskier.</w:t>
            </w:r>
          </w:p>
        </w:tc>
      </w:tr>
    </w:tbl>
    <w:p>
      <w:pPr>
        <w:spacing w:after="40"/>
      </w:pPr>
    </w:p>
    <w:p>
      <w:pPr>
        <w:spacing w:after="120"/>
      </w:pPr>
      <w:r>
        <w:t>Fair play rules: models that learn from outcomes only train on earlier snapshots; all are tested on the four latest snapshots; "better" is only claimed when a bootstrap test (re-running the comparison on 300 resampled populations) says the difference is bigger than chance.</w:t>
      </w:r>
    </w:p>
    <w:p>
      <w:pPr>
        <w:pStyle w:val="Heading2"/>
      </w:pPr>
      <w:r>
        <w:t>6.3 Results</w:t>
      </w:r>
    </w:p>
    <w:p>
      <w:pPr>
        <w:pStyle w:val="Caption"/>
      </w:pPr>
      <w:r>
        <w:t xml:space="preserve">Table </w:t>
      </w:r>
      <w:r>
        <w:fldChar w:fldCharType="begin"/>
      </w:r>
      <w:r>
        <w:instrText xml:space="preserve"> SEQ Table \* ARABIC </w:instrText>
      </w:r>
      <w:r>
        <w:fldChar w:fldCharType="separate"/>
      </w:r>
      <w:r>
        <w:t>23</w:t>
      </w:r>
      <w:r>
        <w:fldChar w:fldCharType="end"/>
      </w:r>
      <w:r>
        <w:t>: Challenger Results (average of 4 test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625"/>
        <w:gridCol w:w="1625"/>
        <w:gridCol w:w="1625"/>
        <w:gridCol w:w="1625"/>
        <w:gridCol w:w="1625"/>
        <w:gridCol w:w="1625"/>
      </w:tblGrid>
      <w:tr>
        <w:trPr>
          <w:tblHeader w:val="true"/>
        </w:trPr>
        <w:tc>
          <w:tcPr>
            <w:tcW w:type="dxa" w:w="2948"/>
            <w:shd w:val="clear" w:color="auto" w:fill="D9E2F3"/>
          </w:tcPr>
          <w:p>
            <w:pPr>
              <w:spacing w:after="20" w:before="20" w:line="240" w:lineRule="auto"/>
            </w:pPr>
            <w:r/>
            <w:r>
              <w:rPr>
                <w:b/>
                <w:sz w:val="18"/>
              </w:rPr>
              <w:t>Model</w:t>
            </w:r>
          </w:p>
        </w:tc>
        <w:tc>
          <w:tcPr>
            <w:tcW w:type="dxa" w:w="1134"/>
            <w:shd w:val="clear" w:color="auto" w:fill="D9E2F3"/>
          </w:tcPr>
          <w:p>
            <w:pPr>
              <w:spacing w:after="20" w:before="20" w:line="240" w:lineRule="auto"/>
            </w:pPr>
            <w:r/>
            <w:r>
              <w:rPr>
                <w:b/>
                <w:sz w:val="18"/>
              </w:rPr>
              <w:t>Lift top 5%</w:t>
            </w:r>
          </w:p>
        </w:tc>
        <w:tc>
          <w:tcPr>
            <w:tcW w:type="dxa" w:w="1474"/>
            <w:shd w:val="clear" w:color="auto" w:fill="D9E2F3"/>
          </w:tcPr>
          <w:p>
            <w:pPr>
              <w:spacing w:after="20" w:before="20" w:line="240" w:lineRule="auto"/>
            </w:pPr>
            <w:r/>
            <w:r>
              <w:rPr>
                <w:b/>
                <w:sz w:val="18"/>
              </w:rPr>
              <w:t>Checks in top 5%</w:t>
            </w:r>
          </w:p>
        </w:tc>
        <w:tc>
          <w:tcPr>
            <w:tcW w:type="dxa" w:w="1361"/>
            <w:shd w:val="clear" w:color="auto" w:fill="D9E2F3"/>
          </w:tcPr>
          <w:p>
            <w:pPr>
              <w:spacing w:after="20" w:before="20" w:line="240" w:lineRule="auto"/>
            </w:pPr>
            <w:r/>
            <w:r>
              <w:rPr>
                <w:b/>
                <w:sz w:val="18"/>
              </w:rPr>
              <w:t>Hits in top 5%</w:t>
            </w:r>
          </w:p>
        </w:tc>
        <w:tc>
          <w:tcPr>
            <w:tcW w:type="dxa" w:w="1361"/>
            <w:shd w:val="clear" w:color="auto" w:fill="D9E2F3"/>
          </w:tcPr>
          <w:p>
            <w:pPr>
              <w:spacing w:after="20" w:before="20" w:line="240" w:lineRule="auto"/>
            </w:pPr>
            <w:r/>
            <w:r>
              <w:rPr>
                <w:b/>
                <w:sz w:val="18"/>
              </w:rPr>
              <w:t>Revenue in top 5%</w:t>
            </w:r>
          </w:p>
        </w:tc>
        <w:tc>
          <w:tcPr>
            <w:tcW w:type="dxa" w:w="1474"/>
            <w:shd w:val="clear" w:color="auto" w:fill="D9E2F3"/>
          </w:tcPr>
          <w:p>
            <w:pPr>
              <w:spacing w:after="20" w:before="20" w:line="240" w:lineRule="auto"/>
            </w:pPr>
            <w:r/>
            <w:r>
              <w:rPr>
                <w:b/>
                <w:sz w:val="18"/>
              </w:rPr>
              <w:t>Revenue per check (UGX M)</w:t>
            </w:r>
          </w:p>
        </w:tc>
      </w:tr>
      <w:tr>
        <w:tc>
          <w:tcPr>
            <w:tcW w:type="dxa" w:w="2948"/>
          </w:tcPr>
          <w:p>
            <w:pPr>
              <w:spacing w:after="20" w:before="20" w:line="240" w:lineRule="auto"/>
            </w:pPr>
            <w:r/>
            <w:r>
              <w:rPr>
                <w:sz w:val="18"/>
              </w:rPr>
              <w:t>Scorecard (release 1)</w:t>
            </w:r>
          </w:p>
        </w:tc>
        <w:tc>
          <w:tcPr>
            <w:tcW w:type="dxa" w:w="1134"/>
          </w:tcPr>
          <w:p>
            <w:pPr>
              <w:spacing w:after="20" w:before="20" w:line="240" w:lineRule="auto"/>
            </w:pPr>
            <w:r/>
            <w:r>
              <w:rPr>
                <w:sz w:val="18"/>
              </w:rPr>
              <w:t>4.37</w:t>
            </w:r>
          </w:p>
        </w:tc>
        <w:tc>
          <w:tcPr>
            <w:tcW w:type="dxa" w:w="1474"/>
          </w:tcPr>
          <w:p>
            <w:pPr>
              <w:spacing w:after="20" w:before="20" w:line="240" w:lineRule="auto"/>
            </w:pPr>
            <w:r/>
            <w:r>
              <w:rPr>
                <w:sz w:val="18"/>
              </w:rPr>
              <w:t>17,349</w:t>
            </w:r>
          </w:p>
        </w:tc>
        <w:tc>
          <w:tcPr>
            <w:tcW w:type="dxa" w:w="1361"/>
          </w:tcPr>
          <w:p>
            <w:pPr>
              <w:spacing w:after="20" w:before="20" w:line="240" w:lineRule="auto"/>
            </w:pPr>
            <w:r/>
            <w:r>
              <w:rPr>
                <w:sz w:val="18"/>
              </w:rPr>
              <w:t>5,522</w:t>
            </w:r>
          </w:p>
        </w:tc>
        <w:tc>
          <w:tcPr>
            <w:tcW w:type="dxa" w:w="1361"/>
          </w:tcPr>
          <w:p>
            <w:pPr>
              <w:spacing w:after="20" w:before="20" w:line="240" w:lineRule="auto"/>
            </w:pPr>
            <w:r/>
            <w:r>
              <w:rPr>
                <w:sz w:val="18"/>
              </w:rPr>
              <w:t>45%</w:t>
            </w:r>
          </w:p>
        </w:tc>
        <w:tc>
          <w:tcPr>
            <w:tcW w:type="dxa" w:w="1474"/>
          </w:tcPr>
          <w:p>
            <w:pPr>
              <w:spacing w:after="20" w:before="20" w:line="240" w:lineRule="auto"/>
            </w:pPr>
            <w:r/>
            <w:r>
              <w:rPr>
                <w:sz w:val="18"/>
              </w:rPr>
              <w:t>1.18</w:t>
            </w:r>
          </w:p>
        </w:tc>
      </w:tr>
      <w:tr>
        <w:tc>
          <w:tcPr>
            <w:tcW w:type="dxa" w:w="2948"/>
          </w:tcPr>
          <w:p>
            <w:pPr>
              <w:spacing w:after="20" w:before="20" w:line="240" w:lineRule="auto"/>
            </w:pPr>
            <w:r/>
            <w:r>
              <w:rPr>
                <w:sz w:val="18"/>
              </w:rPr>
              <w:t>Monotone boosting (same 8 inputs)</w:t>
            </w:r>
          </w:p>
        </w:tc>
        <w:tc>
          <w:tcPr>
            <w:tcW w:type="dxa" w:w="1134"/>
          </w:tcPr>
          <w:p>
            <w:pPr>
              <w:spacing w:after="20" w:before="20" w:line="240" w:lineRule="auto"/>
            </w:pPr>
            <w:r/>
            <w:r>
              <w:rPr>
                <w:sz w:val="18"/>
              </w:rPr>
              <w:t>4.75</w:t>
            </w:r>
          </w:p>
        </w:tc>
        <w:tc>
          <w:tcPr>
            <w:tcW w:type="dxa" w:w="1474"/>
          </w:tcPr>
          <w:p>
            <w:pPr>
              <w:spacing w:after="20" w:before="20" w:line="240" w:lineRule="auto"/>
            </w:pPr>
            <w:r/>
            <w:r>
              <w:rPr>
                <w:sz w:val="18"/>
              </w:rPr>
              <w:t>16,916</w:t>
            </w:r>
          </w:p>
        </w:tc>
        <w:tc>
          <w:tcPr>
            <w:tcW w:type="dxa" w:w="1361"/>
          </w:tcPr>
          <w:p>
            <w:pPr>
              <w:spacing w:after="20" w:before="20" w:line="240" w:lineRule="auto"/>
            </w:pPr>
            <w:r/>
            <w:r>
              <w:rPr>
                <w:sz w:val="18"/>
              </w:rPr>
              <w:t>5,809</w:t>
            </w:r>
          </w:p>
        </w:tc>
        <w:tc>
          <w:tcPr>
            <w:tcW w:type="dxa" w:w="1361"/>
          </w:tcPr>
          <w:p>
            <w:pPr>
              <w:spacing w:after="20" w:before="20" w:line="240" w:lineRule="auto"/>
            </w:pPr>
            <w:r/>
            <w:r>
              <w:rPr>
                <w:sz w:val="18"/>
              </w:rPr>
              <w:t>43%</w:t>
            </w:r>
          </w:p>
        </w:tc>
        <w:tc>
          <w:tcPr>
            <w:tcW w:type="dxa" w:w="1474"/>
          </w:tcPr>
          <w:p>
            <w:pPr>
              <w:spacing w:after="20" w:before="20" w:line="240" w:lineRule="auto"/>
            </w:pPr>
            <w:r/>
            <w:r>
              <w:rPr>
                <w:sz w:val="18"/>
              </w:rPr>
              <w:t>1.16</w:t>
            </w:r>
          </w:p>
        </w:tc>
      </w:tr>
      <w:tr>
        <w:tc>
          <w:tcPr>
            <w:tcW w:type="dxa" w:w="2948"/>
          </w:tcPr>
          <w:p>
            <w:pPr>
              <w:spacing w:after="20" w:before="20" w:line="240" w:lineRule="auto"/>
            </w:pPr>
            <w:r/>
            <w:r>
              <w:rPr>
                <w:sz w:val="18"/>
              </w:rPr>
              <w:t>Learned weights</w:t>
            </w:r>
          </w:p>
        </w:tc>
        <w:tc>
          <w:tcPr>
            <w:tcW w:type="dxa" w:w="1134"/>
          </w:tcPr>
          <w:p>
            <w:pPr>
              <w:spacing w:after="20" w:before="20" w:line="240" w:lineRule="auto"/>
            </w:pPr>
            <w:r/>
            <w:r>
              <w:rPr>
                <w:sz w:val="18"/>
              </w:rPr>
              <w:t>5.00</w:t>
            </w:r>
          </w:p>
        </w:tc>
        <w:tc>
          <w:tcPr>
            <w:tcW w:type="dxa" w:w="1474"/>
          </w:tcPr>
          <w:p>
            <w:pPr>
              <w:spacing w:after="20" w:before="20" w:line="240" w:lineRule="auto"/>
            </w:pPr>
            <w:r/>
            <w:r>
              <w:rPr>
                <w:sz w:val="18"/>
              </w:rPr>
              <w:t>13,809</w:t>
            </w:r>
          </w:p>
        </w:tc>
        <w:tc>
          <w:tcPr>
            <w:tcW w:type="dxa" w:w="1361"/>
          </w:tcPr>
          <w:p>
            <w:pPr>
              <w:spacing w:after="20" w:before="20" w:line="240" w:lineRule="auto"/>
            </w:pPr>
            <w:r/>
            <w:r>
              <w:rPr>
                <w:sz w:val="18"/>
              </w:rPr>
              <w:t>5,070</w:t>
            </w:r>
          </w:p>
        </w:tc>
        <w:tc>
          <w:tcPr>
            <w:tcW w:type="dxa" w:w="1361"/>
          </w:tcPr>
          <w:p>
            <w:pPr>
              <w:spacing w:after="20" w:before="20" w:line="240" w:lineRule="auto"/>
            </w:pPr>
            <w:r/>
            <w:r>
              <w:rPr>
                <w:sz w:val="18"/>
              </w:rPr>
              <w:t>38%</w:t>
            </w:r>
          </w:p>
        </w:tc>
        <w:tc>
          <w:tcPr>
            <w:tcW w:type="dxa" w:w="1474"/>
          </w:tcPr>
          <w:p>
            <w:pPr>
              <w:spacing w:after="20" w:before="20" w:line="240" w:lineRule="auto"/>
            </w:pPr>
            <w:r/>
            <w:r>
              <w:rPr>
                <w:sz w:val="18"/>
              </w:rPr>
              <w:t>1.27</w:t>
            </w:r>
          </w:p>
        </w:tc>
      </w:tr>
      <w:tr>
        <w:tc>
          <w:tcPr>
            <w:tcW w:type="dxa" w:w="2948"/>
          </w:tcPr>
          <w:p>
            <w:pPr>
              <w:spacing w:after="20" w:before="20" w:line="240" w:lineRule="auto"/>
            </w:pPr>
            <w:r/>
            <w:r>
              <w:rPr>
                <w:sz w:val="18"/>
              </w:rPr>
              <w:t>Monotone boosting with size</w:t>
            </w:r>
          </w:p>
        </w:tc>
        <w:tc>
          <w:tcPr>
            <w:tcW w:type="dxa" w:w="1134"/>
          </w:tcPr>
          <w:p>
            <w:pPr>
              <w:spacing w:after="20" w:before="20" w:line="240" w:lineRule="auto"/>
            </w:pPr>
            <w:r/>
            <w:r>
              <w:rPr>
                <w:sz w:val="18"/>
              </w:rPr>
              <w:t>6.30</w:t>
            </w:r>
          </w:p>
        </w:tc>
        <w:tc>
          <w:tcPr>
            <w:tcW w:type="dxa" w:w="1474"/>
          </w:tcPr>
          <w:p>
            <w:pPr>
              <w:spacing w:after="20" w:before="20" w:line="240" w:lineRule="auto"/>
            </w:pPr>
            <w:r/>
            <w:r>
              <w:rPr>
                <w:sz w:val="18"/>
              </w:rPr>
              <w:t>7,230</w:t>
            </w:r>
          </w:p>
        </w:tc>
        <w:tc>
          <w:tcPr>
            <w:tcW w:type="dxa" w:w="1361"/>
          </w:tcPr>
          <w:p>
            <w:pPr>
              <w:spacing w:after="20" w:before="20" w:line="240" w:lineRule="auto"/>
            </w:pPr>
            <w:r/>
            <w:r>
              <w:rPr>
                <w:sz w:val="18"/>
              </w:rPr>
              <w:t>3,508</w:t>
            </w:r>
          </w:p>
        </w:tc>
        <w:tc>
          <w:tcPr>
            <w:tcW w:type="dxa" w:w="1361"/>
          </w:tcPr>
          <w:p>
            <w:pPr>
              <w:spacing w:after="20" w:before="20" w:line="240" w:lineRule="auto"/>
            </w:pPr>
            <w:r/>
            <w:r>
              <w:rPr>
                <w:sz w:val="18"/>
              </w:rPr>
              <w:t>19%</w:t>
            </w:r>
          </w:p>
        </w:tc>
        <w:tc>
          <w:tcPr>
            <w:tcW w:type="dxa" w:w="1474"/>
          </w:tcPr>
          <w:p>
            <w:pPr>
              <w:spacing w:after="20" w:before="20" w:line="240" w:lineRule="auto"/>
            </w:pPr>
            <w:r/>
            <w:r>
              <w:rPr>
                <w:sz w:val="18"/>
              </w:rPr>
              <w:t>1.41</w:t>
            </w:r>
          </w:p>
        </w:tc>
      </w:tr>
      <w:tr>
        <w:tc>
          <w:tcPr>
            <w:tcW w:type="dxa" w:w="2948"/>
          </w:tcPr>
          <w:p>
            <w:pPr>
              <w:spacing w:after="20" w:before="20" w:line="240" w:lineRule="auto"/>
            </w:pPr>
            <w:r/>
            <w:r>
              <w:rPr>
                <w:sz w:val="18"/>
              </w:rPr>
              <w:t>Data-estimated shrinkage</w:t>
            </w:r>
          </w:p>
        </w:tc>
        <w:tc>
          <w:tcPr>
            <w:tcW w:type="dxa" w:w="1134"/>
          </w:tcPr>
          <w:p>
            <w:pPr>
              <w:spacing w:after="20" w:before="20" w:line="240" w:lineRule="auto"/>
            </w:pPr>
            <w:r/>
            <w:r>
              <w:rPr>
                <w:sz w:val="18"/>
              </w:rPr>
              <w:t>3.97</w:t>
            </w:r>
          </w:p>
        </w:tc>
        <w:tc>
          <w:tcPr>
            <w:tcW w:type="dxa" w:w="1474"/>
          </w:tcPr>
          <w:p>
            <w:pPr>
              <w:spacing w:after="20" w:before="20" w:line="240" w:lineRule="auto"/>
            </w:pPr>
            <w:r/>
            <w:r>
              <w:rPr>
                <w:sz w:val="18"/>
              </w:rPr>
              <w:t>7,645</w:t>
            </w:r>
          </w:p>
        </w:tc>
        <w:tc>
          <w:tcPr>
            <w:tcW w:type="dxa" w:w="1361"/>
          </w:tcPr>
          <w:p>
            <w:pPr>
              <w:spacing w:after="20" w:before="20" w:line="240" w:lineRule="auto"/>
            </w:pPr>
            <w:r/>
            <w:r>
              <w:rPr>
                <w:sz w:val="18"/>
              </w:rPr>
              <w:t>2,238</w:t>
            </w:r>
          </w:p>
        </w:tc>
        <w:tc>
          <w:tcPr>
            <w:tcW w:type="dxa" w:w="1361"/>
          </w:tcPr>
          <w:p>
            <w:pPr>
              <w:spacing w:after="20" w:before="20" w:line="240" w:lineRule="auto"/>
            </w:pPr>
            <w:r/>
            <w:r>
              <w:rPr>
                <w:sz w:val="18"/>
              </w:rPr>
              <w:t>35%</w:t>
            </w:r>
          </w:p>
        </w:tc>
        <w:tc>
          <w:tcPr>
            <w:tcW w:type="dxa" w:w="1474"/>
          </w:tcPr>
          <w:p>
            <w:pPr>
              <w:spacing w:after="20" w:before="20" w:line="240" w:lineRule="auto"/>
            </w:pPr>
            <w:r/>
            <w:r>
              <w:rPr>
                <w:sz w:val="18"/>
              </w:rPr>
              <w:t>1.93</w:t>
            </w:r>
          </w:p>
        </w:tc>
      </w:tr>
      <w:tr>
        <w:tc>
          <w:tcPr>
            <w:tcW w:type="dxa" w:w="2948"/>
          </w:tcPr>
          <w:p>
            <w:pPr>
              <w:spacing w:after="20" w:before="20" w:line="240" w:lineRule="auto"/>
            </w:pPr>
            <w:r/>
            <w:r>
              <w:rPr>
                <w:sz w:val="18"/>
              </w:rPr>
              <w:t>Peer percentile</w:t>
            </w:r>
          </w:p>
        </w:tc>
        <w:tc>
          <w:tcPr>
            <w:tcW w:type="dxa" w:w="1134"/>
          </w:tcPr>
          <w:p>
            <w:pPr>
              <w:spacing w:after="20" w:before="20" w:line="240" w:lineRule="auto"/>
            </w:pPr>
            <w:r/>
            <w:r>
              <w:rPr>
                <w:sz w:val="18"/>
              </w:rPr>
              <w:t>3.48</w:t>
            </w:r>
          </w:p>
        </w:tc>
        <w:tc>
          <w:tcPr>
            <w:tcW w:type="dxa" w:w="1474"/>
          </w:tcPr>
          <w:p>
            <w:pPr>
              <w:spacing w:after="20" w:before="20" w:line="240" w:lineRule="auto"/>
            </w:pPr>
            <w:r/>
            <w:r>
              <w:rPr>
                <w:sz w:val="18"/>
              </w:rPr>
              <w:t>16,901</w:t>
            </w:r>
          </w:p>
        </w:tc>
        <w:tc>
          <w:tcPr>
            <w:tcW w:type="dxa" w:w="1361"/>
          </w:tcPr>
          <w:p>
            <w:pPr>
              <w:spacing w:after="20" w:before="20" w:line="240" w:lineRule="auto"/>
            </w:pPr>
            <w:r/>
            <w:r>
              <w:rPr>
                <w:sz w:val="18"/>
              </w:rPr>
              <w:t>4,228</w:t>
            </w:r>
          </w:p>
        </w:tc>
        <w:tc>
          <w:tcPr>
            <w:tcW w:type="dxa" w:w="1361"/>
          </w:tcPr>
          <w:p>
            <w:pPr>
              <w:spacing w:after="20" w:before="20" w:line="240" w:lineRule="auto"/>
            </w:pPr>
            <w:r/>
            <w:r>
              <w:rPr>
                <w:sz w:val="18"/>
              </w:rPr>
              <w:t>45%</w:t>
            </w:r>
          </w:p>
        </w:tc>
        <w:tc>
          <w:tcPr>
            <w:tcW w:type="dxa" w:w="1474"/>
          </w:tcPr>
          <w:p>
            <w:pPr>
              <w:spacing w:after="20" w:before="20" w:line="240" w:lineRule="auto"/>
            </w:pPr>
            <w:r/>
            <w:r>
              <w:rPr>
                <w:sz w:val="18"/>
              </w:rPr>
              <w:t>1.16</w:t>
            </w:r>
          </w:p>
        </w:tc>
      </w:tr>
      <w:tr>
        <w:tc>
          <w:tcPr>
            <w:tcW w:type="dxa" w:w="2948"/>
          </w:tcPr>
          <w:p>
            <w:pPr>
              <w:spacing w:after="20" w:before="20" w:line="240" w:lineRule="auto"/>
            </w:pPr>
            <w:r/>
            <w:r>
              <w:rPr>
                <w:sz w:val="18"/>
              </w:rPr>
              <w:t>Ensemble IF + PCA</w:t>
            </w:r>
          </w:p>
        </w:tc>
        <w:tc>
          <w:tcPr>
            <w:tcW w:type="dxa" w:w="1134"/>
          </w:tcPr>
          <w:p>
            <w:pPr>
              <w:spacing w:after="20" w:before="20" w:line="240" w:lineRule="auto"/>
            </w:pPr>
            <w:r/>
            <w:r>
              <w:rPr>
                <w:sz w:val="18"/>
              </w:rPr>
              <w:t>2.13</w:t>
            </w:r>
          </w:p>
        </w:tc>
        <w:tc>
          <w:tcPr>
            <w:tcW w:type="dxa" w:w="1474"/>
          </w:tcPr>
          <w:p>
            <w:pPr>
              <w:spacing w:after="20" w:before="20" w:line="240" w:lineRule="auto"/>
            </w:pPr>
            <w:r/>
            <w:r>
              <w:rPr>
                <w:sz w:val="18"/>
              </w:rPr>
              <w:t>44,668</w:t>
            </w:r>
          </w:p>
        </w:tc>
        <w:tc>
          <w:tcPr>
            <w:tcW w:type="dxa" w:w="1361"/>
          </w:tcPr>
          <w:p>
            <w:pPr>
              <w:spacing w:after="20" w:before="20" w:line="240" w:lineRule="auto"/>
            </w:pPr>
            <w:r/>
            <w:r>
              <w:rPr>
                <w:sz w:val="18"/>
              </w:rPr>
              <w:t>6,678</w:t>
            </w:r>
          </w:p>
        </w:tc>
        <w:tc>
          <w:tcPr>
            <w:tcW w:type="dxa" w:w="1361"/>
          </w:tcPr>
          <w:p>
            <w:pPr>
              <w:spacing w:after="20" w:before="20" w:line="240" w:lineRule="auto"/>
            </w:pPr>
            <w:r/>
            <w:r>
              <w:rPr>
                <w:sz w:val="18"/>
              </w:rPr>
              <w:t>50%</w:t>
            </w:r>
          </w:p>
        </w:tc>
        <w:tc>
          <w:tcPr>
            <w:tcW w:type="dxa" w:w="1474"/>
          </w:tcPr>
          <w:p>
            <w:pPr>
              <w:spacing w:after="20" w:before="20" w:line="240" w:lineRule="auto"/>
            </w:pPr>
            <w:r/>
            <w:r>
              <w:rPr>
                <w:sz w:val="18"/>
              </w:rPr>
              <w:t>0.51</w:t>
            </w:r>
          </w:p>
        </w:tc>
      </w:tr>
      <w:tr>
        <w:tc>
          <w:tcPr>
            <w:tcW w:type="dxa" w:w="2948"/>
          </w:tcPr>
          <w:p>
            <w:pPr>
              <w:spacing w:after="20" w:before="20" w:line="240" w:lineRule="auto"/>
            </w:pPr>
            <w:r/>
            <w:r>
              <w:rPr>
                <w:sz w:val="18"/>
              </w:rPr>
              <w:t>K-Means distance</w:t>
            </w:r>
          </w:p>
        </w:tc>
        <w:tc>
          <w:tcPr>
            <w:tcW w:type="dxa" w:w="1134"/>
          </w:tcPr>
          <w:p>
            <w:pPr>
              <w:spacing w:after="20" w:before="20" w:line="240" w:lineRule="auto"/>
            </w:pPr>
            <w:r/>
            <w:r>
              <w:rPr>
                <w:sz w:val="18"/>
              </w:rPr>
              <w:t>2.49</w:t>
            </w:r>
          </w:p>
        </w:tc>
        <w:tc>
          <w:tcPr>
            <w:tcW w:type="dxa" w:w="1474"/>
          </w:tcPr>
          <w:p>
            <w:pPr>
              <w:spacing w:after="20" w:before="20" w:line="240" w:lineRule="auto"/>
            </w:pPr>
            <w:r/>
            <w:r>
              <w:rPr>
                <w:sz w:val="18"/>
              </w:rPr>
              <w:t>36,635</w:t>
            </w:r>
          </w:p>
        </w:tc>
        <w:tc>
          <w:tcPr>
            <w:tcW w:type="dxa" w:w="1361"/>
          </w:tcPr>
          <w:p>
            <w:pPr>
              <w:spacing w:after="20" w:before="20" w:line="240" w:lineRule="auto"/>
            </w:pPr>
            <w:r/>
            <w:r>
              <w:rPr>
                <w:sz w:val="18"/>
              </w:rPr>
              <w:t>6,424</w:t>
            </w:r>
          </w:p>
        </w:tc>
        <w:tc>
          <w:tcPr>
            <w:tcW w:type="dxa" w:w="1361"/>
          </w:tcPr>
          <w:p>
            <w:pPr>
              <w:spacing w:after="20" w:before="20" w:line="240" w:lineRule="auto"/>
            </w:pPr>
            <w:r/>
            <w:r>
              <w:rPr>
                <w:sz w:val="18"/>
              </w:rPr>
              <w:t>45%</w:t>
            </w:r>
          </w:p>
        </w:tc>
        <w:tc>
          <w:tcPr>
            <w:tcW w:type="dxa" w:w="1474"/>
          </w:tcPr>
          <w:p>
            <w:pPr>
              <w:spacing w:after="20" w:before="20" w:line="240" w:lineRule="auto"/>
            </w:pPr>
            <w:r/>
            <w:r>
              <w:rPr>
                <w:sz w:val="18"/>
              </w:rPr>
              <w:t>0.59</w:t>
            </w:r>
          </w:p>
        </w:tc>
      </w:tr>
      <w:tr>
        <w:tc>
          <w:tcPr>
            <w:tcW w:type="dxa" w:w="2948"/>
          </w:tcPr>
          <w:p>
            <w:pPr>
              <w:spacing w:after="20" w:before="20" w:line="240" w:lineRule="auto"/>
            </w:pPr>
            <w:r/>
            <w:r>
              <w:rPr>
                <w:sz w:val="18"/>
              </w:rPr>
              <w:t>Gaussian mixture</w:t>
            </w:r>
          </w:p>
        </w:tc>
        <w:tc>
          <w:tcPr>
            <w:tcW w:type="dxa" w:w="1134"/>
          </w:tcPr>
          <w:p>
            <w:pPr>
              <w:spacing w:after="20" w:before="20" w:line="240" w:lineRule="auto"/>
            </w:pPr>
            <w:r/>
            <w:r>
              <w:rPr>
                <w:sz w:val="18"/>
              </w:rPr>
              <w:t>1.20</w:t>
            </w:r>
          </w:p>
        </w:tc>
        <w:tc>
          <w:tcPr>
            <w:tcW w:type="dxa" w:w="1474"/>
          </w:tcPr>
          <w:p>
            <w:pPr>
              <w:spacing w:after="20" w:before="20" w:line="240" w:lineRule="auto"/>
            </w:pPr>
            <w:r/>
            <w:r>
              <w:rPr>
                <w:sz w:val="18"/>
              </w:rPr>
              <w:t>97,543</w:t>
            </w:r>
          </w:p>
        </w:tc>
        <w:tc>
          <w:tcPr>
            <w:tcW w:type="dxa" w:w="1361"/>
          </w:tcPr>
          <w:p>
            <w:pPr>
              <w:spacing w:after="20" w:before="20" w:line="240" w:lineRule="auto"/>
            </w:pPr>
            <w:r/>
            <w:r>
              <w:rPr>
                <w:sz w:val="18"/>
              </w:rPr>
              <w:t>8,414</w:t>
            </w:r>
          </w:p>
        </w:tc>
        <w:tc>
          <w:tcPr>
            <w:tcW w:type="dxa" w:w="1361"/>
          </w:tcPr>
          <w:p>
            <w:pPr>
              <w:spacing w:after="20" w:before="20" w:line="240" w:lineRule="auto"/>
            </w:pPr>
            <w:r/>
            <w:r>
              <w:rPr>
                <w:sz w:val="18"/>
              </w:rPr>
              <w:t>57%</w:t>
            </w:r>
          </w:p>
        </w:tc>
        <w:tc>
          <w:tcPr>
            <w:tcW w:type="dxa" w:w="1474"/>
          </w:tcPr>
          <w:p>
            <w:pPr>
              <w:spacing w:after="20" w:before="20" w:line="240" w:lineRule="auto"/>
            </w:pPr>
            <w:r/>
            <w:r>
              <w:rPr>
                <w:sz w:val="18"/>
              </w:rPr>
              <w:t>0.25</w:t>
            </w:r>
          </w:p>
        </w:tc>
      </w:tr>
      <w:tr>
        <w:tc>
          <w:tcPr>
            <w:tcW w:type="dxa" w:w="2948"/>
          </w:tcPr>
          <w:p>
            <w:pPr>
              <w:spacing w:after="20" w:before="20" w:line="240" w:lineRule="auto"/>
            </w:pPr>
            <w:r/>
            <w:r>
              <w:rPr>
                <w:sz w:val="18"/>
              </w:rPr>
              <w:t>Baseline</w:t>
            </w:r>
          </w:p>
        </w:tc>
        <w:tc>
          <w:tcPr>
            <w:tcW w:type="dxa" w:w="1134"/>
          </w:tcPr>
          <w:p>
            <w:pPr>
              <w:spacing w:after="20" w:before="20" w:line="240" w:lineRule="auto"/>
            </w:pPr>
            <w:r/>
            <w:r>
              <w:rPr>
                <w:sz w:val="18"/>
              </w:rPr>
              <w:t>2.58</w:t>
            </w:r>
          </w:p>
        </w:tc>
        <w:tc>
          <w:tcPr>
            <w:tcW w:type="dxa" w:w="1474"/>
          </w:tcPr>
          <w:p>
            <w:pPr>
              <w:spacing w:after="20" w:before="20" w:line="240" w:lineRule="auto"/>
            </w:pPr>
            <w:r/>
            <w:r>
              <w:rPr>
                <w:sz w:val="18"/>
              </w:rPr>
              <w:t>4,809</w:t>
            </w:r>
          </w:p>
        </w:tc>
        <w:tc>
          <w:tcPr>
            <w:tcW w:type="dxa" w:w="1361"/>
          </w:tcPr>
          <w:p>
            <w:pPr>
              <w:spacing w:after="20" w:before="20" w:line="240" w:lineRule="auto"/>
            </w:pPr>
            <w:r/>
            <w:r>
              <w:rPr>
                <w:sz w:val="18"/>
              </w:rPr>
              <w:t>807</w:t>
            </w:r>
          </w:p>
        </w:tc>
        <w:tc>
          <w:tcPr>
            <w:tcW w:type="dxa" w:w="1361"/>
          </w:tcPr>
          <w:p>
            <w:pPr>
              <w:spacing w:after="20" w:before="20" w:line="240" w:lineRule="auto"/>
            </w:pPr>
            <w:r/>
            <w:r>
              <w:rPr>
                <w:sz w:val="18"/>
              </w:rPr>
              <w:t>13%</w:t>
            </w:r>
          </w:p>
        </w:tc>
        <w:tc>
          <w:tcPr>
            <w:tcW w:type="dxa" w:w="1474"/>
          </w:tcPr>
          <w:p>
            <w:pPr>
              <w:spacing w:after="20" w:before="20" w:line="240" w:lineRule="auto"/>
            </w:pPr>
            <w:r/>
            <w:r>
              <w:rPr>
                <w:sz w:val="18"/>
              </w:rPr>
              <w:t>1.39</w:t>
            </w:r>
          </w:p>
        </w:tc>
      </w:tr>
      <w:tr>
        <w:tc>
          <w:tcPr>
            <w:tcW w:type="dxa" w:w="2948"/>
          </w:tcPr>
          <w:p>
            <w:pPr>
              <w:spacing w:after="20" w:before="20" w:line="240" w:lineRule="auto"/>
            </w:pPr>
            <w:r/>
            <w:r>
              <w:rPr>
                <w:sz w:val="18"/>
              </w:rPr>
              <w:t>Largest importers by value (reference)</w:t>
            </w:r>
          </w:p>
        </w:tc>
        <w:tc>
          <w:tcPr>
            <w:tcW w:type="dxa" w:w="1134"/>
          </w:tcPr>
          <w:p>
            <w:pPr>
              <w:spacing w:after="20" w:before="20" w:line="240" w:lineRule="auto"/>
            </w:pPr>
            <w:r/>
            <w:r>
              <w:rPr>
                <w:sz w:val="18"/>
              </w:rPr>
              <w:t>0.52</w:t>
            </w:r>
          </w:p>
        </w:tc>
        <w:tc>
          <w:tcPr>
            <w:tcW w:type="dxa" w:w="1474"/>
          </w:tcPr>
          <w:p>
            <w:pPr>
              <w:spacing w:after="20" w:before="20" w:line="240" w:lineRule="auto"/>
            </w:pPr>
            <w:r/>
            <w:r>
              <w:rPr>
                <w:sz w:val="18"/>
              </w:rPr>
              <w:t>134,580</w:t>
            </w:r>
          </w:p>
        </w:tc>
        <w:tc>
          <w:tcPr>
            <w:tcW w:type="dxa" w:w="1361"/>
          </w:tcPr>
          <w:p>
            <w:pPr>
              <w:spacing w:after="20" w:before="20" w:line="240" w:lineRule="auto"/>
            </w:pPr>
            <w:r/>
            <w:r>
              <w:rPr>
                <w:sz w:val="18"/>
              </w:rPr>
              <w:t>5,099</w:t>
            </w:r>
          </w:p>
        </w:tc>
        <w:tc>
          <w:tcPr>
            <w:tcW w:type="dxa" w:w="1361"/>
          </w:tcPr>
          <w:p>
            <w:pPr>
              <w:spacing w:after="20" w:before="20" w:line="240" w:lineRule="auto"/>
            </w:pPr>
            <w:r/>
            <w:r>
              <w:rPr>
                <w:sz w:val="18"/>
              </w:rPr>
              <w:t>53%</w:t>
            </w:r>
          </w:p>
        </w:tc>
        <w:tc>
          <w:tcPr>
            <w:tcW w:type="dxa" w:w="1474"/>
          </w:tcPr>
          <w:p>
            <w:pPr>
              <w:spacing w:after="20" w:before="20" w:line="240" w:lineRule="auto"/>
            </w:pPr>
            <w:r/>
            <w:r>
              <w:rPr>
                <w:sz w:val="18"/>
              </w:rPr>
              <w:t>0.17</w:t>
            </w:r>
          </w:p>
        </w:tc>
      </w:tr>
    </w:tbl>
    <w:p>
      <w:pPr>
        <w:spacing w:after="40"/>
      </w:pPr>
    </w:p>
    <w:p>
      <w:pPr>
        <w:keepNext/>
        <w:jc w:val="center"/>
      </w:pPr>
      <w:r>
        <w:drawing>
          <wp:inline xmlns:a="http://schemas.openxmlformats.org/drawingml/2006/main" xmlns:pic="http://schemas.openxmlformats.org/drawingml/2006/picture">
            <wp:extent cx="5940000" cy="2412099"/>
            <wp:docPr id="16" name="Picture 16"/>
            <wp:cNvGraphicFramePr>
              <a:graphicFrameLocks noChangeAspect="1"/>
            </wp:cNvGraphicFramePr>
            <a:graphic>
              <a:graphicData uri="http://schemas.openxmlformats.org/drawingml/2006/picture">
                <pic:pic>
                  <pic:nvPicPr>
                    <pic:cNvPr id="0" name="chart_34.png"/>
                    <pic:cNvPicPr/>
                  </pic:nvPicPr>
                  <pic:blipFill>
                    <a:blip r:embed="rId41"/>
                    <a:stretch>
                      <a:fillRect/>
                    </a:stretch>
                  </pic:blipFill>
                  <pic:spPr>
                    <a:xfrm>
                      <a:off x="0" y="0"/>
                      <a:ext cx="5940000" cy="241209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15</w:t>
      </w:r>
      <w:r>
        <w:fldChar w:fldCharType="end"/>
      </w:r>
      <w:r>
        <w:t>: Challengers and blends against the scorecard (dotted line)</w:t>
      </w:r>
    </w:p>
    <w:p>
      <w:pPr>
        <w:pStyle w:val="Heading2"/>
      </w:pPr>
      <w:r>
        <w:t>6.4 What It Means</w:t>
      </w:r>
    </w:p>
    <w:p>
      <w:pPr>
        <w:pStyle w:val="ListParagraph"/>
        <w:numPr>
          <w:ilvl w:val="0"/>
          <w:numId w:val="907"/>
        </w:numPr>
        <w:spacing w:after="60"/>
      </w:pPr>
      <w:r>
        <w:rPr>
          <w:b/>
        </w:rPr>
        <w:t>The scorecard holds up.</w:t>
      </w:r>
      <w:r>
        <w:t xml:space="preserve"> Monotone boosting is a little better (more hits, same revenue, same kind of traders) in 3 of 4 tests and worse in 1. Not enough to replace a model officers can read in their own thresholds, but enough to test further in round 2.</w:t>
      </w:r>
    </w:p>
    <w:p>
      <w:pPr>
        <w:pStyle w:val="ListParagraph"/>
        <w:numPr>
          <w:ilvl w:val="0"/>
          <w:numId w:val="907"/>
        </w:numPr>
        <w:spacing w:after="60"/>
      </w:pPr>
      <w:r>
        <w:rPr>
          <w:b/>
        </w:rPr>
        <w:t>The warning case</w:t>
      </w:r>
      <w:r>
        <w:t xml:space="preserve"> shows why lift alone misleads: boosting with size has the highest lift, but it filled the top with one-off importers and caught fewer hits and much less revenue.</w:t>
      </w:r>
    </w:p>
    <w:p>
      <w:pPr>
        <w:pStyle w:val="ListParagraph"/>
        <w:numPr>
          <w:ilvl w:val="0"/>
          <w:numId w:val="907"/>
        </w:numPr>
        <w:spacing w:after="60"/>
      </w:pPr>
      <w:r>
        <w:rPr>
          <w:b/>
        </w:rPr>
        <w:t>The anomaly and clustering models lose on lift, and their bigger revenue share is an illusion of size</w:t>
      </w:r>
      <w:r>
        <w:t xml:space="preserve"> (section 6.5): they put big importers at the top, whose top 5% takes far more checks, each finding much less money.</w:t>
      </w:r>
    </w:p>
    <w:p>
      <w:pPr>
        <w:pStyle w:val="ListParagraph"/>
        <w:numPr>
          <w:ilvl w:val="0"/>
          <w:numId w:val="907"/>
        </w:numPr>
        <w:spacing w:after="60"/>
      </w:pPr>
      <w:r>
        <w:rPr>
          <w:b/>
        </w:rPr>
        <w:t>The learned weights</w:t>
      </w:r>
      <w:r>
        <w:t xml:space="preserve"> suggest that once the share topped up is known, amendments add little for this outcome. That is evidence for the ratings session, not an automatic change, because learned weights inherit selection bias.</w:t>
      </w:r>
    </w:p>
    <w:p>
      <w:pPr>
        <w:keepNext/>
        <w:jc w:val="center"/>
      </w:pPr>
      <w:r>
        <w:drawing>
          <wp:inline xmlns:a="http://schemas.openxmlformats.org/drawingml/2006/main" xmlns:pic="http://schemas.openxmlformats.org/drawingml/2006/picture">
            <wp:extent cx="5940000" cy="2372364"/>
            <wp:docPr id="17" name="Picture 17"/>
            <wp:cNvGraphicFramePr>
              <a:graphicFrameLocks noChangeAspect="1"/>
            </wp:cNvGraphicFramePr>
            <a:graphic>
              <a:graphicData uri="http://schemas.openxmlformats.org/drawingml/2006/picture">
                <pic:pic>
                  <pic:nvPicPr>
                    <pic:cNvPr id="0" name="chart_36.png"/>
                    <pic:cNvPicPr/>
                  </pic:nvPicPr>
                  <pic:blipFill>
                    <a:blip r:embed="rId42"/>
                    <a:stretch>
                      <a:fillRect/>
                    </a:stretch>
                  </pic:blipFill>
                  <pic:spPr>
                    <a:xfrm>
                      <a:off x="0" y="0"/>
                      <a:ext cx="5940000" cy="2372364"/>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16</w:t>
      </w:r>
      <w:r>
        <w:fldChar w:fldCharType="end"/>
      </w:r>
      <w:r>
        <w:t>: Weights chosen by officers (L x I) against weights learned from outcomes</w:t>
      </w:r>
    </w:p>
    <w:p>
      <w:pPr>
        <w:pStyle w:val="Heading2"/>
      </w:pPr>
      <w:r>
        <w:t>6.5 What "Revenue Caught" Means, and Why It Can Mislead</w:t>
      </w:r>
    </w:p>
    <w:p>
      <w:pPr>
        <w:spacing w:after="120"/>
      </w:pPr>
      <w:r>
        <w:t>Read this before quoting any revenue figure from the comparison.</w:t>
      </w:r>
    </w:p>
    <w:p>
      <w:pPr>
        <w:pStyle w:val="ListParagraph"/>
        <w:numPr>
          <w:ilvl w:val="0"/>
          <w:numId w:val="908"/>
        </w:numPr>
        <w:spacing w:after="60"/>
      </w:pPr>
      <w:r>
        <w:rPr>
          <w:b/>
        </w:rPr>
        <w:t>Where the money figure comes from.</w:t>
      </w:r>
      <w:r>
        <w:t xml:space="preserve"> For each taxpayer, the extract records the top-up money (final tax minus original tax) customs actually raised on their declarations in the 6 months after the snapshot. The model does not create or predict this money. It is what the existing checks found.</w:t>
      </w:r>
    </w:p>
    <w:p>
      <w:pPr>
        <w:pStyle w:val="ListParagraph"/>
        <w:numPr>
          <w:ilvl w:val="0"/>
          <w:numId w:val="908"/>
        </w:numPr>
        <w:spacing w:after="60"/>
      </w:pPr>
      <w:r>
        <w:rPr>
          <w:b/>
        </w:rPr>
        <w:t>What "revenue in the top 5%" is.</w:t>
      </w:r>
      <w:r>
        <w:t xml:space="preserve"> Add up that money for the taxpayers a model puts in its top 5%, and divide by the total for everyone. In the 6 months after March 2026 the total was UGX 28.2 billion.</w:t>
      </w:r>
    </w:p>
    <w:p>
      <w:pPr>
        <w:pStyle w:val="ListParagraph"/>
        <w:numPr>
          <w:ilvl w:val="0"/>
          <w:numId w:val="908"/>
        </w:numPr>
        <w:spacing w:after="60"/>
      </w:pPr>
      <w:r>
        <w:rPr>
          <w:b/>
        </w:rPr>
        <w:t>Why it follows size.</w:t>
      </w:r>
      <w:r>
        <w:t xml:space="preserve"> A big importer with hundreds of declarations is checked thousands of times, so even a low hit rate adds up to a lot of money. Put big importers at the top and the revenue share rises, whether or not the model knows anything about risk.</w:t>
      </w:r>
    </w:p>
    <w:p>
      <w:pPr>
        <w:pStyle w:val="ListParagraph"/>
        <w:numPr>
          <w:ilvl w:val="0"/>
          <w:numId w:val="908"/>
        </w:numPr>
        <w:spacing w:after="60"/>
      </w:pPr>
      <w:r>
        <w:rPr>
          <w:b/>
        </w:rPr>
        <w:t>The proof.</w:t>
      </w:r>
      <w:r>
        <w:t xml:space="preserve"> Rank taxpayers on customs value alone, with no risk information at all: the top 5% hold 53% of the top-up revenue, yet their hit rate is half the average (lift 0.52). Revenue share alone would call that a good model.</w:t>
      </w:r>
    </w:p>
    <w:p>
      <w:pPr>
        <w:pStyle w:val="ListParagraph"/>
        <w:numPr>
          <w:ilvl w:val="0"/>
          <w:numId w:val="908"/>
        </w:numPr>
        <w:spacing w:after="60"/>
      </w:pPr>
      <w:r>
        <w:rPr>
          <w:b/>
        </w:rPr>
        <w:t>The fair measure is revenue per check</w:t>
      </w:r>
      <w:r>
        <w:t>: money found divided by the checks it took. That is what an officer's time actually buys. The scorecard's top 5% finds UGX 1.18 million per check; the Gaussian mixture's finds UGX 0.25 million, because its top 5% needs 97,543 checks (more than half of all checks) to reach its 57%.</w:t>
      </w:r>
    </w:p>
    <w:p>
      <w:pPr>
        <w:pStyle w:val="Caption"/>
      </w:pPr>
      <w:r>
        <w:t xml:space="preserve">Table </w:t>
      </w:r>
      <w:r>
        <w:fldChar w:fldCharType="begin"/>
      </w:r>
      <w:r>
        <w:instrText xml:space="preserve"> SEQ Table \* ARABIC </w:instrText>
      </w:r>
      <w:r>
        <w:fldChar w:fldCharType="separate"/>
      </w:r>
      <w:r>
        <w:t>24</w:t>
      </w:r>
      <w:r>
        <w:fldChar w:fldCharType="end"/>
      </w:r>
      <w:r>
        <w:t>: Revenue in the Top 5%, 31 March 2026 Snapshot</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2409"/>
            <w:shd w:val="clear" w:color="auto" w:fill="D9E2F3"/>
          </w:tcPr>
          <w:p>
            <w:pPr>
              <w:spacing w:after="20" w:before="20" w:line="240" w:lineRule="auto"/>
            </w:pPr>
            <w:r/>
            <w:r>
              <w:rPr>
                <w:b/>
                <w:sz w:val="18"/>
              </w:rPr>
              <w:t>Ranking</w:t>
            </w:r>
          </w:p>
        </w:tc>
        <w:tc>
          <w:tcPr>
            <w:tcW w:type="dxa" w:w="1319"/>
            <w:shd w:val="clear" w:color="auto" w:fill="D9E2F3"/>
          </w:tcPr>
          <w:p>
            <w:pPr>
              <w:spacing w:after="20" w:before="20" w:line="240" w:lineRule="auto"/>
            </w:pPr>
            <w:r/>
            <w:r>
              <w:rPr>
                <w:b/>
                <w:sz w:val="18"/>
              </w:rPr>
              <w:t>Checks</w:t>
            </w:r>
          </w:p>
        </w:tc>
        <w:tc>
          <w:tcPr>
            <w:tcW w:type="dxa" w:w="1032"/>
            <w:shd w:val="clear" w:color="auto" w:fill="D9E2F3"/>
          </w:tcPr>
          <w:p>
            <w:pPr>
              <w:spacing w:after="20" w:before="20" w:line="240" w:lineRule="auto"/>
            </w:pPr>
            <w:r/>
            <w:r>
              <w:rPr>
                <w:b/>
                <w:sz w:val="18"/>
              </w:rPr>
              <w:t>Hits</w:t>
            </w:r>
          </w:p>
        </w:tc>
        <w:tc>
          <w:tcPr>
            <w:tcW w:type="dxa" w:w="1032"/>
            <w:shd w:val="clear" w:color="auto" w:fill="D9E2F3"/>
          </w:tcPr>
          <w:p>
            <w:pPr>
              <w:spacing w:after="20" w:before="20" w:line="240" w:lineRule="auto"/>
            </w:pPr>
            <w:r/>
            <w:r>
              <w:rPr>
                <w:b/>
                <w:sz w:val="18"/>
              </w:rPr>
              <w:t>Hit rate</w:t>
            </w:r>
          </w:p>
        </w:tc>
        <w:tc>
          <w:tcPr>
            <w:tcW w:type="dxa" w:w="1606"/>
            <w:shd w:val="clear" w:color="auto" w:fill="D9E2F3"/>
          </w:tcPr>
          <w:p>
            <w:pPr>
              <w:spacing w:after="20" w:before="20" w:line="240" w:lineRule="auto"/>
            </w:pPr>
            <w:r/>
            <w:r>
              <w:rPr>
                <w:b/>
                <w:sz w:val="18"/>
              </w:rPr>
              <w:t>Top-up revenue (UGX bn)</w:t>
            </w:r>
          </w:p>
        </w:tc>
        <w:tc>
          <w:tcPr>
            <w:tcW w:type="dxa" w:w="918"/>
            <w:shd w:val="clear" w:color="auto" w:fill="D9E2F3"/>
          </w:tcPr>
          <w:p>
            <w:pPr>
              <w:spacing w:after="20" w:before="20" w:line="240" w:lineRule="auto"/>
            </w:pPr>
            <w:r/>
            <w:r>
              <w:rPr>
                <w:b/>
                <w:sz w:val="18"/>
              </w:rPr>
              <w:t>Share</w:t>
            </w:r>
          </w:p>
        </w:tc>
        <w:tc>
          <w:tcPr>
            <w:tcW w:type="dxa" w:w="1434"/>
            <w:shd w:val="clear" w:color="auto" w:fill="D9E2F3"/>
          </w:tcPr>
          <w:p>
            <w:pPr>
              <w:spacing w:after="20" w:before="20" w:line="240" w:lineRule="auto"/>
            </w:pPr>
            <w:r/>
            <w:r>
              <w:rPr>
                <w:b/>
                <w:sz w:val="18"/>
              </w:rPr>
              <w:t>Per check (UGX M)</w:t>
            </w:r>
          </w:p>
        </w:tc>
      </w:tr>
      <w:tr>
        <w:tc>
          <w:tcPr>
            <w:tcW w:type="dxa" w:w="2409"/>
          </w:tcPr>
          <w:p>
            <w:pPr>
              <w:spacing w:after="20" w:before="20" w:line="240" w:lineRule="auto"/>
            </w:pPr>
            <w:r/>
            <w:r>
              <w:rPr>
                <w:sz w:val="18"/>
              </w:rPr>
              <w:t>Scorecard</w:t>
            </w:r>
          </w:p>
        </w:tc>
        <w:tc>
          <w:tcPr>
            <w:tcW w:type="dxa" w:w="1319"/>
          </w:tcPr>
          <w:p>
            <w:pPr>
              <w:spacing w:after="20" w:before="20" w:line="240" w:lineRule="auto"/>
            </w:pPr>
            <w:r/>
            <w:r>
              <w:rPr>
                <w:sz w:val="18"/>
              </w:rPr>
              <w:t>19,134</w:t>
            </w:r>
          </w:p>
        </w:tc>
        <w:tc>
          <w:tcPr>
            <w:tcW w:type="dxa" w:w="1032"/>
          </w:tcPr>
          <w:p>
            <w:pPr>
              <w:spacing w:after="20" w:before="20" w:line="240" w:lineRule="auto"/>
            </w:pPr>
            <w:r/>
            <w:r>
              <w:rPr>
                <w:sz w:val="18"/>
              </w:rPr>
              <w:t>7,162</w:t>
            </w:r>
          </w:p>
        </w:tc>
        <w:tc>
          <w:tcPr>
            <w:tcW w:type="dxa" w:w="1032"/>
          </w:tcPr>
          <w:p>
            <w:pPr>
              <w:spacing w:after="20" w:before="20" w:line="240" w:lineRule="auto"/>
            </w:pPr>
            <w:r/>
            <w:r>
              <w:rPr>
                <w:sz w:val="18"/>
              </w:rPr>
              <w:t>37.4%</w:t>
            </w:r>
          </w:p>
        </w:tc>
        <w:tc>
          <w:tcPr>
            <w:tcW w:type="dxa" w:w="1606"/>
          </w:tcPr>
          <w:p>
            <w:pPr>
              <w:spacing w:after="20" w:before="20" w:line="240" w:lineRule="auto"/>
            </w:pPr>
            <w:r/>
            <w:r>
              <w:rPr>
                <w:sz w:val="18"/>
              </w:rPr>
              <w:t>12.0</w:t>
            </w:r>
          </w:p>
        </w:tc>
        <w:tc>
          <w:tcPr>
            <w:tcW w:type="dxa" w:w="918"/>
          </w:tcPr>
          <w:p>
            <w:pPr>
              <w:spacing w:after="20" w:before="20" w:line="240" w:lineRule="auto"/>
            </w:pPr>
            <w:r/>
            <w:r>
              <w:rPr>
                <w:sz w:val="18"/>
              </w:rPr>
              <w:t>43%</w:t>
            </w:r>
          </w:p>
        </w:tc>
        <w:tc>
          <w:tcPr>
            <w:tcW w:type="dxa" w:w="1434"/>
          </w:tcPr>
          <w:p>
            <w:pPr>
              <w:spacing w:after="20" w:before="20" w:line="240" w:lineRule="auto"/>
            </w:pPr>
            <w:r/>
            <w:r>
              <w:rPr>
                <w:sz w:val="18"/>
              </w:rPr>
              <w:t>0.63</w:t>
            </w:r>
          </w:p>
        </w:tc>
      </w:tr>
      <w:tr>
        <w:tc>
          <w:tcPr>
            <w:tcW w:type="dxa" w:w="2409"/>
          </w:tcPr>
          <w:p>
            <w:pPr>
              <w:spacing w:after="20" w:before="20" w:line="240" w:lineRule="auto"/>
            </w:pPr>
            <w:r/>
            <w:r>
              <w:rPr>
                <w:sz w:val="18"/>
              </w:rPr>
              <w:t>Ensemble IF + PCA</w:t>
            </w:r>
          </w:p>
        </w:tc>
        <w:tc>
          <w:tcPr>
            <w:tcW w:type="dxa" w:w="1319"/>
          </w:tcPr>
          <w:p>
            <w:pPr>
              <w:spacing w:after="20" w:before="20" w:line="240" w:lineRule="auto"/>
            </w:pPr>
            <w:r/>
            <w:r>
              <w:rPr>
                <w:sz w:val="18"/>
              </w:rPr>
              <w:t>49,669</w:t>
            </w:r>
          </w:p>
        </w:tc>
        <w:tc>
          <w:tcPr>
            <w:tcW w:type="dxa" w:w="1032"/>
          </w:tcPr>
          <w:p>
            <w:pPr>
              <w:spacing w:after="20" w:before="20" w:line="240" w:lineRule="auto"/>
            </w:pPr>
            <w:r/>
            <w:r>
              <w:rPr>
                <w:sz w:val="18"/>
              </w:rPr>
              <w:t>7,832</w:t>
            </w:r>
          </w:p>
        </w:tc>
        <w:tc>
          <w:tcPr>
            <w:tcW w:type="dxa" w:w="1032"/>
          </w:tcPr>
          <w:p>
            <w:pPr>
              <w:spacing w:after="20" w:before="20" w:line="240" w:lineRule="auto"/>
            </w:pPr>
            <w:r/>
            <w:r>
              <w:rPr>
                <w:sz w:val="18"/>
              </w:rPr>
              <w:t>15.8%</w:t>
            </w:r>
          </w:p>
        </w:tc>
        <w:tc>
          <w:tcPr>
            <w:tcW w:type="dxa" w:w="1606"/>
          </w:tcPr>
          <w:p>
            <w:pPr>
              <w:spacing w:after="20" w:before="20" w:line="240" w:lineRule="auto"/>
            </w:pPr>
            <w:r/>
            <w:r>
              <w:rPr>
                <w:sz w:val="18"/>
              </w:rPr>
              <w:t>14.9</w:t>
            </w:r>
          </w:p>
        </w:tc>
        <w:tc>
          <w:tcPr>
            <w:tcW w:type="dxa" w:w="918"/>
          </w:tcPr>
          <w:p>
            <w:pPr>
              <w:spacing w:after="20" w:before="20" w:line="240" w:lineRule="auto"/>
            </w:pPr>
            <w:r/>
            <w:r>
              <w:rPr>
                <w:sz w:val="18"/>
              </w:rPr>
              <w:t>53%</w:t>
            </w:r>
          </w:p>
        </w:tc>
        <w:tc>
          <w:tcPr>
            <w:tcW w:type="dxa" w:w="1434"/>
          </w:tcPr>
          <w:p>
            <w:pPr>
              <w:spacing w:after="20" w:before="20" w:line="240" w:lineRule="auto"/>
            </w:pPr>
            <w:r/>
            <w:r>
              <w:rPr>
                <w:sz w:val="18"/>
              </w:rPr>
              <w:t>0.30</w:t>
            </w:r>
          </w:p>
        </w:tc>
      </w:tr>
      <w:tr>
        <w:tc>
          <w:tcPr>
            <w:tcW w:type="dxa" w:w="2409"/>
          </w:tcPr>
          <w:p>
            <w:pPr>
              <w:spacing w:after="20" w:before="20" w:line="240" w:lineRule="auto"/>
            </w:pPr>
            <w:r/>
            <w:r>
              <w:rPr>
                <w:sz w:val="18"/>
              </w:rPr>
              <w:t>Gaussian mixture</w:t>
            </w:r>
          </w:p>
        </w:tc>
        <w:tc>
          <w:tcPr>
            <w:tcW w:type="dxa" w:w="1319"/>
          </w:tcPr>
          <w:p>
            <w:pPr>
              <w:spacing w:after="20" w:before="20" w:line="240" w:lineRule="auto"/>
            </w:pPr>
            <w:r/>
            <w:r>
              <w:rPr>
                <w:sz w:val="18"/>
              </w:rPr>
              <w:t>91,051</w:t>
            </w:r>
          </w:p>
        </w:tc>
        <w:tc>
          <w:tcPr>
            <w:tcW w:type="dxa" w:w="1032"/>
          </w:tcPr>
          <w:p>
            <w:pPr>
              <w:spacing w:after="20" w:before="20" w:line="240" w:lineRule="auto"/>
            </w:pPr>
            <w:r/>
            <w:r>
              <w:rPr>
                <w:sz w:val="18"/>
              </w:rPr>
              <w:t>9,177</w:t>
            </w:r>
          </w:p>
        </w:tc>
        <w:tc>
          <w:tcPr>
            <w:tcW w:type="dxa" w:w="1032"/>
          </w:tcPr>
          <w:p>
            <w:pPr>
              <w:spacing w:after="20" w:before="20" w:line="240" w:lineRule="auto"/>
            </w:pPr>
            <w:r/>
            <w:r>
              <w:rPr>
                <w:sz w:val="18"/>
              </w:rPr>
              <w:t>10.1%</w:t>
            </w:r>
          </w:p>
        </w:tc>
        <w:tc>
          <w:tcPr>
            <w:tcW w:type="dxa" w:w="1606"/>
          </w:tcPr>
          <w:p>
            <w:pPr>
              <w:spacing w:after="20" w:before="20" w:line="240" w:lineRule="auto"/>
            </w:pPr>
            <w:r/>
            <w:r>
              <w:rPr>
                <w:sz w:val="18"/>
              </w:rPr>
              <w:t>16.7</w:t>
            </w:r>
          </w:p>
        </w:tc>
        <w:tc>
          <w:tcPr>
            <w:tcW w:type="dxa" w:w="918"/>
          </w:tcPr>
          <w:p>
            <w:pPr>
              <w:spacing w:after="20" w:before="20" w:line="240" w:lineRule="auto"/>
            </w:pPr>
            <w:r/>
            <w:r>
              <w:rPr>
                <w:sz w:val="18"/>
              </w:rPr>
              <w:t>59%</w:t>
            </w:r>
          </w:p>
        </w:tc>
        <w:tc>
          <w:tcPr>
            <w:tcW w:type="dxa" w:w="1434"/>
          </w:tcPr>
          <w:p>
            <w:pPr>
              <w:spacing w:after="20" w:before="20" w:line="240" w:lineRule="auto"/>
            </w:pPr>
            <w:r/>
            <w:r>
              <w:rPr>
                <w:sz w:val="18"/>
              </w:rPr>
              <w:t>0.18</w:t>
            </w:r>
          </w:p>
        </w:tc>
      </w:tr>
      <w:tr>
        <w:tc>
          <w:tcPr>
            <w:tcW w:type="dxa" w:w="2409"/>
          </w:tcPr>
          <w:p>
            <w:pPr>
              <w:spacing w:after="20" w:before="20" w:line="240" w:lineRule="auto"/>
            </w:pPr>
            <w:r/>
            <w:r>
              <w:rPr>
                <w:sz w:val="18"/>
              </w:rPr>
              <w:t>Largest importers by value</w:t>
            </w:r>
          </w:p>
        </w:tc>
        <w:tc>
          <w:tcPr>
            <w:tcW w:type="dxa" w:w="1319"/>
          </w:tcPr>
          <w:p>
            <w:pPr>
              <w:spacing w:after="20" w:before="20" w:line="240" w:lineRule="auto"/>
            </w:pPr>
            <w:r/>
            <w:r>
              <w:rPr>
                <w:sz w:val="18"/>
              </w:rPr>
              <w:t>125,743</w:t>
            </w:r>
          </w:p>
        </w:tc>
        <w:tc>
          <w:tcPr>
            <w:tcW w:type="dxa" w:w="1032"/>
          </w:tcPr>
          <w:p>
            <w:pPr>
              <w:spacing w:after="20" w:before="20" w:line="240" w:lineRule="auto"/>
            </w:pPr>
            <w:r/>
            <w:r>
              <w:rPr>
                <w:sz w:val="18"/>
              </w:rPr>
              <w:t>4,178</w:t>
            </w:r>
          </w:p>
        </w:tc>
        <w:tc>
          <w:tcPr>
            <w:tcW w:type="dxa" w:w="1032"/>
          </w:tcPr>
          <w:p>
            <w:pPr>
              <w:spacing w:after="20" w:before="20" w:line="240" w:lineRule="auto"/>
            </w:pPr>
            <w:r/>
            <w:r>
              <w:rPr>
                <w:sz w:val="18"/>
              </w:rPr>
              <w:t>3.3%</w:t>
            </w:r>
          </w:p>
        </w:tc>
        <w:tc>
          <w:tcPr>
            <w:tcW w:type="dxa" w:w="1606"/>
          </w:tcPr>
          <w:p>
            <w:pPr>
              <w:spacing w:after="20" w:before="20" w:line="240" w:lineRule="auto"/>
            </w:pPr>
            <w:r/>
            <w:r>
              <w:rPr>
                <w:sz w:val="18"/>
              </w:rPr>
              <w:t>16.0</w:t>
            </w:r>
          </w:p>
        </w:tc>
        <w:tc>
          <w:tcPr>
            <w:tcW w:type="dxa" w:w="918"/>
          </w:tcPr>
          <w:p>
            <w:pPr>
              <w:spacing w:after="20" w:before="20" w:line="240" w:lineRule="auto"/>
            </w:pPr>
            <w:r/>
            <w:r>
              <w:rPr>
                <w:sz w:val="18"/>
              </w:rPr>
              <w:t>57%</w:t>
            </w:r>
          </w:p>
        </w:tc>
        <w:tc>
          <w:tcPr>
            <w:tcW w:type="dxa" w:w="1434"/>
          </w:tcPr>
          <w:p>
            <w:pPr>
              <w:spacing w:after="20" w:before="20" w:line="240" w:lineRule="auto"/>
            </w:pPr>
            <w:r/>
            <w:r>
              <w:rPr>
                <w:sz w:val="18"/>
              </w:rPr>
              <w:t>0.13</w:t>
            </w:r>
          </w:p>
        </w:tc>
      </w:tr>
    </w:tbl>
    <w:p>
      <w:pPr>
        <w:spacing w:after="40"/>
      </w:pP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Defend it in one sentence</w:t>
            </w:r>
          </w:p>
          <w:p>
            <w:pPr>
              <w:spacing w:after="60"/>
            </w:pPr>
            <w:r>
              <w:rPr>
                <w:sz w:val="20"/>
              </w:rPr>
              <w:t>The unsupervised models reach more top-up money only by sending officers to check the biggest importers far more often; per check, the scorecard finds two to five times as much.</w:t>
            </w:r>
          </w:p>
        </w:tc>
      </w:tr>
    </w:tbl>
    <w:p>
      <w:pPr>
        <w:spacing w:after="40"/>
      </w:pPr>
    </w:p>
    <w:p>
      <w:pPr>
        <w:pStyle w:val="Heading2"/>
      </w:pPr>
      <w:r>
        <w:t>6.6 Ensembles: Combining Models</w:t>
      </w:r>
    </w:p>
    <w:p>
      <w:pPr>
        <w:spacing w:after="120"/>
      </w:pPr>
      <w:r>
        <w:t xml:space="preserve">An ensemble combines several models instead of picking one. The simplest kind, used here, is a </w:t>
      </w:r>
      <w:r>
        <w:rPr>
          <w:b/>
        </w:rPr>
        <w:t>blend</w:t>
      </w:r>
      <w:r>
        <w:t xml:space="preserve">: each taxpayer gets the average of their rank positions in the member models. A taxpayer stays at the top only if several models agree. The idea is that models making different mistakes cover for each other: the Scope and Design candidates find big, high-volume traders, the scorecard finds frequent top-ups. A </w:t>
      </w:r>
      <w:r>
        <w:rPr>
          <w:b/>
        </w:rPr>
        <w:t>stacked blend</w:t>
      </w:r>
      <w:r>
        <w:t xml:space="preserve"> goes one step further and learns from earlier snapshots how much each member should count.</w:t>
      </w:r>
    </w:p>
    <w:p>
      <w:pPr>
        <w:pStyle w:val="Caption"/>
      </w:pPr>
      <w:r>
        <w:t xml:space="preserve">Table </w:t>
      </w:r>
      <w:r>
        <w:fldChar w:fldCharType="begin"/>
      </w:r>
      <w:r>
        <w:instrText xml:space="preserve"> SEQ Table \* ARABIC </w:instrText>
      </w:r>
      <w:r>
        <w:fldChar w:fldCharType="separate"/>
      </w:r>
      <w:r>
        <w:t>25</w:t>
      </w:r>
      <w:r>
        <w:fldChar w:fldCharType="end"/>
      </w:r>
      <w:r>
        <w:t>: Blends Against the Scorecard (average of 4 test snapshots)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625"/>
        <w:gridCol w:w="1625"/>
        <w:gridCol w:w="1625"/>
        <w:gridCol w:w="1625"/>
        <w:gridCol w:w="1625"/>
        <w:gridCol w:w="1625"/>
      </w:tblGrid>
      <w:tr>
        <w:trPr>
          <w:tblHeader w:val="true"/>
        </w:trPr>
        <w:tc>
          <w:tcPr>
            <w:tcW w:type="dxa" w:w="3402"/>
            <w:shd w:val="clear" w:color="auto" w:fill="D9E2F3"/>
          </w:tcPr>
          <w:p>
            <w:pPr>
              <w:spacing w:after="20" w:before="20" w:line="240" w:lineRule="auto"/>
            </w:pPr>
            <w:r/>
            <w:r>
              <w:rPr>
                <w:b/>
                <w:sz w:val="18"/>
              </w:rPr>
              <w:t>Model</w:t>
            </w:r>
          </w:p>
        </w:tc>
        <w:tc>
          <w:tcPr>
            <w:tcW w:type="dxa" w:w="1134"/>
            <w:shd w:val="clear" w:color="auto" w:fill="D9E2F3"/>
          </w:tcPr>
          <w:p>
            <w:pPr>
              <w:spacing w:after="20" w:before="20" w:line="240" w:lineRule="auto"/>
            </w:pPr>
            <w:r/>
            <w:r>
              <w:rPr>
                <w:b/>
                <w:sz w:val="18"/>
              </w:rPr>
              <w:t>Lift top 5%</w:t>
            </w:r>
          </w:p>
        </w:tc>
        <w:tc>
          <w:tcPr>
            <w:tcW w:type="dxa" w:w="1247"/>
            <w:shd w:val="clear" w:color="auto" w:fill="D9E2F3"/>
          </w:tcPr>
          <w:p>
            <w:pPr>
              <w:spacing w:after="20" w:before="20" w:line="240" w:lineRule="auto"/>
            </w:pPr>
            <w:r/>
            <w:r>
              <w:rPr>
                <w:b/>
                <w:sz w:val="18"/>
              </w:rPr>
              <w:t>Hits in top 5%</w:t>
            </w:r>
          </w:p>
        </w:tc>
        <w:tc>
          <w:tcPr>
            <w:tcW w:type="dxa" w:w="1361"/>
            <w:shd w:val="clear" w:color="auto" w:fill="D9E2F3"/>
          </w:tcPr>
          <w:p>
            <w:pPr>
              <w:spacing w:after="20" w:before="20" w:line="240" w:lineRule="auto"/>
            </w:pPr>
            <w:r/>
            <w:r>
              <w:rPr>
                <w:b/>
                <w:sz w:val="18"/>
              </w:rPr>
              <w:t>Revenue in top 5%</w:t>
            </w:r>
          </w:p>
        </w:tc>
        <w:tc>
          <w:tcPr>
            <w:tcW w:type="dxa" w:w="1247"/>
            <w:shd w:val="clear" w:color="auto" w:fill="D9E2F3"/>
          </w:tcPr>
          <w:p>
            <w:pPr>
              <w:spacing w:after="20" w:before="20" w:line="240" w:lineRule="auto"/>
            </w:pPr>
            <w:r/>
            <w:r>
              <w:rPr>
                <w:b/>
                <w:sz w:val="18"/>
              </w:rPr>
              <w:t>Per check (UGX M)</w:t>
            </w:r>
          </w:p>
        </w:tc>
        <w:tc>
          <w:tcPr>
            <w:tcW w:type="dxa" w:w="1361"/>
            <w:shd w:val="clear" w:color="auto" w:fill="D9E2F3"/>
          </w:tcPr>
          <w:p>
            <w:pPr>
              <w:spacing w:after="20" w:before="20" w:line="240" w:lineRule="auto"/>
            </w:pPr>
            <w:r/>
            <w:r>
              <w:rPr>
                <w:b/>
                <w:sz w:val="18"/>
              </w:rPr>
              <w:t>vs scorecard</w:t>
            </w:r>
          </w:p>
        </w:tc>
      </w:tr>
      <w:tr>
        <w:tc>
          <w:tcPr>
            <w:tcW w:type="dxa" w:w="3402"/>
          </w:tcPr>
          <w:p>
            <w:pPr>
              <w:spacing w:after="20" w:before="20" w:line="240" w:lineRule="auto"/>
            </w:pPr>
            <w:r/>
            <w:r>
              <w:rPr>
                <w:sz w:val="18"/>
              </w:rPr>
              <w:t>Scorecard (release 1)</w:t>
            </w:r>
          </w:p>
        </w:tc>
        <w:tc>
          <w:tcPr>
            <w:tcW w:type="dxa" w:w="1134"/>
          </w:tcPr>
          <w:p>
            <w:pPr>
              <w:spacing w:after="20" w:before="20" w:line="240" w:lineRule="auto"/>
            </w:pPr>
            <w:r/>
            <w:r>
              <w:rPr>
                <w:sz w:val="18"/>
              </w:rPr>
              <w:t>4.37</w:t>
            </w:r>
          </w:p>
        </w:tc>
        <w:tc>
          <w:tcPr>
            <w:tcW w:type="dxa" w:w="1247"/>
          </w:tcPr>
          <w:p>
            <w:pPr>
              <w:spacing w:after="20" w:before="20" w:line="240" w:lineRule="auto"/>
            </w:pPr>
            <w:r/>
            <w:r>
              <w:rPr>
                <w:sz w:val="18"/>
              </w:rPr>
              <w:t>5,522</w:t>
            </w:r>
          </w:p>
        </w:tc>
        <w:tc>
          <w:tcPr>
            <w:tcW w:type="dxa" w:w="1361"/>
          </w:tcPr>
          <w:p>
            <w:pPr>
              <w:spacing w:after="20" w:before="20" w:line="240" w:lineRule="auto"/>
            </w:pPr>
            <w:r/>
            <w:r>
              <w:rPr>
                <w:sz w:val="18"/>
              </w:rPr>
              <w:t>45%</w:t>
            </w:r>
          </w:p>
        </w:tc>
        <w:tc>
          <w:tcPr>
            <w:tcW w:type="dxa" w:w="1247"/>
          </w:tcPr>
          <w:p>
            <w:pPr>
              <w:spacing w:after="20" w:before="20" w:line="240" w:lineRule="auto"/>
            </w:pPr>
            <w:r/>
            <w:r>
              <w:rPr>
                <w:sz w:val="18"/>
              </w:rPr>
              <w:t>1.18</w:t>
            </w:r>
          </w:p>
        </w:tc>
        <w:tc>
          <w:tcPr>
            <w:tcW w:type="dxa" w:w="1361"/>
          </w:tcPr>
          <w:p>
            <w:pPr>
              <w:spacing w:after="20" w:before="20" w:line="240" w:lineRule="auto"/>
            </w:pPr>
            <w:r/>
          </w:p>
        </w:tc>
      </w:tr>
      <w:tr>
        <w:tc>
          <w:tcPr>
            <w:tcW w:type="dxa" w:w="3402"/>
          </w:tcPr>
          <w:p>
            <w:pPr>
              <w:spacing w:after="20" w:before="20" w:line="240" w:lineRule="auto"/>
            </w:pPr>
            <w:r/>
            <w:r>
              <w:rPr>
                <w:sz w:val="18"/>
              </w:rPr>
              <w:t>Blend: all models</w:t>
            </w:r>
          </w:p>
        </w:tc>
        <w:tc>
          <w:tcPr>
            <w:tcW w:type="dxa" w:w="1134"/>
          </w:tcPr>
          <w:p>
            <w:pPr>
              <w:spacing w:after="20" w:before="20" w:line="240" w:lineRule="auto"/>
            </w:pPr>
            <w:r/>
            <w:r>
              <w:rPr>
                <w:sz w:val="18"/>
              </w:rPr>
              <w:t>4.57</w:t>
            </w:r>
          </w:p>
        </w:tc>
        <w:tc>
          <w:tcPr>
            <w:tcW w:type="dxa" w:w="1247"/>
          </w:tcPr>
          <w:p>
            <w:pPr>
              <w:spacing w:after="20" w:before="20" w:line="240" w:lineRule="auto"/>
            </w:pPr>
            <w:r/>
            <w:r>
              <w:rPr>
                <w:sz w:val="18"/>
              </w:rPr>
              <w:t>6,119</w:t>
            </w:r>
          </w:p>
        </w:tc>
        <w:tc>
          <w:tcPr>
            <w:tcW w:type="dxa" w:w="1361"/>
          </w:tcPr>
          <w:p>
            <w:pPr>
              <w:spacing w:after="20" w:before="20" w:line="240" w:lineRule="auto"/>
            </w:pPr>
            <w:r/>
            <w:r>
              <w:rPr>
                <w:sz w:val="18"/>
              </w:rPr>
              <w:t>46%</w:t>
            </w:r>
          </w:p>
        </w:tc>
        <w:tc>
          <w:tcPr>
            <w:tcW w:type="dxa" w:w="1247"/>
          </w:tcPr>
          <w:p>
            <w:pPr>
              <w:spacing w:after="20" w:before="20" w:line="240" w:lineRule="auto"/>
            </w:pPr>
            <w:r/>
            <w:r>
              <w:rPr>
                <w:sz w:val="18"/>
              </w:rPr>
              <w:t>1.11</w:t>
            </w:r>
          </w:p>
        </w:tc>
        <w:tc>
          <w:tcPr>
            <w:tcW w:type="dxa" w:w="1361"/>
          </w:tcPr>
          <w:p>
            <w:pPr>
              <w:spacing w:after="20" w:before="20" w:line="240" w:lineRule="auto"/>
            </w:pPr>
            <w:r/>
            <w:r>
              <w:rPr>
                <w:sz w:val="18"/>
              </w:rPr>
              <w:t>2 better, 0 worse</w:t>
            </w:r>
          </w:p>
        </w:tc>
      </w:tr>
      <w:tr>
        <w:tc>
          <w:tcPr>
            <w:tcW w:type="dxa" w:w="3402"/>
          </w:tcPr>
          <w:p>
            <w:pPr>
              <w:spacing w:after="20" w:before="20" w:line="240" w:lineRule="auto"/>
            </w:pPr>
            <w:r/>
            <w:r>
              <w:rPr>
                <w:sz w:val="18"/>
              </w:rPr>
              <w:t>Blend: scorecard + boosting + learned weights</w:t>
            </w:r>
          </w:p>
        </w:tc>
        <w:tc>
          <w:tcPr>
            <w:tcW w:type="dxa" w:w="1134"/>
          </w:tcPr>
          <w:p>
            <w:pPr>
              <w:spacing w:after="20" w:before="20" w:line="240" w:lineRule="auto"/>
            </w:pPr>
            <w:r/>
            <w:r>
              <w:rPr>
                <w:sz w:val="18"/>
              </w:rPr>
              <w:t>4.80</w:t>
            </w:r>
          </w:p>
        </w:tc>
        <w:tc>
          <w:tcPr>
            <w:tcW w:type="dxa" w:w="1247"/>
          </w:tcPr>
          <w:p>
            <w:pPr>
              <w:spacing w:after="20" w:before="20" w:line="240" w:lineRule="auto"/>
            </w:pPr>
            <w:r/>
            <w:r>
              <w:rPr>
                <w:sz w:val="18"/>
              </w:rPr>
              <w:t>5,393</w:t>
            </w:r>
          </w:p>
        </w:tc>
        <w:tc>
          <w:tcPr>
            <w:tcW w:type="dxa" w:w="1361"/>
          </w:tcPr>
          <w:p>
            <w:pPr>
              <w:spacing w:after="20" w:before="20" w:line="240" w:lineRule="auto"/>
            </w:pPr>
            <w:r/>
            <w:r>
              <w:rPr>
                <w:sz w:val="18"/>
              </w:rPr>
              <w:t>42%</w:t>
            </w:r>
          </w:p>
        </w:tc>
        <w:tc>
          <w:tcPr>
            <w:tcW w:type="dxa" w:w="1247"/>
          </w:tcPr>
          <w:p>
            <w:pPr>
              <w:spacing w:after="20" w:before="20" w:line="240" w:lineRule="auto"/>
            </w:pPr>
            <w:r/>
            <w:r>
              <w:rPr>
                <w:sz w:val="18"/>
              </w:rPr>
              <w:t>1.25</w:t>
            </w:r>
          </w:p>
        </w:tc>
        <w:tc>
          <w:tcPr>
            <w:tcW w:type="dxa" w:w="1361"/>
          </w:tcPr>
          <w:p>
            <w:pPr>
              <w:spacing w:after="20" w:before="20" w:line="240" w:lineRule="auto"/>
            </w:pPr>
            <w:r/>
            <w:r>
              <w:rPr>
                <w:sz w:val="18"/>
              </w:rPr>
              <w:t>3 better, 0 worse</w:t>
            </w:r>
          </w:p>
        </w:tc>
      </w:tr>
      <w:tr>
        <w:tc>
          <w:tcPr>
            <w:tcW w:type="dxa" w:w="3402"/>
          </w:tcPr>
          <w:p>
            <w:pPr>
              <w:spacing w:after="20" w:before="20" w:line="240" w:lineRule="auto"/>
            </w:pPr>
            <w:r/>
            <w:r>
              <w:rPr>
                <w:sz w:val="18"/>
              </w:rPr>
              <w:t>Blend: scorecard + Scope and Design candidates</w:t>
            </w:r>
          </w:p>
        </w:tc>
        <w:tc>
          <w:tcPr>
            <w:tcW w:type="dxa" w:w="1134"/>
          </w:tcPr>
          <w:p>
            <w:pPr>
              <w:spacing w:after="20" w:before="20" w:line="240" w:lineRule="auto"/>
            </w:pPr>
            <w:r/>
            <w:r>
              <w:rPr>
                <w:sz w:val="18"/>
              </w:rPr>
              <w:t>3.90</w:t>
            </w:r>
          </w:p>
        </w:tc>
        <w:tc>
          <w:tcPr>
            <w:tcW w:type="dxa" w:w="1247"/>
          </w:tcPr>
          <w:p>
            <w:pPr>
              <w:spacing w:after="20" w:before="20" w:line="240" w:lineRule="auto"/>
            </w:pPr>
            <w:r/>
            <w:r>
              <w:rPr>
                <w:sz w:val="18"/>
              </w:rPr>
              <w:t>6,680</w:t>
            </w:r>
          </w:p>
        </w:tc>
        <w:tc>
          <w:tcPr>
            <w:tcW w:type="dxa" w:w="1361"/>
          </w:tcPr>
          <w:p>
            <w:pPr>
              <w:spacing w:after="20" w:before="20" w:line="240" w:lineRule="auto"/>
            </w:pPr>
            <w:r/>
            <w:r>
              <w:rPr>
                <w:sz w:val="18"/>
              </w:rPr>
              <w:t>49%</w:t>
            </w:r>
          </w:p>
        </w:tc>
        <w:tc>
          <w:tcPr>
            <w:tcW w:type="dxa" w:w="1247"/>
          </w:tcPr>
          <w:p>
            <w:pPr>
              <w:spacing w:after="20" w:before="20" w:line="240" w:lineRule="auto"/>
            </w:pPr>
            <w:r/>
            <w:r>
              <w:rPr>
                <w:sz w:val="18"/>
              </w:rPr>
              <w:t>0.93</w:t>
            </w:r>
          </w:p>
        </w:tc>
        <w:tc>
          <w:tcPr>
            <w:tcW w:type="dxa" w:w="1361"/>
          </w:tcPr>
          <w:p>
            <w:pPr>
              <w:spacing w:after="20" w:before="20" w:line="240" w:lineRule="auto"/>
            </w:pPr>
            <w:r/>
            <w:r>
              <w:rPr>
                <w:sz w:val="18"/>
              </w:rPr>
              <w:t>0 better, 2 worse</w:t>
            </w:r>
          </w:p>
        </w:tc>
      </w:tr>
      <w:tr>
        <w:tc>
          <w:tcPr>
            <w:tcW w:type="dxa" w:w="3402"/>
          </w:tcPr>
          <w:p>
            <w:pPr>
              <w:spacing w:after="20" w:before="20" w:line="240" w:lineRule="auto"/>
            </w:pPr>
            <w:r/>
            <w:r>
              <w:rPr>
                <w:sz w:val="18"/>
              </w:rPr>
              <w:t>Blend: scorecard + Gaussian mixture</w:t>
            </w:r>
          </w:p>
        </w:tc>
        <w:tc>
          <w:tcPr>
            <w:tcW w:type="dxa" w:w="1134"/>
          </w:tcPr>
          <w:p>
            <w:pPr>
              <w:spacing w:after="20" w:before="20" w:line="240" w:lineRule="auto"/>
            </w:pPr>
            <w:r/>
            <w:r>
              <w:rPr>
                <w:sz w:val="18"/>
              </w:rPr>
              <w:t>3.92</w:t>
            </w:r>
          </w:p>
        </w:tc>
        <w:tc>
          <w:tcPr>
            <w:tcW w:type="dxa" w:w="1247"/>
          </w:tcPr>
          <w:p>
            <w:pPr>
              <w:spacing w:after="20" w:before="20" w:line="240" w:lineRule="auto"/>
            </w:pPr>
            <w:r/>
            <w:r>
              <w:rPr>
                <w:sz w:val="18"/>
              </w:rPr>
              <w:t>6,673</w:t>
            </w:r>
          </w:p>
        </w:tc>
        <w:tc>
          <w:tcPr>
            <w:tcW w:type="dxa" w:w="1361"/>
          </w:tcPr>
          <w:p>
            <w:pPr>
              <w:spacing w:after="20" w:before="20" w:line="240" w:lineRule="auto"/>
            </w:pPr>
            <w:r/>
            <w:r>
              <w:rPr>
                <w:sz w:val="18"/>
              </w:rPr>
              <w:t>49%</w:t>
            </w:r>
          </w:p>
        </w:tc>
        <w:tc>
          <w:tcPr>
            <w:tcW w:type="dxa" w:w="1247"/>
          </w:tcPr>
          <w:p>
            <w:pPr>
              <w:spacing w:after="20" w:before="20" w:line="240" w:lineRule="auto"/>
            </w:pPr>
            <w:r/>
            <w:r>
              <w:rPr>
                <w:sz w:val="18"/>
              </w:rPr>
              <w:t>0.95</w:t>
            </w:r>
          </w:p>
        </w:tc>
        <w:tc>
          <w:tcPr>
            <w:tcW w:type="dxa" w:w="1361"/>
          </w:tcPr>
          <w:p>
            <w:pPr>
              <w:spacing w:after="20" w:before="20" w:line="240" w:lineRule="auto"/>
            </w:pPr>
            <w:r/>
            <w:r>
              <w:rPr>
                <w:sz w:val="18"/>
              </w:rPr>
              <w:t>0 better, 2 worse</w:t>
            </w:r>
          </w:p>
        </w:tc>
      </w:tr>
      <w:tr>
        <w:tc>
          <w:tcPr>
            <w:tcW w:type="dxa" w:w="3402"/>
          </w:tcPr>
          <w:p>
            <w:pPr>
              <w:spacing w:after="20" w:before="20" w:line="240" w:lineRule="auto"/>
            </w:pPr>
            <w:r/>
            <w:r>
              <w:rPr>
                <w:sz w:val="18"/>
              </w:rPr>
              <w:t>Stacked blend (3 tests)</w:t>
            </w:r>
          </w:p>
        </w:tc>
        <w:tc>
          <w:tcPr>
            <w:tcW w:type="dxa" w:w="1134"/>
          </w:tcPr>
          <w:p>
            <w:pPr>
              <w:spacing w:after="20" w:before="20" w:line="240" w:lineRule="auto"/>
            </w:pPr>
            <w:r/>
            <w:r>
              <w:rPr>
                <w:sz w:val="18"/>
              </w:rPr>
              <w:t>3.95</w:t>
            </w:r>
          </w:p>
        </w:tc>
        <w:tc>
          <w:tcPr>
            <w:tcW w:type="dxa" w:w="1247"/>
          </w:tcPr>
          <w:p>
            <w:pPr>
              <w:spacing w:after="20" w:before="20" w:line="240" w:lineRule="auto"/>
            </w:pPr>
            <w:r/>
            <w:r>
              <w:rPr>
                <w:sz w:val="18"/>
              </w:rPr>
              <w:t>2,919</w:t>
            </w:r>
          </w:p>
        </w:tc>
        <w:tc>
          <w:tcPr>
            <w:tcW w:type="dxa" w:w="1361"/>
          </w:tcPr>
          <w:p>
            <w:pPr>
              <w:spacing w:after="20" w:before="20" w:line="240" w:lineRule="auto"/>
            </w:pPr>
            <w:r/>
            <w:r>
              <w:rPr>
                <w:sz w:val="18"/>
              </w:rPr>
              <w:t>21%</w:t>
            </w:r>
          </w:p>
        </w:tc>
        <w:tc>
          <w:tcPr>
            <w:tcW w:type="dxa" w:w="1247"/>
          </w:tcPr>
          <w:p>
            <w:pPr>
              <w:spacing w:after="20" w:before="20" w:line="240" w:lineRule="auto"/>
            </w:pPr>
            <w:r/>
            <w:r>
              <w:rPr>
                <w:sz w:val="18"/>
              </w:rPr>
              <w:t>1.05</w:t>
            </w:r>
          </w:p>
        </w:tc>
        <w:tc>
          <w:tcPr>
            <w:tcW w:type="dxa" w:w="1361"/>
          </w:tcPr>
          <w:p>
            <w:pPr>
              <w:spacing w:after="20" w:before="20" w:line="240" w:lineRule="auto"/>
            </w:pPr>
            <w:r/>
            <w:r>
              <w:rPr>
                <w:sz w:val="18"/>
              </w:rPr>
              <w:t>1 better, 1 worse</w:t>
            </w:r>
          </w:p>
        </w:tc>
      </w:tr>
    </w:tbl>
    <w:p>
      <w:pPr>
        <w:spacing w:after="40"/>
      </w:pPr>
    </w:p>
    <w:p>
      <w:pPr>
        <w:pStyle w:val="ListParagraph"/>
        <w:numPr>
          <w:ilvl w:val="0"/>
          <w:numId w:val="909"/>
        </w:numPr>
        <w:spacing w:after="60"/>
      </w:pPr>
      <w:r>
        <w:rPr>
          <w:b/>
        </w:rPr>
        <w:t>The blend of all models is the best all-round result</w:t>
      </w:r>
      <w:r>
        <w:t>: a little more lift, 11% more hits and one more point of revenue share with about the same revenue per check, better in 2 of 4 tests and worse in none. Everyone in its top 5% also has 15 or more scorecard points, so the scorecard's reasons still explain them. It is the leading round 2 challenger (decision 52).</w:t>
      </w:r>
    </w:p>
    <w:p>
      <w:pPr>
        <w:pStyle w:val="ListParagraph"/>
        <w:numPr>
          <w:ilvl w:val="0"/>
          <w:numId w:val="909"/>
        </w:numPr>
        <w:spacing w:after="60"/>
      </w:pPr>
      <w:r>
        <w:rPr>
          <w:b/>
        </w:rPr>
        <w:t>Why not adopt it now?</w:t>
      </w:r>
      <w:r>
        <w:t xml:space="preserve"> The gain is real but small and significant in only half the tests; the ranking would no longer follow the points officers see (a taxpayer with 55 points could rank above one with 60); and eight models would have to run and be maintained in production. A shadow run and a blind officer review come first.</w:t>
      </w:r>
    </w:p>
    <w:p>
      <w:pPr>
        <w:pStyle w:val="ListParagraph"/>
        <w:numPr>
          <w:ilvl w:val="0"/>
          <w:numId w:val="909"/>
        </w:numPr>
        <w:spacing w:after="60"/>
      </w:pPr>
      <w:r>
        <w:rPr>
          <w:b/>
        </w:rPr>
        <w:t>Blends with the Scope and Design candidates</w:t>
      </w:r>
      <w:r>
        <w:t xml:space="preserve"> catch more hits and revenue share only by pulling in bigger traders with many more checks: lift and revenue per check both fall (decisions 54 and 56).</w:t>
      </w:r>
    </w:p>
    <w:p>
      <w:pPr>
        <w:pStyle w:val="ListParagraph"/>
        <w:numPr>
          <w:ilvl w:val="0"/>
          <w:numId w:val="909"/>
        </w:numPr>
        <w:spacing w:after="60"/>
      </w:pPr>
      <w:r>
        <w:rPr>
          <w:b/>
        </w:rPr>
        <w:t>The stacked blend</w:t>
      </w:r>
      <w:r>
        <w:t xml:space="preserve"> is unstable with only three earlier windows to learn from (decision 53).</w:t>
      </w:r>
    </w:p>
    <w:p>
      <w:r>
        <w:br w:type="page"/>
      </w:r>
    </w:p>
    <w:p/>
    <w:p/>
    <w:p/>
    <w:p/>
    <w:p/>
    <w:p/>
    <w:p>
      <w:pPr>
        <w:pStyle w:val="Heading1"/>
      </w:pPr>
      <w:r>
        <w:t>PART 7: RUNNING EVERYTHING</w:t>
      </w:r>
    </w:p>
    <w:p>
      <w:pPr>
        <w:spacing w:after="120"/>
      </w:pPr>
      <w:r>
        <w:t>Every command, in order, for Git Bash on Windows, with what each one produces and what to do when something goes wrong. Every run goes through one entry point: python main.py &lt;command&gt;.</w:t>
      </w:r>
    </w:p>
    <w:p>
      <w:r>
        <w:br w:type="page"/>
      </w:r>
    </w:p>
    <w:p>
      <w:pPr>
        <w:pStyle w:val="Heading2"/>
      </w:pPr>
      <w:r>
        <w:t>7.1 One-time Setup</w:t>
      </w:r>
    </w:p>
    <w:p>
      <w:pPr>
        <w:spacing w:after="120"/>
      </w:pPr>
      <w:r>
        <w:t xml:space="preserve">Open Git Bash and go to the project folder. Install everything once (and again whenever requirements.txt changes). This also installs the project itself as a package called </w:t>
      </w:r>
      <w:r>
        <w:rPr>
          <w:rFonts w:ascii="Consolas" w:hAnsi="Consolas"/>
        </w:rPr>
        <w:t>ctrp</w:t>
      </w:r>
      <w:r>
        <w:t xml:space="preserve">, so notebooks and scripts can </w:t>
      </w:r>
      <w:r>
        <w:rPr>
          <w:rFonts w:ascii="Consolas" w:hAnsi="Consolas"/>
        </w:rPr>
        <w:t>import ctrp</w:t>
      </w:r>
      <w:r>
        <w:t xml:space="preserve"> from anywhere. Then run the tests: they should all pass.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cd ~/Desktop/OCTOBER/ctrp</w:t>
            </w:r>
          </w:p>
          <w:p>
            <w:pPr>
              <w:spacing w:after="0" w:line="240" w:lineRule="auto"/>
            </w:pPr>
            <w:r>
              <w:rPr>
                <w:rFonts w:ascii="Consolas" w:hAnsi="Consolas"/>
                <w:sz w:val="18"/>
              </w:rPr>
              <w:t>python -m pip install -r requirements.txt</w:t>
            </w:r>
          </w:p>
          <w:p>
            <w:pPr>
              <w:spacing w:after="0" w:line="240" w:lineRule="auto"/>
            </w:pPr>
            <w:r>
              <w:rPr>
                <w:rFonts w:ascii="Consolas" w:hAnsi="Consolas"/>
                <w:sz w:val="18"/>
              </w:rPr>
              <w:t>python main.py test</w:t>
            </w:r>
          </w:p>
        </w:tc>
      </w:tr>
    </w:tbl>
    <w:p>
      <w:pPr>
        <w:spacing w:after="40"/>
      </w:pPr>
    </w:p>
    <w:p>
      <w:pPr>
        <w:spacing w:after="120"/>
      </w:pPr>
      <w:r>
        <w:t xml:space="preserve">To see every command: </w:t>
      </w:r>
      <w:r>
        <w:rPr>
          <w:rFonts w:ascii="Consolas" w:hAnsi="Consolas"/>
        </w:rPr>
        <w:t>python main.py --help</w:t>
      </w:r>
      <w:r>
        <w:t>.</w:t>
      </w:r>
    </w:p>
    <w:p>
      <w:pPr>
        <w:pStyle w:val="Caption"/>
      </w:pPr>
      <w:r>
        <w:t xml:space="preserve">Table </w:t>
      </w:r>
      <w:r>
        <w:fldChar w:fldCharType="begin"/>
      </w:r>
      <w:r>
        <w:instrText xml:space="preserve"> SEQ Table \* ARABIC </w:instrText>
      </w:r>
      <w:r>
        <w:fldChar w:fldCharType="separate"/>
      </w:r>
      <w:r>
        <w:t>26</w:t>
      </w:r>
      <w:r>
        <w:fldChar w:fldCharType="end"/>
      </w:r>
      <w:r>
        <w:t>: All Commands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442"/>
            <w:shd w:val="clear" w:color="auto" w:fill="D9E2F3"/>
          </w:tcPr>
          <w:p>
            <w:pPr>
              <w:spacing w:after="20" w:before="20" w:line="240" w:lineRule="auto"/>
            </w:pPr>
            <w:r/>
            <w:r>
              <w:rPr>
                <w:b/>
                <w:sz w:val="18"/>
              </w:rPr>
              <w:t>Command</w:t>
            </w:r>
          </w:p>
        </w:tc>
        <w:tc>
          <w:tcPr>
            <w:tcW w:type="dxa" w:w="3442"/>
            <w:shd w:val="clear" w:color="auto" w:fill="D9E2F3"/>
          </w:tcPr>
          <w:p>
            <w:pPr>
              <w:spacing w:after="20" w:before="20" w:line="240" w:lineRule="auto"/>
            </w:pPr>
            <w:r/>
            <w:r>
              <w:rPr>
                <w:b/>
                <w:sz w:val="18"/>
              </w:rPr>
              <w:t>What it does</w:t>
            </w:r>
          </w:p>
        </w:tc>
        <w:tc>
          <w:tcPr>
            <w:tcW w:type="dxa" w:w="2868"/>
            <w:shd w:val="clear" w:color="auto" w:fill="D9E2F3"/>
          </w:tcPr>
          <w:p>
            <w:pPr>
              <w:spacing w:after="20" w:before="20" w:line="240" w:lineRule="auto"/>
            </w:pPr>
            <w:r/>
            <w:r>
              <w:rPr>
                <w:b/>
                <w:sz w:val="18"/>
              </w:rPr>
              <w:t>Output</w:t>
            </w:r>
          </w:p>
        </w:tc>
      </w:tr>
      <w:tr>
        <w:tc>
          <w:tcPr>
            <w:tcW w:type="dxa" w:w="3442"/>
          </w:tcPr>
          <w:p>
            <w:pPr>
              <w:spacing w:after="20" w:before="20" w:line="240" w:lineRule="auto"/>
            </w:pPr>
            <w:r/>
            <w:r>
              <w:rPr>
                <w:sz w:val="18"/>
              </w:rPr>
              <w:t>python main.py sql</w:t>
            </w:r>
          </w:p>
        </w:tc>
        <w:tc>
          <w:tcPr>
            <w:tcW w:type="dxa" w:w="3442"/>
          </w:tcPr>
          <w:p>
            <w:pPr>
              <w:spacing w:after="20" w:before="20" w:line="240" w:lineRule="auto"/>
            </w:pPr>
            <w:r/>
            <w:r>
              <w:rPr>
                <w:sz w:val="18"/>
              </w:rPr>
              <w:t>Writes one Hue query per snapshot</w:t>
            </w:r>
          </w:p>
        </w:tc>
        <w:tc>
          <w:tcPr>
            <w:tcW w:type="dxa" w:w="2868"/>
          </w:tcPr>
          <w:p>
            <w:pPr>
              <w:spacing w:after="20" w:before="20" w:line="240" w:lineRule="auto"/>
            </w:pPr>
            <w:r/>
            <w:r>
              <w:rPr>
                <w:sz w:val="18"/>
              </w:rPr>
              <w:t>sql/bt_&lt;date&gt;.sql, sql/live_&lt;date&gt;.sql</w:t>
            </w:r>
          </w:p>
        </w:tc>
      </w:tr>
      <w:tr>
        <w:tc>
          <w:tcPr>
            <w:tcW w:type="dxa" w:w="3442"/>
          </w:tcPr>
          <w:p>
            <w:pPr>
              <w:spacing w:after="20" w:before="20" w:line="240" w:lineRule="auto"/>
            </w:pPr>
            <w:r/>
            <w:r>
              <w:rPr>
                <w:sz w:val="18"/>
              </w:rPr>
              <w:t>python main.py check "data/*.csv"</w:t>
            </w:r>
          </w:p>
        </w:tc>
        <w:tc>
          <w:tcPr>
            <w:tcW w:type="dxa" w:w="3442"/>
          </w:tcPr>
          <w:p>
            <w:pPr>
              <w:spacing w:after="20" w:before="20" w:line="240" w:lineRule="auto"/>
            </w:pPr>
            <w:r/>
            <w:r>
              <w:rPr>
                <w:sz w:val="18"/>
              </w:rPr>
              <w:t>Tests every download</w:t>
            </w:r>
          </w:p>
        </w:tc>
        <w:tc>
          <w:tcPr>
            <w:tcW w:type="dxa" w:w="2868"/>
          </w:tcPr>
          <w:p>
            <w:pPr>
              <w:spacing w:after="20" w:before="20" w:line="240" w:lineRule="auto"/>
            </w:pPr>
            <w:r/>
            <w:r>
              <w:rPr>
                <w:sz w:val="18"/>
              </w:rPr>
              <w:t>PASS / CHECK report</w:t>
            </w:r>
          </w:p>
        </w:tc>
      </w:tr>
      <w:tr>
        <w:tc>
          <w:tcPr>
            <w:tcW w:type="dxa" w:w="3442"/>
          </w:tcPr>
          <w:p>
            <w:pPr>
              <w:spacing w:after="20" w:before="20" w:line="240" w:lineRule="auto"/>
            </w:pPr>
            <w:r/>
            <w:r>
              <w:rPr>
                <w:sz w:val="18"/>
              </w:rPr>
              <w:t>python main.py score data/live_2026-09-30.csv</w:t>
            </w:r>
          </w:p>
        </w:tc>
        <w:tc>
          <w:tcPr>
            <w:tcW w:type="dxa" w:w="3442"/>
          </w:tcPr>
          <w:p>
            <w:pPr>
              <w:spacing w:after="20" w:before="20" w:line="240" w:lineRule="auto"/>
            </w:pPr>
            <w:r/>
            <w:r>
              <w:rPr>
                <w:sz w:val="18"/>
              </w:rPr>
              <w:t>Scores one extract (the production run)</w:t>
            </w:r>
          </w:p>
        </w:tc>
        <w:tc>
          <w:tcPr>
            <w:tcW w:type="dxa" w:w="2868"/>
          </w:tcPr>
          <w:p>
            <w:pPr>
              <w:spacing w:after="20" w:before="20" w:line="240" w:lineRule="auto"/>
            </w:pPr>
            <w:r/>
            <w:r>
              <w:rPr>
                <w:sz w:val="18"/>
              </w:rPr>
              <w:t>results/CTRP_scores_&lt;date&gt;.xlsx and .csv</w:t>
            </w:r>
          </w:p>
        </w:tc>
      </w:tr>
      <w:tr>
        <w:tc>
          <w:tcPr>
            <w:tcW w:type="dxa" w:w="3442"/>
          </w:tcPr>
          <w:p>
            <w:pPr>
              <w:spacing w:after="20" w:before="20" w:line="240" w:lineRule="auto"/>
            </w:pPr>
            <w:r/>
            <w:r>
              <w:rPr>
                <w:sz w:val="18"/>
              </w:rPr>
              <w:t>python main.py backtest</w:t>
            </w:r>
          </w:p>
        </w:tc>
        <w:tc>
          <w:tcPr>
            <w:tcW w:type="dxa" w:w="3442"/>
          </w:tcPr>
          <w:p>
            <w:pPr>
              <w:spacing w:after="20" w:before="20" w:line="240" w:lineRule="auto"/>
            </w:pPr>
            <w:r/>
            <w:r>
              <w:rPr>
                <w:sz w:val="18"/>
              </w:rPr>
              <w:t>Back-tests every data/bt_*.csv</w:t>
            </w:r>
          </w:p>
        </w:tc>
        <w:tc>
          <w:tcPr>
            <w:tcW w:type="dxa" w:w="2868"/>
          </w:tcPr>
          <w:p>
            <w:pPr>
              <w:spacing w:after="20" w:before="20" w:line="240" w:lineRule="auto"/>
            </w:pPr>
            <w:r/>
            <w:r>
              <w:rPr>
                <w:sz w:val="18"/>
              </w:rPr>
              <w:t>results/CTRP_backtest.xlsx</w:t>
            </w:r>
          </w:p>
        </w:tc>
      </w:tr>
      <w:tr>
        <w:tc>
          <w:tcPr>
            <w:tcW w:type="dxa" w:w="3442"/>
          </w:tcPr>
          <w:p>
            <w:pPr>
              <w:spacing w:after="20" w:before="20" w:line="240" w:lineRule="auto"/>
            </w:pPr>
            <w:r/>
            <w:r>
              <w:rPr>
                <w:sz w:val="18"/>
              </w:rPr>
              <w:t>python main.py challengers</w:t>
            </w:r>
          </w:p>
        </w:tc>
        <w:tc>
          <w:tcPr>
            <w:tcW w:type="dxa" w:w="3442"/>
          </w:tcPr>
          <w:p>
            <w:pPr>
              <w:spacing w:after="20" w:before="20" w:line="240" w:lineRule="auto"/>
            </w:pPr>
            <w:r/>
            <w:r>
              <w:rPr>
                <w:sz w:val="18"/>
              </w:rPr>
              <w:t>Compares challengers and blends (about 10 minutes)</w:t>
            </w:r>
          </w:p>
        </w:tc>
        <w:tc>
          <w:tcPr>
            <w:tcW w:type="dxa" w:w="2868"/>
          </w:tcPr>
          <w:p>
            <w:pPr>
              <w:spacing w:after="20" w:before="20" w:line="240" w:lineRule="auto"/>
            </w:pPr>
            <w:r/>
            <w:r>
              <w:rPr>
                <w:sz w:val="18"/>
              </w:rPr>
              <w:t>results/CTRP_challengers.xlsx</w:t>
            </w:r>
          </w:p>
        </w:tc>
      </w:tr>
      <w:tr>
        <w:tc>
          <w:tcPr>
            <w:tcW w:type="dxa" w:w="3442"/>
          </w:tcPr>
          <w:p>
            <w:pPr>
              <w:spacing w:after="20" w:before="20" w:line="240" w:lineRule="auto"/>
            </w:pPr>
            <w:r/>
            <w:r>
              <w:rPr>
                <w:sz w:val="18"/>
              </w:rPr>
              <w:t>python main.py notebook</w:t>
            </w:r>
          </w:p>
        </w:tc>
        <w:tc>
          <w:tcPr>
            <w:tcW w:type="dxa" w:w="3442"/>
          </w:tcPr>
          <w:p>
            <w:pPr>
              <w:spacing w:after="20" w:before="20" w:line="240" w:lineRule="auto"/>
            </w:pPr>
            <w:r/>
            <w:r>
              <w:rPr>
                <w:sz w:val="18"/>
              </w:rPr>
              <w:t>Rebuilds and runs the notebook (about 15 minutes)</w:t>
            </w:r>
          </w:p>
        </w:tc>
        <w:tc>
          <w:tcPr>
            <w:tcW w:type="dxa" w:w="2868"/>
          </w:tcPr>
          <w:p>
            <w:pPr>
              <w:spacing w:after="20" w:before="20" w:line="240" w:lineRule="auto"/>
            </w:pPr>
            <w:r/>
            <w:r>
              <w:rPr>
                <w:sz w:val="18"/>
              </w:rPr>
              <w:t>notebook with outputs; results/charts/*.png</w:t>
            </w:r>
          </w:p>
        </w:tc>
      </w:tr>
      <w:tr>
        <w:tc>
          <w:tcPr>
            <w:tcW w:type="dxa" w:w="3442"/>
          </w:tcPr>
          <w:p>
            <w:pPr>
              <w:spacing w:after="20" w:before="20" w:line="240" w:lineRule="auto"/>
            </w:pPr>
            <w:r/>
            <w:r>
              <w:rPr>
                <w:sz w:val="18"/>
              </w:rPr>
              <w:t>python main.py docs</w:t>
            </w:r>
          </w:p>
        </w:tc>
        <w:tc>
          <w:tcPr>
            <w:tcW w:type="dxa" w:w="3442"/>
          </w:tcPr>
          <w:p>
            <w:pPr>
              <w:spacing w:after="20" w:before="20" w:line="240" w:lineRule="auto"/>
            </w:pPr>
            <w:r/>
            <w:r>
              <w:rPr>
                <w:sz w:val="18"/>
              </w:rPr>
              <w:t>Rebuilds the decision record and this guide</w:t>
            </w:r>
          </w:p>
        </w:tc>
        <w:tc>
          <w:tcPr>
            <w:tcW w:type="dxa" w:w="2868"/>
          </w:tcPr>
          <w:p>
            <w:pPr>
              <w:spacing w:after="20" w:before="20" w:line="240" w:lineRule="auto"/>
            </w:pPr>
            <w:r/>
            <w:r>
              <w:rPr>
                <w:sz w:val="18"/>
              </w:rPr>
              <w:t>docs/*.docx</w:t>
            </w:r>
          </w:p>
        </w:tc>
      </w:tr>
      <w:tr>
        <w:tc>
          <w:tcPr>
            <w:tcW w:type="dxa" w:w="3442"/>
          </w:tcPr>
          <w:p>
            <w:pPr>
              <w:spacing w:after="20" w:before="20" w:line="240" w:lineRule="auto"/>
            </w:pPr>
            <w:r/>
            <w:r>
              <w:rPr>
                <w:sz w:val="18"/>
              </w:rPr>
              <w:t>python main.py test</w:t>
            </w:r>
          </w:p>
        </w:tc>
        <w:tc>
          <w:tcPr>
            <w:tcW w:type="dxa" w:w="3442"/>
          </w:tcPr>
          <w:p>
            <w:pPr>
              <w:spacing w:after="20" w:before="20" w:line="240" w:lineRule="auto"/>
            </w:pPr>
            <w:r/>
            <w:r>
              <w:rPr>
                <w:sz w:val="18"/>
              </w:rPr>
              <w:t>Runs the automatic tests (about 1 minute)</w:t>
            </w:r>
          </w:p>
        </w:tc>
        <w:tc>
          <w:tcPr>
            <w:tcW w:type="dxa" w:w="2868"/>
          </w:tcPr>
          <w:p>
            <w:pPr>
              <w:spacing w:after="20" w:before="20" w:line="240" w:lineRule="auto"/>
            </w:pPr>
            <w:r/>
            <w:r>
              <w:rPr>
                <w:sz w:val="18"/>
              </w:rPr>
              <w:t>pass or fail</w:t>
            </w:r>
          </w:p>
        </w:tc>
      </w:tr>
    </w:tbl>
    <w:p>
      <w:pPr>
        <w:spacing w:after="40"/>
      </w:pPr>
    </w:p>
    <w:p>
      <w:pPr>
        <w:pStyle w:val="Heading2"/>
      </w:pPr>
      <w:r>
        <w:t>7.2 Make the Queries and Download the Extracts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sql</w:t>
            </w:r>
          </w:p>
        </w:tc>
      </w:tr>
    </w:tbl>
    <w:p>
      <w:pPr>
        <w:spacing w:after="40"/>
      </w:pPr>
    </w:p>
    <w:p>
      <w:pPr>
        <w:spacing w:after="120"/>
      </w:pPr>
      <w:r>
        <w:t xml:space="preserve">This writes </w:t>
      </w:r>
      <w:r>
        <w:rPr>
          <w:rFonts w:ascii="Consolas" w:hAnsi="Consolas"/>
        </w:rPr>
        <w:t>sql/bt_2023-09-30.sql</w:t>
      </w:r>
      <w:r>
        <w:t xml:space="preserve"> ... </w:t>
      </w:r>
      <w:r>
        <w:rPr>
          <w:rFonts w:ascii="Consolas" w:hAnsi="Consolas"/>
        </w:rPr>
        <w:t>sql/bt_2026-03-31.sql</w:t>
      </w:r>
      <w:r>
        <w:t xml:space="preserve"> and </w:t>
      </w:r>
      <w:r>
        <w:rPr>
          <w:rFonts w:ascii="Consolas" w:hAnsi="Consolas"/>
        </w:rPr>
        <w:t>sql/live_2026-09-30.sql</w:t>
      </w:r>
      <w:r>
        <w:t xml:space="preserve">. For each one: open it, copy everything into a Hue editor, run it (it is one statement), download the result as CSV, and save it in </w:t>
      </w:r>
      <w:r>
        <w:rPr>
          <w:rFonts w:ascii="Consolas" w:hAnsi="Consolas"/>
        </w:rPr>
        <w:t>data/</w:t>
      </w:r>
      <w:r>
        <w:t xml:space="preserve"> with the SAME name (for example </w:t>
      </w:r>
      <w:r>
        <w:rPr>
          <w:rFonts w:ascii="Consolas" w:hAnsi="Consolas"/>
        </w:rPr>
        <w:t>data/bt_2026-03-31.csv</w:t>
      </w:r>
      <w:r>
        <w:t xml:space="preserve">). To change the dates, edit BACKTEST_SNAPSHOTS and LIVE_SNAPSHOT at the top of </w:t>
      </w:r>
      <w:r>
        <w:rPr>
          <w:rFonts w:ascii="Consolas" w:hAnsi="Consolas"/>
        </w:rPr>
        <w:t>src/ctrp/extract.py</w:t>
      </w:r>
      <w:r>
        <w:t xml:space="preserve"> and run the command again.</w:t>
      </w:r>
    </w:p>
    <w:p>
      <w:pPr>
        <w:pStyle w:val="Heading2"/>
      </w:pPr>
      <w:r>
        <w:t>7.3 Check the Downloads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check "data/*.csv"</w:t>
            </w:r>
          </w:p>
        </w:tc>
      </w:tr>
    </w:tbl>
    <w:p>
      <w:pPr>
        <w:spacing w:after="40"/>
      </w:pPr>
    </w:p>
    <w:p>
      <w:pPr>
        <w:spacing w:after="120"/>
      </w:pPr>
      <w:r>
        <w:t>Read the SUMMARY at the end: checks_failed should be 0 for every file. Look into any CHECK line before going on.</w:t>
      </w:r>
    </w:p>
    <w:p>
      <w:pPr>
        <w:pStyle w:val="Heading2"/>
      </w:pPr>
      <w:r>
        <w:t>7.4 Score the Live Snapshot (production run)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score data/live_2026-09-30.csv</w:t>
            </w:r>
          </w:p>
        </w:tc>
      </w:tr>
    </w:tbl>
    <w:p>
      <w:pPr>
        <w:spacing w:after="40"/>
      </w:pPr>
    </w:p>
    <w:p>
      <w:pPr>
        <w:spacing w:after="120"/>
      </w:pPr>
      <w:r>
        <w:t xml:space="preserve">Writes </w:t>
      </w:r>
      <w:r>
        <w:rPr>
          <w:rFonts w:ascii="Consolas" w:hAnsi="Consolas"/>
        </w:rPr>
        <w:t>results/CTRP_scores_2026-09-30.xlsx</w:t>
      </w:r>
      <w:r>
        <w:t xml:space="preserve"> (the officers' workbook) and a CSV copy, and prints the band counts with the model version and settings fingerprint.</w:t>
      </w:r>
    </w:p>
    <w:p>
      <w:pPr>
        <w:pStyle w:val="Heading2"/>
      </w:pPr>
      <w:r>
        <w:t>7.5 Back-test and Challengers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backtest</w:t>
            </w:r>
          </w:p>
          <w:p>
            <w:pPr>
              <w:spacing w:after="0" w:line="240" w:lineRule="auto"/>
            </w:pPr>
            <w:r>
              <w:rPr>
                <w:rFonts w:ascii="Consolas" w:hAnsi="Consolas"/>
                <w:sz w:val="18"/>
              </w:rPr>
              <w:t>python main.py challengers</w:t>
            </w:r>
          </w:p>
        </w:tc>
      </w:tr>
    </w:tbl>
    <w:p>
      <w:pPr>
        <w:spacing w:after="40"/>
      </w:pPr>
    </w:p>
    <w:p>
      <w:pPr>
        <w:spacing w:after="120"/>
      </w:pPr>
      <w:r>
        <w:t>The back-test writes the lift of the model and the baseline in every snapshot, and the hit rate by band. The challenger run writes the comparison of every challenger and blend, the learned weights and the stacked-blend weights.</w:t>
      </w:r>
    </w:p>
    <w:p>
      <w:pPr>
        <w:pStyle w:val="Heading2"/>
      </w:pPr>
      <w:r>
        <w:t>7.6 The Notebook (all the analysis and charts)</w:t>
      </w:r>
    </w:p>
    <w:p>
      <w:pPr>
        <w:spacing w:after="120"/>
      </w:pPr>
      <w:r>
        <w:t xml:space="preserve">In VS Code: open </w:t>
      </w:r>
      <w:r>
        <w:rPr>
          <w:rFonts w:ascii="Consolas" w:hAnsi="Consolas"/>
        </w:rPr>
        <w:t>notebooks/CTRP_release1.ipynb</w:t>
      </w:r>
      <w:r>
        <w:t xml:space="preserve">, choose the Python kernel (top right), click Run All. It takes about fifteen minutes; section 9 (challengers and blends) takes about ten of them. Every chart is also saved as a PNG in </w:t>
      </w:r>
      <w:r>
        <w:rPr>
          <w:rFonts w:ascii="Consolas" w:hAnsi="Consolas"/>
        </w:rPr>
        <w:t>results/charts/</w:t>
      </w:r>
      <w:r>
        <w:t xml:space="preserve"> (chart_01.png, chart_02.png, ...) ready for slides. From the command line instead: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notebook</w:t>
            </w:r>
          </w:p>
        </w:tc>
      </w:tr>
    </w:tbl>
    <w:p>
      <w:pPr>
        <w:spacing w:after="40"/>
      </w:pPr>
    </w:p>
    <w:p>
      <w:pPr>
        <w:spacing w:after="120"/>
      </w:pPr>
      <w:r>
        <w:t xml:space="preserve">The notebook is generated from </w:t>
      </w:r>
      <w:r>
        <w:rPr>
          <w:rFonts w:ascii="Consolas" w:hAnsi="Consolas"/>
        </w:rPr>
        <w:t>notebooks/build_notebook.py</w:t>
      </w:r>
      <w:r>
        <w:t xml:space="preserve">. To change a cell permanently, change it there; </w:t>
      </w:r>
      <w:r>
        <w:rPr>
          <w:rFonts w:ascii="Consolas" w:hAnsi="Consolas"/>
        </w:rPr>
        <w:t>python main.py notebook</w:t>
      </w:r>
      <w:r>
        <w:t xml:space="preserve"> rebuilds the notebook and runs it.</w:t>
      </w:r>
    </w:p>
    <w:p>
      <w:pPr>
        <w:pStyle w:val="Heading2"/>
      </w:pPr>
      <w:r>
        <w:t>7.7 Rebuild the Documents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docs</w:t>
            </w:r>
          </w:p>
        </w:tc>
      </w:tr>
    </w:tbl>
    <w:p>
      <w:pPr>
        <w:spacing w:after="40"/>
      </w:pPr>
    </w:p>
    <w:p>
      <w:pPr>
        <w:spacing w:after="120"/>
      </w:pPr>
      <w:r>
        <w:t>Run it after the notebook has saved the charts. Open the .docx in Word and accept "update the fields" (or press Ctrl+A then F9) to fill in the contents and the lists of tables and figures.</w:t>
      </w:r>
    </w:p>
    <w:p>
      <w:pPr>
        <w:pStyle w:val="Heading2"/>
      </w:pPr>
      <w:r>
        <w:t>7.8 When Something Goes Wrong</w:t>
      </w:r>
    </w:p>
    <w:p>
      <w:pPr>
        <w:pStyle w:val="Caption"/>
      </w:pPr>
      <w:r>
        <w:t xml:space="preserve">Table </w:t>
      </w:r>
      <w:r>
        <w:fldChar w:fldCharType="begin"/>
      </w:r>
      <w:r>
        <w:instrText xml:space="preserve"> SEQ Table \* ARABIC </w:instrText>
      </w:r>
      <w:r>
        <w:fldChar w:fldCharType="separate"/>
      </w:r>
      <w:r>
        <w:t>27</w:t>
      </w:r>
      <w:r>
        <w:fldChar w:fldCharType="end"/>
      </w:r>
      <w:r>
        <w:t>: Common Problems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3728"/>
            <w:shd w:val="clear" w:color="auto" w:fill="D9E2F3"/>
          </w:tcPr>
          <w:p>
            <w:pPr>
              <w:spacing w:after="20" w:before="20" w:line="240" w:lineRule="auto"/>
            </w:pPr>
            <w:r/>
            <w:r>
              <w:rPr>
                <w:b/>
                <w:sz w:val="18"/>
              </w:rPr>
              <w:t>Message</w:t>
            </w:r>
          </w:p>
        </w:tc>
        <w:tc>
          <w:tcPr>
            <w:tcW w:type="dxa" w:w="6023"/>
            <w:shd w:val="clear" w:color="auto" w:fill="D9E2F3"/>
          </w:tcPr>
          <w:p>
            <w:pPr>
              <w:spacing w:after="20" w:before="20" w:line="240" w:lineRule="auto"/>
            </w:pPr>
            <w:r/>
            <w:r>
              <w:rPr>
                <w:b/>
                <w:sz w:val="18"/>
              </w:rPr>
              <w:t>Cause and fix</w:t>
            </w:r>
          </w:p>
        </w:tc>
      </w:tr>
      <w:tr>
        <w:tc>
          <w:tcPr>
            <w:tcW w:type="dxa" w:w="3728"/>
          </w:tcPr>
          <w:p>
            <w:pPr>
              <w:spacing w:after="20" w:before="20" w:line="240" w:lineRule="auto"/>
            </w:pPr>
            <w:r/>
            <w:r>
              <w:rPr>
                <w:sz w:val="18"/>
              </w:rPr>
              <w:t>ModuleNotFoundError: No module named ...</w:t>
            </w:r>
          </w:p>
        </w:tc>
        <w:tc>
          <w:tcPr>
            <w:tcW w:type="dxa" w:w="6023"/>
          </w:tcPr>
          <w:p>
            <w:pPr>
              <w:spacing w:after="20" w:before="20" w:line="240" w:lineRule="auto"/>
            </w:pPr>
            <w:r/>
            <w:r>
              <w:rPr>
                <w:sz w:val="18"/>
              </w:rPr>
              <w:t xml:space="preserve">A library is missing: run </w:t>
            </w:r>
            <w:r>
              <w:rPr>
                <w:rFonts w:ascii="Consolas" w:hAnsi="Consolas"/>
                <w:sz w:val="18"/>
              </w:rPr>
              <w:t>python -m pip install -r requirements.txt</w:t>
            </w:r>
            <w:r>
              <w:rPr>
                <w:sz w:val="18"/>
              </w:rPr>
              <w:t>.</w:t>
            </w:r>
          </w:p>
        </w:tc>
      </w:tr>
      <w:tr>
        <w:tc>
          <w:tcPr>
            <w:tcW w:type="dxa" w:w="3728"/>
          </w:tcPr>
          <w:p>
            <w:pPr>
              <w:spacing w:after="20" w:before="20" w:line="240" w:lineRule="auto"/>
            </w:pPr>
            <w:r/>
            <w:r>
              <w:rPr>
                <w:sz w:val="18"/>
              </w:rPr>
              <w:t>pip: Read timed out, or Tunnel connection failed: 503</w:t>
            </w:r>
          </w:p>
        </w:tc>
        <w:tc>
          <w:tcPr>
            <w:tcW w:type="dxa" w:w="6023"/>
          </w:tcPr>
          <w:p>
            <w:pPr>
              <w:spacing w:after="20" w:before="20" w:line="240" w:lineRule="auto"/>
            </w:pPr>
            <w:r/>
            <w:r>
              <w:rPr>
                <w:sz w:val="18"/>
              </w:rPr>
              <w:t xml:space="preserve">pip cannot reach the internet through the URA proxy. Try again later, or add </w:t>
            </w:r>
            <w:r>
              <w:rPr>
                <w:rFonts w:ascii="Consolas" w:hAnsi="Consolas"/>
                <w:sz w:val="18"/>
              </w:rPr>
              <w:t>--proxy http://&lt;proxy address&gt;:&lt;port&gt;</w:t>
            </w:r>
            <w:r>
              <w:rPr>
                <w:sz w:val="18"/>
              </w:rPr>
              <w:t xml:space="preserve"> (ask IT for the address), or install one library at a time with a longer wait: </w:t>
            </w:r>
            <w:r>
              <w:rPr>
                <w:rFonts w:ascii="Consolas" w:hAnsi="Consolas"/>
                <w:sz w:val="18"/>
              </w:rPr>
              <w:t>python -m pip install pytest --timeout 120</w:t>
            </w:r>
            <w:r>
              <w:rPr>
                <w:sz w:val="18"/>
              </w:rPr>
              <w:t>.</w:t>
            </w:r>
          </w:p>
        </w:tc>
      </w:tr>
      <w:tr>
        <w:tc>
          <w:tcPr>
            <w:tcW w:type="dxa" w:w="3728"/>
          </w:tcPr>
          <w:p>
            <w:pPr>
              <w:spacing w:after="20" w:before="20" w:line="240" w:lineRule="auto"/>
            </w:pPr>
            <w:r/>
            <w:r>
              <w:rPr>
                <w:sz w:val="18"/>
              </w:rPr>
              <w:t>No module named pytest</w:t>
            </w:r>
          </w:p>
        </w:tc>
        <w:tc>
          <w:tcPr>
            <w:tcW w:type="dxa" w:w="6023"/>
          </w:tcPr>
          <w:p>
            <w:pPr>
              <w:spacing w:after="20" w:before="20" w:line="240" w:lineRule="auto"/>
            </w:pPr>
            <w:r/>
            <w:r>
              <w:rPr>
                <w:sz w:val="18"/>
              </w:rPr>
              <w:t xml:space="preserve">Only the tests need it: </w:t>
            </w:r>
            <w:r>
              <w:rPr>
                <w:rFonts w:ascii="Consolas" w:hAnsi="Consolas"/>
                <w:sz w:val="18"/>
              </w:rPr>
              <w:t>python -m pip install pytest</w:t>
            </w:r>
            <w:r>
              <w:rPr>
                <w:sz w:val="18"/>
              </w:rPr>
              <w:t>. Scoring, the notebook and the documents run without it.</w:t>
            </w:r>
          </w:p>
        </w:tc>
      </w:tr>
      <w:tr>
        <w:tc>
          <w:tcPr>
            <w:tcW w:type="dxa" w:w="3728"/>
          </w:tcPr>
          <w:p>
            <w:pPr>
              <w:spacing w:after="20" w:before="20" w:line="240" w:lineRule="auto"/>
            </w:pPr>
            <w:r/>
            <w:r>
              <w:rPr>
                <w:sz w:val="18"/>
              </w:rPr>
              <w:t>ModuleNotFoundError: No module named ctrp (in the notebook)</w:t>
            </w:r>
          </w:p>
        </w:tc>
        <w:tc>
          <w:tcPr>
            <w:tcW w:type="dxa" w:w="6023"/>
          </w:tcPr>
          <w:p>
            <w:pPr>
              <w:spacing w:after="20" w:before="20" w:line="240" w:lineRule="auto"/>
            </w:pPr>
            <w:r/>
            <w:r>
              <w:rPr>
                <w:sz w:val="18"/>
              </w:rPr>
              <w:t>Run the setup in 7.1, or open the notebook from the notebooks/ folder so it can find ../src.</w:t>
            </w:r>
          </w:p>
        </w:tc>
      </w:tr>
      <w:tr>
        <w:tc>
          <w:tcPr>
            <w:tcW w:type="dxa" w:w="3728"/>
          </w:tcPr>
          <w:p>
            <w:pPr>
              <w:spacing w:after="20" w:before="20" w:line="240" w:lineRule="auto"/>
            </w:pPr>
            <w:r/>
            <w:r>
              <w:rPr>
                <w:sz w:val="18"/>
              </w:rPr>
              <w:t>FileNotFoundError: data/...</w:t>
            </w:r>
          </w:p>
        </w:tc>
        <w:tc>
          <w:tcPr>
            <w:tcW w:type="dxa" w:w="6023"/>
          </w:tcPr>
          <w:p>
            <w:pPr>
              <w:spacing w:after="20" w:before="20" w:line="240" w:lineRule="auto"/>
            </w:pPr>
            <w:r/>
            <w:r>
              <w:rPr>
                <w:sz w:val="18"/>
              </w:rPr>
              <w:t xml:space="preserve">The CSV is not in </w:t>
            </w:r>
            <w:r>
              <w:rPr>
                <w:rFonts w:ascii="Consolas" w:hAnsi="Consolas"/>
                <w:sz w:val="18"/>
              </w:rPr>
              <w:t>data/</w:t>
            </w:r>
            <w:r>
              <w:rPr>
                <w:sz w:val="18"/>
              </w:rPr>
              <w:t xml:space="preserve"> or has a different name. Check the name matches the query file.</w:t>
            </w:r>
          </w:p>
        </w:tc>
      </w:tr>
      <w:tr>
        <w:tc>
          <w:tcPr>
            <w:tcW w:type="dxa" w:w="3728"/>
          </w:tcPr>
          <w:p>
            <w:pPr>
              <w:spacing w:after="20" w:before="20" w:line="240" w:lineRule="auto"/>
            </w:pPr>
            <w:r/>
            <w:r>
              <w:rPr>
                <w:sz w:val="18"/>
              </w:rPr>
              <w:t>ValueError: more than one row for some TINs</w:t>
            </w:r>
          </w:p>
        </w:tc>
        <w:tc>
          <w:tcPr>
            <w:tcW w:type="dxa" w:w="6023"/>
          </w:tcPr>
          <w:p>
            <w:pPr>
              <w:spacing w:after="20" w:before="20" w:line="240" w:lineRule="auto"/>
            </w:pPr>
            <w:r/>
            <w:r>
              <w:rPr>
                <w:sz w:val="18"/>
              </w:rPr>
              <w:t>The download is wrong (the query was changed or run twice). Re-run the query and download again.</w:t>
            </w:r>
          </w:p>
        </w:tc>
      </w:tr>
      <w:tr>
        <w:tc>
          <w:tcPr>
            <w:tcW w:type="dxa" w:w="3728"/>
          </w:tcPr>
          <w:p>
            <w:pPr>
              <w:spacing w:after="20" w:before="20" w:line="240" w:lineRule="auto"/>
            </w:pPr>
            <w:r/>
            <w:r>
              <w:rPr>
                <w:sz w:val="18"/>
              </w:rPr>
              <w:t>PermissionError when writing an .xlsx</w:t>
            </w:r>
          </w:p>
        </w:tc>
        <w:tc>
          <w:tcPr>
            <w:tcW w:type="dxa" w:w="6023"/>
          </w:tcPr>
          <w:p>
            <w:pPr>
              <w:spacing w:after="20" w:before="20" w:line="240" w:lineRule="auto"/>
            </w:pPr>
            <w:r/>
            <w:r>
              <w:rPr>
                <w:sz w:val="18"/>
              </w:rPr>
              <w:t>The workbook is open in Excel. Close it and run again.</w:t>
            </w:r>
          </w:p>
        </w:tc>
      </w:tr>
      <w:tr>
        <w:tc>
          <w:tcPr>
            <w:tcW w:type="dxa" w:w="3728"/>
          </w:tcPr>
          <w:p>
            <w:pPr>
              <w:spacing w:after="20" w:before="20" w:line="240" w:lineRule="auto"/>
            </w:pPr>
            <w:r/>
            <w:r>
              <w:rPr>
                <w:sz w:val="18"/>
              </w:rPr>
              <w:t>check shows "rows not a round cut-off" as CHECK</w:t>
            </w:r>
          </w:p>
        </w:tc>
        <w:tc>
          <w:tcPr>
            <w:tcW w:type="dxa" w:w="6023"/>
          </w:tcPr>
          <w:p>
            <w:pPr>
              <w:spacing w:after="20" w:before="20" w:line="240" w:lineRule="auto"/>
            </w:pPr>
            <w:r/>
            <w:r>
              <w:rPr>
                <w:sz w:val="18"/>
              </w:rPr>
              <w:t>Hue may have cut the download. Download again, making sure you take all rows.</w:t>
            </w:r>
          </w:p>
        </w:tc>
      </w:tr>
      <w:tr>
        <w:tc>
          <w:tcPr>
            <w:tcW w:type="dxa" w:w="3728"/>
          </w:tcPr>
          <w:p>
            <w:pPr>
              <w:spacing w:after="20" w:before="20" w:line="240" w:lineRule="auto"/>
            </w:pPr>
            <w:r/>
            <w:r>
              <w:rPr>
                <w:sz w:val="18"/>
              </w:rPr>
              <w:t>A test fails after you changed something</w:t>
            </w:r>
          </w:p>
        </w:tc>
        <w:tc>
          <w:tcPr>
            <w:tcW w:type="dxa" w:w="6023"/>
          </w:tcPr>
          <w:p>
            <w:pPr>
              <w:spacing w:after="20" w:before="20" w:line="240" w:lineRule="auto"/>
            </w:pPr>
            <w:r/>
            <w:r>
              <w:rPr>
                <w:sz w:val="18"/>
              </w:rPr>
              <w:t>The change broke a promise the model makes (the test name says which). Fix it before scoring.</w:t>
            </w:r>
          </w:p>
        </w:tc>
      </w:tr>
    </w:tbl>
    <w:p>
      <w:pPr>
        <w:spacing w:after="40"/>
      </w:pPr>
    </w:p>
    <w:p>
      <w:pPr>
        <w:pStyle w:val="Heading2"/>
      </w:pPr>
      <w:r>
        <w:t>7.9 History Since 2017: the Long Run</w:t>
      </w:r>
    </w:p>
    <w:p>
      <w:pPr>
        <w:spacing w:after="120"/>
      </w:pPr>
      <w:r>
        <w:t>Hue stops a query after about 30 minutes and a download at 100,000 rows. The full feature query for one date takes about 30 minutes, so the history since 2014 comes from a lighter query: one row per taxpayer per half-year, with counts that add up exactly. It runs as 12 one-year pieces, each well under the row limit.</w:t>
      </w:r>
    </w:p>
    <w:p>
      <w:pPr>
        <w:pStyle w:val="ListParagraph"/>
        <w:numPr>
          <w:ilvl w:val="0"/>
          <w:numId w:val="910"/>
        </w:numPr>
        <w:spacing w:after="60"/>
      </w:pPr>
      <w:r>
        <w:t xml:space="preserve">Run </w:t>
      </w:r>
      <w:r>
        <w:rPr>
          <w:rFonts w:ascii="Consolas" w:hAnsi="Consolas"/>
        </w:rPr>
        <w:t>python main.py sql --long-run</w:t>
      </w:r>
      <w:r>
        <w:t xml:space="preserve">. The pieces are written to </w:t>
      </w:r>
      <w:r>
        <w:rPr>
          <w:rFonts w:ascii="Consolas" w:hAnsi="Consolas"/>
        </w:rPr>
        <w:t>sql/long_run/if_too_big/</w:t>
      </w:r>
      <w:r>
        <w:t xml:space="preserve"> (and half-year pieces to </w:t>
      </w:r>
      <w:r>
        <w:rPr>
          <w:rFonts w:ascii="Consolas" w:hAnsi="Consolas"/>
        </w:rPr>
        <w:t>sql/long_run/if_still_too_big/</w:t>
      </w:r>
      <w:r>
        <w:t xml:space="preserve"> for any year that still reaches 100,000 rows).</w:t>
      </w:r>
    </w:p>
    <w:p>
      <w:pPr>
        <w:pStyle w:val="ListParagraph"/>
        <w:numPr>
          <w:ilvl w:val="0"/>
          <w:numId w:val="910"/>
        </w:numPr>
        <w:spacing w:after="60"/>
      </w:pPr>
      <w:r>
        <w:t xml:space="preserve">Run each piece in Hue as one statement, stay on the tab, and save the result as </w:t>
      </w:r>
      <w:r>
        <w:rPr>
          <w:rFonts w:ascii="Consolas" w:hAnsi="Consolas"/>
        </w:rPr>
        <w:t>data/long_run/long_run_&lt;year&gt;.csv</w:t>
      </w:r>
      <w:r>
        <w:t>.</w:t>
      </w:r>
    </w:p>
    <w:p>
      <w:pPr>
        <w:pStyle w:val="ListParagraph"/>
        <w:numPr>
          <w:ilvl w:val="0"/>
          <w:numId w:val="910"/>
        </w:numPr>
        <w:spacing w:after="60"/>
      </w:pPr>
      <w:r>
        <w:t xml:space="preserve">Run </w:t>
      </w:r>
      <w:r>
        <w:rPr>
          <w:rFonts w:ascii="Consolas" w:hAnsi="Consolas"/>
        </w:rPr>
        <w:t>python main.py long-run</w:t>
      </w:r>
      <w:r>
        <w:t>. It refuses any file that stopped at exactly 100,000 rows, builds a snapshot for every date (</w:t>
      </w:r>
      <w:r>
        <w:rPr>
          <w:rFonts w:ascii="Consolas" w:hAnsi="Consolas"/>
        </w:rPr>
        <w:t>data/long_run/lr_&lt;date&gt;.csv</w:t>
      </w:r>
      <w:r>
        <w:t xml:space="preserve">) and copies the yearly counts into the full extracts in </w:t>
      </w:r>
      <w:r>
        <w:rPr>
          <w:rFonts w:ascii="Consolas" w:hAnsi="Consolas"/>
        </w:rPr>
        <w:t>data/</w:t>
      </w:r>
      <w:r>
        <w:t xml:space="preserve"> so the model can weight recent years.</w:t>
      </w:r>
    </w:p>
    <w:p>
      <w:pPr>
        <w:pStyle w:val="ListParagraph"/>
        <w:numPr>
          <w:ilvl w:val="0"/>
          <w:numId w:val="910"/>
        </w:numPr>
        <w:spacing w:after="60"/>
      </w:pPr>
      <w:r>
        <w:t xml:space="preserve">Run </w:t>
      </w:r>
      <w:r>
        <w:rPr>
          <w:rFonts w:ascii="Consolas" w:hAnsi="Consolas"/>
        </w:rPr>
        <w:t>python main.py performance --long-run</w:t>
      </w:r>
      <w:r>
        <w:t xml:space="preserve"> for the nine-year results (</w:t>
      </w:r>
      <w:r>
        <w:rPr>
          <w:rFonts w:ascii="Consolas" w:hAnsi="Consolas"/>
        </w:rPr>
        <w:t>results/CTRP_performance_since_2017.xlsx</w:t>
      </w:r>
      <w:r>
        <w:t>).</w:t>
      </w:r>
    </w:p>
    <w:p>
      <w:pPr>
        <w:pStyle w:val="Heading2"/>
      </w:pPr>
      <w:r>
        <w:t>7.10 The Blind Review of Track B</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python main.py review results/CTRP_scores_2026-09-30.xlsx --blind 25    # query + key</w:t>
            </w:r>
          </w:p>
          <w:p>
            <w:pPr>
              <w:spacing w:after="0" w:line="240" w:lineRule="auto"/>
            </w:pPr>
            <w:r>
              <w:rPr>
                <w:rFonts w:ascii="Consolas" w:hAnsi="Consolas"/>
                <w:sz w:val="18"/>
              </w:rPr>
              <w:t>python main.py blind-pack data/evidence/blind_2026-09-30.csv sql/review/blind_2026-09-30_KEY.csv</w:t>
            </w:r>
          </w:p>
        </w:tc>
      </w:tr>
    </w:tbl>
    <w:p>
      <w:pPr>
        <w:spacing w:after="40"/>
      </w:pPr>
    </w:p>
    <w:p>
      <w:pPr>
        <w:spacing w:after="120"/>
      </w:pPr>
      <w:r>
        <w:t>The first command picks the top 25 flagged taxpayers and 25 unflagged ones from the same segments, mixes them under codes R01 to R50 and writes the evidence query and the key. Run the query in Hue, then the second command builds the officers' workbook with codes, entries and a verdict column, and nothing that says who was flagged. The key stays with Data Science until the verdicts are in (Part 10).</w:t>
      </w:r>
    </w:p>
    <w:p>
      <w:r>
        <w:br w:type="page"/>
      </w:r>
    </w:p>
    <w:p/>
    <w:p/>
    <w:p/>
    <w:p/>
    <w:p/>
    <w:p/>
    <w:p>
      <w:pPr>
        <w:pStyle w:val="Heading1"/>
      </w:pPr>
      <w:r>
        <w:t>PART 8: CHANGING THE MODEL SAFELY</w:t>
      </w:r>
    </w:p>
    <w:p>
      <w:pPr>
        <w:spacing w:after="120"/>
      </w:pPr>
      <w:r>
        <w:t>Where everything lives, the rules that keep changes safe and traceable, and step-by-step recipes for the changes you are most likely to make.</w:t>
      </w:r>
    </w:p>
    <w:p>
      <w:r>
        <w:br w:type="page"/>
      </w:r>
    </w:p>
    <w:p>
      <w:pPr>
        <w:pStyle w:val="Heading2"/>
      </w:pPr>
      <w:r>
        <w:t>8.1 Map of the Project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ctrp/</w:t>
            </w:r>
          </w:p>
          <w:p>
            <w:pPr>
              <w:spacing w:after="0" w:line="240" w:lineRule="auto"/>
            </w:pPr>
            <w:r>
              <w:rPr>
                <w:rFonts w:ascii="Consolas" w:hAnsi="Consolas"/>
                <w:sz w:val="18"/>
              </w:rPr>
              <w:t>|-- README.md, LICENSE, .gitignore</w:t>
            </w:r>
          </w:p>
          <w:p>
            <w:pPr>
              <w:spacing w:after="0" w:line="240" w:lineRule="auto"/>
            </w:pPr>
            <w:r>
              <w:rPr>
                <w:rFonts w:ascii="Consolas" w:hAnsi="Consolas"/>
                <w:sz w:val="18"/>
              </w:rPr>
              <w:t>|-- pyproject.toml          project metadata and build configuration</w:t>
            </w:r>
          </w:p>
          <w:p>
            <w:pPr>
              <w:spacing w:after="0" w:line="240" w:lineRule="auto"/>
            </w:pPr>
            <w:r>
              <w:rPr>
                <w:rFonts w:ascii="Consolas" w:hAnsi="Consolas"/>
                <w:sz w:val="18"/>
              </w:rPr>
              <w:t>|-- requirements.txt        the environment (includes the package itself)</w:t>
            </w:r>
          </w:p>
          <w:p>
            <w:pPr>
              <w:spacing w:after="0" w:line="240" w:lineRule="auto"/>
            </w:pPr>
            <w:r>
              <w:rPr>
                <w:rFonts w:ascii="Consolas" w:hAnsi="Consolas"/>
                <w:sz w:val="18"/>
              </w:rPr>
              <w:t>|-- main.py                 entry point: python main.py &lt;command&gt;</w:t>
            </w:r>
          </w:p>
          <w:p>
            <w:pPr>
              <w:spacing w:after="0" w:line="240" w:lineRule="auto"/>
            </w:pPr>
            <w:r>
              <w:rPr>
                <w:rFonts w:ascii="Consolas" w:hAnsi="Consolas"/>
                <w:sz w:val="18"/>
              </w:rPr>
              <w:t>|-- src/ctrp/               the importable package</w:t>
            </w:r>
          </w:p>
          <w:p>
            <w:pPr>
              <w:spacing w:after="0" w:line="240" w:lineRule="auto"/>
            </w:pPr>
            <w:r>
              <w:rPr>
                <w:rFonts w:ascii="Consolas" w:hAnsi="Consolas"/>
                <w:sz w:val="18"/>
              </w:rPr>
              <w:t>|   |-- __init__.py         public API: score_snapshot, load_extract, backtest</w:t>
            </w:r>
          </w:p>
          <w:p>
            <w:pPr>
              <w:spacing w:after="0" w:line="240" w:lineRule="auto"/>
            </w:pPr>
            <w:r>
              <w:rPr>
                <w:rFonts w:ascii="Consolas" w:hAnsi="Consolas"/>
                <w:sz w:val="18"/>
              </w:rPr>
              <w:t>|   |-- core.py             THE MODEL: settings, four layers, reasons, back-test</w:t>
            </w:r>
          </w:p>
          <w:p>
            <w:pPr>
              <w:spacing w:after="0" w:line="240" w:lineRule="auto"/>
            </w:pPr>
            <w:r>
              <w:rPr>
                <w:rFonts w:ascii="Consolas" w:hAnsi="Consolas"/>
                <w:sz w:val="18"/>
              </w:rPr>
              <w:t>|   |-- utils.py            paths, reading an extract, lift and other measures</w:t>
            </w:r>
          </w:p>
          <w:p>
            <w:pPr>
              <w:spacing w:after="0" w:line="240" w:lineRule="auto"/>
            </w:pPr>
            <w:r>
              <w:rPr>
                <w:rFonts w:ascii="Consolas" w:hAnsi="Consolas"/>
                <w:sz w:val="18"/>
              </w:rPr>
              <w:t>|   |-- report.py           the officers' Excel workbook</w:t>
            </w:r>
          </w:p>
          <w:p>
            <w:pPr>
              <w:spacing w:after="0" w:line="240" w:lineRule="auto"/>
            </w:pPr>
            <w:r>
              <w:rPr>
                <w:rFonts w:ascii="Consolas" w:hAnsi="Consolas"/>
                <w:sz w:val="18"/>
              </w:rPr>
              <w:t>|   |-- extract.py          Hue queries and the checks on each download</w:t>
            </w:r>
          </w:p>
          <w:p>
            <w:pPr>
              <w:spacing w:after="0" w:line="240" w:lineRule="auto"/>
            </w:pPr>
            <w:r>
              <w:rPr>
                <w:rFonts w:ascii="Consolas" w:hAnsi="Consolas"/>
                <w:sz w:val="18"/>
              </w:rPr>
              <w:t>|   |-- pipeline.py         score one file, back-test many</w:t>
            </w:r>
          </w:p>
          <w:p>
            <w:pPr>
              <w:spacing w:after="0" w:line="240" w:lineRule="auto"/>
            </w:pPr>
            <w:r>
              <w:rPr>
                <w:rFonts w:ascii="Consolas" w:hAnsi="Consolas"/>
                <w:sz w:val="18"/>
              </w:rPr>
              <w:t>|   |-- sql/features_outcomes.sql   the query, with @@DATE@@ placeholders</w:t>
            </w:r>
          </w:p>
          <w:p>
            <w:pPr>
              <w:spacing w:after="0" w:line="240" w:lineRule="auto"/>
            </w:pPr>
            <w:r>
              <w:rPr>
                <w:rFonts w:ascii="Consolas" w:hAnsi="Consolas"/>
                <w:sz w:val="18"/>
              </w:rPr>
              <w:t>|   +-- models/challengers.py       challengers and blends, compared fairly</w:t>
            </w:r>
          </w:p>
          <w:p>
            <w:pPr>
              <w:spacing w:after="0" w:line="240" w:lineRule="auto"/>
            </w:pPr>
            <w:r>
              <w:rPr>
                <w:rFonts w:ascii="Consolas" w:hAnsi="Consolas"/>
                <w:sz w:val="18"/>
              </w:rPr>
              <w:t>|-- tests/                  automatic tests on made-up data</w:t>
            </w:r>
          </w:p>
          <w:p>
            <w:pPr>
              <w:spacing w:after="0" w:line="240" w:lineRule="auto"/>
            </w:pPr>
            <w:r>
              <w:rPr>
                <w:rFonts w:ascii="Consolas" w:hAnsi="Consolas"/>
                <w:sz w:val="18"/>
              </w:rPr>
              <w:t>|-- notebooks/              CTRP_release1.ipynb and build_notebook.py</w:t>
            </w:r>
          </w:p>
          <w:p>
            <w:pPr>
              <w:spacing w:after="0" w:line="240" w:lineRule="auto"/>
            </w:pPr>
            <w:r>
              <w:rPr>
                <w:rFonts w:ascii="Consolas" w:hAnsi="Consolas"/>
                <w:sz w:val="18"/>
              </w:rPr>
              <w:t>|-- docs/                   DECISIONS.md, the Word documents, the research report, builders/</w:t>
            </w:r>
          </w:p>
          <w:p>
            <w:pPr>
              <w:spacing w:after="0" w:line="240" w:lineRule="auto"/>
            </w:pPr>
            <w:r>
              <w:rPr>
                <w:rFonts w:ascii="Consolas" w:hAnsi="Consolas"/>
                <w:sz w:val="18"/>
              </w:rPr>
              <w:t>|-- sql/                    generated queries; sql/analysis/ holds the Stage 1 checks</w:t>
            </w:r>
          </w:p>
          <w:p>
            <w:pPr>
              <w:spacing w:after="0" w:line="240" w:lineRule="auto"/>
            </w:pPr>
            <w:r>
              <w:rPr>
                <w:rFonts w:ascii="Consolas" w:hAnsi="Consolas"/>
                <w:sz w:val="18"/>
              </w:rPr>
              <w:t>|-- data/, results/         from Hue and outputs (contain TINs: never committed)</w:t>
            </w:r>
          </w:p>
          <w:p>
            <w:pPr>
              <w:spacing w:after="0" w:line="240" w:lineRule="auto"/>
            </w:pPr>
            <w:r>
              <w:rPr>
                <w:rFonts w:ascii="Consolas" w:hAnsi="Consolas"/>
                <w:sz w:val="18"/>
              </w:rPr>
              <w:t>+-- archive/                superseded scripts, kept for reference</w:t>
            </w:r>
          </w:p>
        </w:tc>
      </w:tr>
    </w:tbl>
    <w:p>
      <w:pPr>
        <w:spacing w:after="40"/>
      </w:pP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Why this layout?</w:t>
            </w:r>
          </w:p>
          <w:p>
            <w:pPr>
              <w:spacing w:after="60"/>
            </w:pPr>
            <w:r>
              <w:rPr>
                <w:sz w:val="20"/>
              </w:rPr>
              <w:t>It is the standard layout for Python projects. The model lives in one importable package (</w:t>
            </w:r>
            <w:r>
              <w:rPr>
                <w:rFonts w:ascii="Consolas" w:hAnsi="Consolas"/>
                <w:sz w:val="20"/>
              </w:rPr>
              <w:t>src/ctrp</w:t>
            </w:r>
            <w:r>
              <w:rPr>
                <w:sz w:val="20"/>
              </w:rPr>
              <w:t>), separate from the things that use it (main.py, the notebook, the tests). Anyone who knows Python will know where to look, and nothing can accidentally import a half-finished script.</w:t>
            </w:r>
          </w:p>
        </w:tc>
      </w:tr>
    </w:tbl>
    <w:p>
      <w:pPr>
        <w:spacing w:after="40"/>
      </w:pPr>
    </w:p>
    <w:p>
      <w:pPr>
        <w:pStyle w:val="Caption"/>
      </w:pPr>
      <w:r>
        <w:t xml:space="preserve">Table </w:t>
      </w:r>
      <w:r>
        <w:fldChar w:fldCharType="begin"/>
      </w:r>
      <w:r>
        <w:instrText xml:space="preserve"> SEQ Table \* ARABIC </w:instrText>
      </w:r>
      <w:r>
        <w:fldChar w:fldCharType="separate"/>
      </w:r>
      <w:r>
        <w:t>28</w:t>
      </w:r>
      <w:r>
        <w:fldChar w:fldCharType="end"/>
      </w:r>
      <w:r>
        <w:t>: Main Functions in src/ctrp/core.py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3442"/>
            <w:shd w:val="clear" w:color="auto" w:fill="D9E2F3"/>
          </w:tcPr>
          <w:p>
            <w:pPr>
              <w:spacing w:after="20" w:before="20" w:line="240" w:lineRule="auto"/>
            </w:pPr>
            <w:r/>
            <w:r>
              <w:rPr>
                <w:b/>
                <w:sz w:val="18"/>
              </w:rPr>
              <w:t>Function</w:t>
            </w:r>
          </w:p>
        </w:tc>
        <w:tc>
          <w:tcPr>
            <w:tcW w:type="dxa" w:w="6310"/>
            <w:shd w:val="clear" w:color="auto" w:fill="D9E2F3"/>
          </w:tcPr>
          <w:p>
            <w:pPr>
              <w:spacing w:after="20" w:before="20" w:line="240" w:lineRule="auto"/>
            </w:pPr>
            <w:r/>
            <w:r>
              <w:rPr>
                <w:b/>
                <w:sz w:val="18"/>
              </w:rPr>
              <w:t>Job</w:t>
            </w:r>
          </w:p>
        </w:tc>
      </w:tr>
      <w:tr>
        <w:tc>
          <w:tcPr>
            <w:tcW w:type="dxa" w:w="3442"/>
          </w:tcPr>
          <w:p>
            <w:pPr>
              <w:spacing w:after="20" w:before="20" w:line="240" w:lineRule="auto"/>
            </w:pPr>
            <w:r/>
            <w:r>
              <w:rPr>
                <w:sz w:val="18"/>
              </w:rPr>
              <w:t>derive(df)</w:t>
            </w:r>
          </w:p>
        </w:tc>
        <w:tc>
          <w:tcPr>
            <w:tcW w:type="dxa" w:w="6310"/>
          </w:tcPr>
          <w:p>
            <w:pPr>
              <w:spacing w:after="20" w:before="20" w:line="240" w:lineRule="auto"/>
            </w:pPr>
            <w:r/>
            <w:r>
              <w:rPr>
                <w:sz w:val="18"/>
              </w:rPr>
              <w:t>Adds computed measures (PAR_048 over final tax, PAR_105, PAR_023, logs) and applies the small-count weighting.</w:t>
            </w:r>
          </w:p>
        </w:tc>
      </w:tr>
      <w:tr>
        <w:tc>
          <w:tcPr>
            <w:tcW w:type="dxa" w:w="3442"/>
          </w:tcPr>
          <w:p>
            <w:pPr>
              <w:spacing w:after="20" w:before="20" w:line="240" w:lineRule="auto"/>
            </w:pPr>
            <w:r/>
            <w:r>
              <w:rPr>
                <w:sz w:val="18"/>
              </w:rPr>
              <w:t>scale(x, zero_at, one_at)</w:t>
            </w:r>
          </w:p>
        </w:tc>
        <w:tc>
          <w:tcPr>
            <w:tcW w:type="dxa" w:w="6310"/>
          </w:tcPr>
          <w:p>
            <w:pPr>
              <w:spacing w:after="20" w:before="20" w:line="240" w:lineRule="auto"/>
            </w:pPr>
            <w:r/>
            <w:r>
              <w:rPr>
                <w:sz w:val="18"/>
              </w:rPr>
              <w:t>The 0 to 1 ruler.</w:t>
            </w:r>
          </w:p>
        </w:tc>
      </w:tr>
      <w:tr>
        <w:tc>
          <w:tcPr>
            <w:tcW w:type="dxa" w:w="3442"/>
          </w:tcPr>
          <w:p>
            <w:pPr>
              <w:spacing w:after="20" w:before="20" w:line="240" w:lineRule="auto"/>
            </w:pPr>
            <w:r/>
            <w:r>
              <w:rPr>
                <w:sz w:val="18"/>
              </w:rPr>
              <w:t>layer2_scorecard(d)</w:t>
            </w:r>
          </w:p>
        </w:tc>
        <w:tc>
          <w:tcPr>
            <w:tcW w:type="dxa" w:w="6310"/>
          </w:tcPr>
          <w:p>
            <w:pPr>
              <w:spacing w:after="20" w:before="20" w:line="240" w:lineRule="auto"/>
            </w:pPr>
            <w:r/>
            <w:r>
              <w:rPr>
                <w:sz w:val="18"/>
              </w:rPr>
              <w:t>Points per parameter per taxpayer.</w:t>
            </w:r>
          </w:p>
        </w:tc>
      </w:tr>
      <w:tr>
        <w:tc>
          <w:tcPr>
            <w:tcW w:type="dxa" w:w="3442"/>
          </w:tcPr>
          <w:p>
            <w:pPr>
              <w:spacing w:after="20" w:before="20" w:line="240" w:lineRule="auto"/>
            </w:pPr>
            <w:r/>
            <w:r>
              <w:rPr>
                <w:sz w:val="18"/>
              </w:rPr>
              <w:t>layer1_peers(d, log)</w:t>
            </w:r>
          </w:p>
        </w:tc>
        <w:tc>
          <w:tcPr>
            <w:tcW w:type="dxa" w:w="6310"/>
          </w:tcPr>
          <w:p>
            <w:pPr>
              <w:spacing w:after="20" w:before="20" w:line="240" w:lineRule="auto"/>
            </w:pPr>
            <w:r/>
            <w:r>
              <w:rPr>
                <w:sz w:val="18"/>
              </w:rPr>
              <w:t>Main goods x size peer groups.</w:t>
            </w:r>
          </w:p>
        </w:tc>
      </w:tr>
      <w:tr>
        <w:tc>
          <w:tcPr>
            <w:tcW w:type="dxa" w:w="3442"/>
          </w:tcPr>
          <w:p>
            <w:pPr>
              <w:spacing w:after="20" w:before="20" w:line="240" w:lineRule="auto"/>
            </w:pPr>
            <w:r/>
            <w:r>
              <w:rPr>
                <w:sz w:val="18"/>
              </w:rPr>
              <w:t>layer3_pattern(d, peers, subtotal)</w:t>
            </w:r>
          </w:p>
        </w:tc>
        <w:tc>
          <w:tcPr>
            <w:tcW w:type="dxa" w:w="6310"/>
          </w:tcPr>
          <w:p>
            <w:pPr>
              <w:spacing w:after="20" w:before="20" w:line="240" w:lineRule="auto"/>
            </w:pPr>
            <w:r/>
            <w:r>
              <w:rPr>
                <w:sz w:val="18"/>
              </w:rPr>
              <w:t>Isolation Forest percentile within each peer group (for the note).</w:t>
            </w:r>
          </w:p>
        </w:tc>
      </w:tr>
      <w:tr>
        <w:tc>
          <w:tcPr>
            <w:tcW w:type="dxa" w:w="3442"/>
          </w:tcPr>
          <w:p>
            <w:pPr>
              <w:spacing w:after="20" w:before="20" w:line="240" w:lineRule="auto"/>
            </w:pPr>
            <w:r/>
            <w:r>
              <w:rPr>
                <w:sz w:val="18"/>
              </w:rPr>
              <w:t>build_reasons, build_notes</w:t>
            </w:r>
          </w:p>
        </w:tc>
        <w:tc>
          <w:tcPr>
            <w:tcW w:type="dxa" w:w="6310"/>
          </w:tcPr>
          <w:p>
            <w:pPr>
              <w:spacing w:after="20" w:before="20" w:line="240" w:lineRule="auto"/>
            </w:pPr>
            <w:r/>
            <w:r>
              <w:rPr>
                <w:sz w:val="18"/>
              </w:rPr>
              <w:t>The fixed sentences.</w:t>
            </w:r>
          </w:p>
        </w:tc>
      </w:tr>
      <w:tr>
        <w:tc>
          <w:tcPr>
            <w:tcW w:type="dxa" w:w="3442"/>
          </w:tcPr>
          <w:p>
            <w:pPr>
              <w:spacing w:after="20" w:before="20" w:line="240" w:lineRule="auto"/>
            </w:pPr>
            <w:r/>
            <w:r>
              <w:rPr>
                <w:sz w:val="18"/>
              </w:rPr>
              <w:t>score_snapshot(raw)</w:t>
            </w:r>
          </w:p>
        </w:tc>
        <w:tc>
          <w:tcPr>
            <w:tcW w:type="dxa" w:w="6310"/>
          </w:tcPr>
          <w:p>
            <w:pPr>
              <w:spacing w:after="20" w:before="20" w:line="240" w:lineRule="auto"/>
            </w:pPr>
            <w:r/>
            <w:r>
              <w:rPr>
                <w:sz w:val="18"/>
              </w:rPr>
              <w:t>Runs everything; returns scores, reasons and parameter values.</w:t>
            </w:r>
          </w:p>
        </w:tc>
      </w:tr>
      <w:tr>
        <w:tc>
          <w:tcPr>
            <w:tcW w:type="dxa" w:w="3442"/>
          </w:tcPr>
          <w:p>
            <w:pPr>
              <w:spacing w:after="20" w:before="20" w:line="240" w:lineRule="auto"/>
            </w:pPr>
            <w:r/>
            <w:r>
              <w:rPr>
                <w:sz w:val="18"/>
              </w:rPr>
              <w:t>backtest(result, raw)</w:t>
            </w:r>
          </w:p>
        </w:tc>
        <w:tc>
          <w:tcPr>
            <w:tcW w:type="dxa" w:w="6310"/>
          </w:tcPr>
          <w:p>
            <w:pPr>
              <w:spacing w:after="20" w:before="20" w:line="240" w:lineRule="auto"/>
            </w:pPr>
            <w:r/>
            <w:r>
              <w:rPr>
                <w:sz w:val="18"/>
              </w:rPr>
              <w:t>Lift of the model and the baseline against what happened next.</w:t>
            </w:r>
          </w:p>
        </w:tc>
      </w:tr>
      <w:tr>
        <w:tc>
          <w:tcPr>
            <w:tcW w:type="dxa" w:w="3442"/>
          </w:tcPr>
          <w:p>
            <w:pPr>
              <w:spacing w:after="20" w:before="20" w:line="240" w:lineRule="auto"/>
            </w:pPr>
            <w:r/>
            <w:r>
              <w:rPr>
                <w:sz w:val="18"/>
              </w:rPr>
              <w:t>load_extract(path) (in utils.py)</w:t>
            </w:r>
          </w:p>
        </w:tc>
        <w:tc>
          <w:tcPr>
            <w:tcW w:type="dxa" w:w="6310"/>
          </w:tcPr>
          <w:p>
            <w:pPr>
              <w:spacing w:after="20" w:before="20" w:line="240" w:lineRule="auto"/>
            </w:pPr>
            <w:r/>
            <w:r>
              <w:rPr>
                <w:sz w:val="18"/>
              </w:rPr>
              <w:t>Reads a CSV, keeps TINs as text, refuses duplicate TINs.</w:t>
            </w:r>
          </w:p>
        </w:tc>
      </w:tr>
    </w:tbl>
    <w:p>
      <w:pPr>
        <w:spacing w:after="40"/>
      </w:pPr>
    </w:p>
    <w:p>
      <w:pPr>
        <w:pStyle w:val="Heading2"/>
      </w:pPr>
      <w:r>
        <w:t>8.2 The Golden Rules</w:t>
      </w:r>
    </w:p>
    <w:p>
      <w:pPr>
        <w:pStyle w:val="ListParagraph"/>
        <w:numPr>
          <w:ilvl w:val="0"/>
          <w:numId w:val="911"/>
        </w:numPr>
        <w:spacing w:after="60"/>
      </w:pPr>
      <w:r>
        <w:t xml:space="preserve">Change settings only in the SETTINGS block of </w:t>
      </w:r>
      <w:r>
        <w:rPr>
          <w:rFonts w:ascii="Consolas" w:hAnsi="Consolas"/>
        </w:rPr>
        <w:t>src/ctrp/core.py</w:t>
      </w:r>
      <w:r>
        <w:t>, never further down.</w:t>
      </w:r>
    </w:p>
    <w:p>
      <w:pPr>
        <w:pStyle w:val="ListParagraph"/>
        <w:numPr>
          <w:ilvl w:val="0"/>
          <w:numId w:val="911"/>
        </w:numPr>
        <w:spacing w:after="60"/>
      </w:pPr>
      <w:r>
        <w:t>Raise MODEL_VERSION (for example 1.0.0-dev4 to 1.0.0-dev5) whenever a change can move a score.</w:t>
      </w:r>
    </w:p>
    <w:p>
      <w:pPr>
        <w:pStyle w:val="ListParagraph"/>
        <w:numPr>
          <w:ilvl w:val="0"/>
          <w:numId w:val="911"/>
        </w:numPr>
        <w:spacing w:after="60"/>
      </w:pPr>
      <w:r>
        <w:t xml:space="preserve">Run </w:t>
      </w:r>
      <w:r>
        <w:rPr>
          <w:rFonts w:ascii="Consolas" w:hAnsi="Consolas"/>
        </w:rPr>
        <w:t>python main.py test</w:t>
      </w:r>
      <w:r>
        <w:t>. Every test must pass.</w:t>
      </w:r>
    </w:p>
    <w:p>
      <w:pPr>
        <w:pStyle w:val="ListParagraph"/>
        <w:numPr>
          <w:ilvl w:val="0"/>
          <w:numId w:val="911"/>
        </w:numPr>
        <w:spacing w:after="60"/>
      </w:pPr>
      <w:r>
        <w:t xml:space="preserve">Run </w:t>
      </w:r>
      <w:r>
        <w:rPr>
          <w:rFonts w:ascii="Consolas" w:hAnsi="Consolas"/>
        </w:rPr>
        <w:t>python main.py backtest</w:t>
      </w:r>
      <w:r>
        <w:t xml:space="preserve"> and compare with the previous version on lift, hits caught, revenue caught and small-trader share, in every snapshot.</w:t>
      </w:r>
    </w:p>
    <w:p>
      <w:pPr>
        <w:pStyle w:val="ListParagraph"/>
        <w:numPr>
          <w:ilvl w:val="0"/>
          <w:numId w:val="911"/>
        </w:numPr>
        <w:spacing w:after="60"/>
      </w:pPr>
      <w:r>
        <w:t xml:space="preserve">Record the decision in </w:t>
      </w:r>
      <w:r>
        <w:rPr>
          <w:rFonts w:ascii="Consolas" w:hAnsi="Consolas"/>
        </w:rPr>
        <w:t>docs/DECISIONS.md</w:t>
      </w:r>
      <w:r>
        <w:t xml:space="preserve"> with its evidence, then </w:t>
      </w:r>
      <w:r>
        <w:rPr>
          <w:rFonts w:ascii="Consolas" w:hAnsi="Consolas"/>
        </w:rPr>
        <w:t>python main.py docs</w:t>
      </w:r>
      <w:r>
        <w:t>.</w:t>
      </w:r>
    </w:p>
    <w:p>
      <w:pPr>
        <w:pStyle w:val="ListParagraph"/>
        <w:numPr>
          <w:ilvl w:val="0"/>
          <w:numId w:val="911"/>
        </w:numPr>
        <w:spacing w:after="60"/>
      </w:pPr>
      <w:r>
        <w:t>Never put TINs, data or results in a shared repository (the .gitignore keeps them out).</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The fingerprint</w:t>
            </w:r>
          </w:p>
          <w:p>
            <w:pPr>
              <w:spacing w:after="60"/>
            </w:pPr>
            <w:r>
              <w:rPr>
                <w:sz w:val="20"/>
              </w:rPr>
              <w:t>Every output carries a 10-character settings fingerprint. It is computed from every setting, so if anyone changes a threshold, the fingerprint changes. Two workbooks with the same fingerprint were produced by exactly the same settings.</w:t>
            </w:r>
          </w:p>
        </w:tc>
      </w:tr>
    </w:tbl>
    <w:p>
      <w:pPr>
        <w:spacing w:after="40"/>
      </w:pPr>
    </w:p>
    <w:p>
      <w:pPr>
        <w:pStyle w:val="Heading2"/>
      </w:pPr>
      <w:r>
        <w:t>8.3 The Automatic Tests</w:t>
      </w:r>
    </w:p>
    <w:p>
      <w:pPr>
        <w:spacing w:after="120"/>
      </w:pPr>
      <w:r>
        <w:t xml:space="preserve">The tests in </w:t>
      </w:r>
      <w:r>
        <w:rPr>
          <w:rFonts w:ascii="Consolas" w:hAnsi="Consolas"/>
        </w:rPr>
        <w:t>tests/</w:t>
      </w:r>
      <w:r>
        <w:t xml:space="preserve"> run the model on made-up taxpayers (never real data) and check the promises it makes. If a change breaks one, the test says which.</w:t>
      </w:r>
    </w:p>
    <w:p>
      <w:pPr>
        <w:pStyle w:val="Caption"/>
      </w:pPr>
      <w:r>
        <w:t xml:space="preserve">Table </w:t>
      </w:r>
      <w:r>
        <w:fldChar w:fldCharType="begin"/>
      </w:r>
      <w:r>
        <w:instrText xml:space="preserve"> SEQ Table \* ARABIC </w:instrText>
      </w:r>
      <w:r>
        <w:fldChar w:fldCharType="separate"/>
      </w:r>
      <w:r>
        <w:t>29</w:t>
      </w:r>
      <w:r>
        <w:fldChar w:fldCharType="end"/>
      </w:r>
      <w:r>
        <w:t>: What the Tests Check</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File</w:t>
            </w:r>
          </w:p>
        </w:tc>
        <w:tc>
          <w:tcPr>
            <w:tcW w:type="dxa" w:w="7457"/>
            <w:shd w:val="clear" w:color="auto" w:fill="D9E2F3"/>
          </w:tcPr>
          <w:p>
            <w:pPr>
              <w:spacing w:after="20" w:before="20" w:line="240" w:lineRule="auto"/>
            </w:pPr>
            <w:r/>
            <w:r>
              <w:rPr>
                <w:b/>
                <w:sz w:val="18"/>
              </w:rPr>
              <w:t>Promises checked</w:t>
            </w:r>
          </w:p>
        </w:tc>
      </w:tr>
      <w:tr>
        <w:tc>
          <w:tcPr>
            <w:tcW w:type="dxa" w:w="2294"/>
          </w:tcPr>
          <w:p>
            <w:pPr>
              <w:spacing w:after="20" w:before="20" w:line="240" w:lineRule="auto"/>
            </w:pPr>
            <w:r/>
            <w:r>
              <w:rPr>
                <w:sz w:val="18"/>
              </w:rPr>
              <w:t>test_core.py</w:t>
            </w:r>
          </w:p>
        </w:tc>
        <w:tc>
          <w:tcPr>
            <w:tcW w:type="dxa" w:w="7457"/>
          </w:tcPr>
          <w:p>
            <w:pPr>
              <w:spacing w:after="20" w:before="20" w:line="240" w:lineRule="auto"/>
            </w:pPr>
            <w:r/>
            <w:r>
              <w:rPr>
                <w:sz w:val="18"/>
              </w:rPr>
              <w:t>The ruler is 0 below the minimum risk level and 1 at the maximum; band edges; the small-count weighting only lowers; weights add to 100 and missing parameters are reweighted; scoring is repeatable; the pattern check adds no points; every reason has points; the fingerprint changes with a setting</w:t>
            </w:r>
          </w:p>
        </w:tc>
      </w:tr>
      <w:tr>
        <w:tc>
          <w:tcPr>
            <w:tcW w:type="dxa" w:w="2294"/>
          </w:tcPr>
          <w:p>
            <w:pPr>
              <w:spacing w:after="20" w:before="20" w:line="240" w:lineRule="auto"/>
            </w:pPr>
            <w:r/>
            <w:r>
              <w:rPr>
                <w:sz w:val="18"/>
              </w:rPr>
              <w:t>test_utils.py</w:t>
            </w:r>
          </w:p>
        </w:tc>
        <w:tc>
          <w:tcPr>
            <w:tcW w:type="dxa" w:w="7457"/>
          </w:tcPr>
          <w:p>
            <w:pPr>
              <w:spacing w:after="20" w:before="20" w:line="240" w:lineRule="auto"/>
            </w:pPr>
            <w:r/>
            <w:r>
              <w:rPr>
                <w:sz w:val="18"/>
              </w:rPr>
              <w:t>Lift of a perfect ranking beats random; lift of everyone is 1; TINs stay text; duplicate TINs are refused</w:t>
            </w:r>
          </w:p>
        </w:tc>
      </w:tr>
      <w:tr>
        <w:tc>
          <w:tcPr>
            <w:tcW w:type="dxa" w:w="2294"/>
          </w:tcPr>
          <w:p>
            <w:pPr>
              <w:spacing w:after="20" w:before="20" w:line="240" w:lineRule="auto"/>
            </w:pPr>
            <w:r/>
            <w:r>
              <w:rPr>
                <w:sz w:val="18"/>
              </w:rPr>
              <w:t>test_report.py</w:t>
            </w:r>
          </w:p>
        </w:tc>
        <w:tc>
          <w:tcPr>
            <w:tcW w:type="dxa" w:w="7457"/>
          </w:tcPr>
          <w:p>
            <w:pPr>
              <w:spacing w:after="20" w:before="20" w:line="240" w:lineRule="auto"/>
            </w:pPr>
            <w:r/>
            <w:r>
              <w:rPr>
                <w:sz w:val="18"/>
              </w:rPr>
              <w:t>The workbook has the agreed sheets in the agreed order</w:t>
            </w:r>
          </w:p>
        </w:tc>
      </w:tr>
      <w:tr>
        <w:tc>
          <w:tcPr>
            <w:tcW w:type="dxa" w:w="2294"/>
          </w:tcPr>
          <w:p>
            <w:pPr>
              <w:spacing w:after="20" w:before="20" w:line="240" w:lineRule="auto"/>
            </w:pPr>
            <w:r/>
            <w:r>
              <w:rPr>
                <w:sz w:val="18"/>
              </w:rPr>
              <w:t>test_extract.py</w:t>
            </w:r>
          </w:p>
        </w:tc>
        <w:tc>
          <w:tcPr>
            <w:tcW w:type="dxa" w:w="7457"/>
          </w:tcPr>
          <w:p>
            <w:pPr>
              <w:spacing w:after="20" w:before="20" w:line="240" w:lineRule="auto"/>
            </w:pPr>
            <w:r/>
            <w:r>
              <w:rPr>
                <w:sz w:val="18"/>
              </w:rPr>
              <w:t>Query dates are right and no placeholder is left; a clean download passes every check</w:t>
            </w:r>
          </w:p>
        </w:tc>
      </w:tr>
      <w:tr>
        <w:tc>
          <w:tcPr>
            <w:tcW w:type="dxa" w:w="2294"/>
          </w:tcPr>
          <w:p>
            <w:pPr>
              <w:spacing w:after="20" w:before="20" w:line="240" w:lineRule="auto"/>
            </w:pPr>
            <w:r/>
            <w:r>
              <w:rPr>
                <w:sz w:val="18"/>
              </w:rPr>
              <w:t>test_challengers.py</w:t>
            </w:r>
          </w:p>
        </w:tc>
        <w:tc>
          <w:tcPr>
            <w:tcW w:type="dxa" w:w="7457"/>
          </w:tcPr>
          <w:p>
            <w:pPr>
              <w:spacing w:after="20" w:before="20" w:line="240" w:lineRule="auto"/>
            </w:pPr>
            <w:r/>
            <w:r>
              <w:rPr>
                <w:sz w:val="18"/>
              </w:rPr>
              <w:t>The comparison runs every model and blend</w:t>
            </w:r>
          </w:p>
        </w:tc>
      </w:tr>
    </w:tbl>
    <w:p>
      <w:pPr>
        <w:spacing w:after="40"/>
      </w:pPr>
    </w:p>
    <w:p>
      <w:pPr>
        <w:pStyle w:val="Heading2"/>
      </w:pPr>
      <w:r>
        <w:t>8.4 Recipe: Change a Threshold</w:t>
      </w:r>
    </w:p>
    <w:p>
      <w:pPr>
        <w:spacing w:after="120"/>
      </w:pPr>
      <w:r>
        <w:t xml:space="preserve">Find the parameter in PARAMS (in </w:t>
      </w:r>
      <w:r>
        <w:rPr>
          <w:rFonts w:ascii="Consolas" w:hAnsi="Consolas"/>
        </w:rPr>
        <w:t>src/ctrp/core.py</w:t>
      </w:r>
      <w:r>
        <w:t>) and change zero_at (minimum risk level) or one_at (maximum). For example, to test a 35% maximum for PAR_045T: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dict(code='PAR_045T', col='top_up_entry_rate', zero_at=0.03, one_at=0.35, L=5, I=5, ...</w:t>
            </w:r>
          </w:p>
        </w:tc>
      </w:tr>
    </w:tbl>
    <w:p>
      <w:pPr>
        <w:spacing w:after="40"/>
      </w:pPr>
    </w:p>
    <w:p>
      <w:pPr>
        <w:spacing w:after="120"/>
      </w:pPr>
      <w:r>
        <w:t>Then raise MODEL_VERSION, run the tests and the back-test, and compare. The reason sentence updates itself because it reads the thresholds.</w:t>
      </w:r>
    </w:p>
    <w:p>
      <w:pPr>
        <w:pStyle w:val="Heading2"/>
      </w:pPr>
      <w:r>
        <w:t>8.5 Recipe: Change a Weight</w:t>
      </w:r>
    </w:p>
    <w:p>
      <w:pPr>
        <w:spacing w:after="120"/>
      </w:pPr>
      <w:r>
        <w:t>Change L or I for the parameter. Weights are always L x I divided by the total, so changing one parameter changes everyone's share. A parameter with L of 2 or less is not scored at all (context only).</w:t>
      </w:r>
    </w:p>
    <w:p>
      <w:pPr>
        <w:pStyle w:val="Heading2"/>
      </w:pPr>
      <w:r>
        <w:t>8.6 Recipe: Try the Officers' Thresholds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from ctrp import core as M</w:t>
            </w:r>
          </w:p>
          <w:p>
            <w:pPr>
              <w:spacing w:after="0" w:line="240" w:lineRule="auto"/>
            </w:pPr>
            <w:r>
              <w:rPr>
                <w:rFonts w:ascii="Consolas" w:hAnsi="Consolas"/>
                <w:sz w:val="18"/>
              </w:rPr>
              <w:t>M.set_profile('officers_andrew')     # or 'officers_judith', 'adopted'</w:t>
            </w:r>
          </w:p>
          <w:p>
            <w:pPr>
              <w:spacing w:after="0" w:line="240" w:lineRule="auto"/>
            </w:pPr>
            <w:r>
              <w:rPr>
                <w:rFonts w:ascii="Consolas" w:hAnsi="Consolas"/>
                <w:sz w:val="18"/>
              </w:rPr>
              <w:t>result = M.score_snapshot(M.load_extract("data/bt_2026-03-31.csv"))</w:t>
            </w:r>
          </w:p>
        </w:tc>
      </w:tr>
    </w:tbl>
    <w:p>
      <w:pPr>
        <w:spacing w:after="40"/>
      </w:pPr>
    </w:p>
    <w:p>
      <w:pPr>
        <w:pStyle w:val="Heading2"/>
      </w:pPr>
      <w:r>
        <w:t>8.7 Recipe: Add a New Parameter</w:t>
      </w:r>
    </w:p>
    <w:p>
      <w:pPr>
        <w:pStyle w:val="ListParagraph"/>
        <w:numPr>
          <w:ilvl w:val="0"/>
          <w:numId w:val="912"/>
        </w:numPr>
        <w:spacing w:after="60"/>
      </w:pPr>
      <w:r>
        <w:t xml:space="preserve">Add the column to the final SELECT in </w:t>
      </w:r>
      <w:r>
        <w:rPr>
          <w:rFonts w:ascii="Consolas" w:hAnsi="Consolas"/>
        </w:rPr>
        <w:t>src/ctrp/sql/features_outcomes.sql</w:t>
      </w:r>
      <w:r>
        <w:t xml:space="preserve"> (build it in a new step if needed). Do not put semicolons in comments.</w:t>
      </w:r>
    </w:p>
    <w:p>
      <w:pPr>
        <w:pStyle w:val="ListParagraph"/>
        <w:numPr>
          <w:ilvl w:val="0"/>
          <w:numId w:val="912"/>
        </w:numPr>
        <w:spacing w:after="60"/>
      </w:pPr>
      <w:r>
        <w:t xml:space="preserve">Run </w:t>
      </w:r>
      <w:r>
        <w:rPr>
          <w:rFonts w:ascii="Consolas" w:hAnsi="Consolas"/>
        </w:rPr>
        <w:t>python main.py sql</w:t>
      </w:r>
      <w:r>
        <w:t>, re-run the queries in Hue and download the CSVs again.</w:t>
      </w:r>
    </w:p>
    <w:p>
      <w:pPr>
        <w:pStyle w:val="ListParagraph"/>
        <w:numPr>
          <w:ilvl w:val="0"/>
          <w:numId w:val="912"/>
        </w:numPr>
        <w:spacing w:after="60"/>
      </w:pPr>
      <w:r>
        <w:t xml:space="preserve">If it is a rate between 0 and 1, add its column name to RATES in </w:t>
      </w:r>
      <w:r>
        <w:rPr>
          <w:rFonts w:ascii="Consolas" w:hAnsi="Consolas"/>
        </w:rPr>
        <w:t>src/ctrp/extract.py</w:t>
      </w:r>
      <w:r>
        <w:t xml:space="preserve">; run </w:t>
      </w:r>
      <w:r>
        <w:rPr>
          <w:rFonts w:ascii="Consolas" w:hAnsi="Consolas"/>
        </w:rPr>
        <w:t>python main.py check</w:t>
      </w:r>
      <w:r>
        <w:t>.</w:t>
      </w:r>
    </w:p>
    <w:p>
      <w:pPr>
        <w:pStyle w:val="ListParagraph"/>
        <w:numPr>
          <w:ilvl w:val="0"/>
          <w:numId w:val="912"/>
        </w:numPr>
        <w:spacing w:after="60"/>
      </w:pPr>
      <w:r>
        <w:t xml:space="preserve">Add a dict to PARAMS in </w:t>
      </w:r>
      <w:r>
        <w:rPr>
          <w:rFonts w:ascii="Consolas" w:hAnsi="Consolas"/>
        </w:rPr>
        <w:t>src/ctrp/core.py</w:t>
      </w:r>
      <w:r>
        <w:t>: code, col, zero_at, one_at, L, I, fmt ('pct' or 'yesno'), label, and a reason sentence using {v}, {z} and {o}.</w:t>
      </w:r>
    </w:p>
    <w:p>
      <w:pPr>
        <w:pStyle w:val="ListParagraph"/>
        <w:numPr>
          <w:ilvl w:val="0"/>
          <w:numId w:val="912"/>
        </w:numPr>
        <w:spacing w:after="60"/>
      </w:pPr>
      <w:r>
        <w:t>If it is a share of something other than declarations, add it to SHRINK_N with the column holding that count.</w:t>
      </w:r>
    </w:p>
    <w:p>
      <w:pPr>
        <w:pStyle w:val="ListParagraph"/>
        <w:numPr>
          <w:ilvl w:val="0"/>
          <w:numId w:val="912"/>
        </w:numPr>
        <w:spacing w:after="60"/>
      </w:pPr>
      <w:r>
        <w:t>Test it alone and inside the scorecard, as in notebook section 3.8 (lift at the top 5% against the baseline and the scorecard).</w:t>
      </w:r>
    </w:p>
    <w:p>
      <w:pPr>
        <w:pStyle w:val="ListParagraph"/>
        <w:numPr>
          <w:ilvl w:val="0"/>
          <w:numId w:val="912"/>
        </w:numPr>
        <w:spacing w:after="60"/>
      </w:pPr>
      <w:r>
        <w:t>Raise MODEL_VERSION, run the tests and the back-test, record the decision.</w:t>
      </w:r>
    </w:p>
    <w:p>
      <w:pPr>
        <w:pStyle w:val="Heading2"/>
      </w:pPr>
      <w:r>
        <w:t>8.8 Recipe: Change the Bands</w:t>
      </w:r>
    </w:p>
    <w:p>
      <w:pPr>
        <w:spacing w:after="120"/>
      </w:pPr>
      <w:r>
        <w:t>Edit BANDS: each pair is (upper score, name). For example (15, 'VERY LOW') means 0 to 15 is VERY LOW. The workbook colours and band summary follow automatically.</w:t>
      </w:r>
    </w:p>
    <w:p>
      <w:pPr>
        <w:pStyle w:val="Heading2"/>
      </w:pPr>
      <w:r>
        <w:t>8.9 Recipe: Add a Challenger or a Blend</w:t>
      </w:r>
    </w:p>
    <w:p>
      <w:pPr>
        <w:spacing w:after="120"/>
      </w:pPr>
      <w:r>
        <w:t xml:space="preserve">In </w:t>
      </w:r>
      <w:r>
        <w:rPr>
          <w:rFonts w:ascii="Consolas" w:hAnsi="Consolas"/>
        </w:rPr>
        <w:t>src/ctrp/models/challengers.py</w:t>
      </w:r>
      <w:r>
        <w:t xml:space="preserve">, write a function </w:t>
      </w:r>
      <w:r>
        <w:rPr>
          <w:rFonts w:ascii="Consolas" w:hAnsi="Consolas"/>
        </w:rPr>
        <w:t>score_mymodel(raw, d, train)</w:t>
      </w:r>
      <w:r>
        <w:t xml:space="preserve"> that returns one number per taxpayer (higher = riskier). </w:t>
      </w:r>
      <w:r>
        <w:rPr>
          <w:rFonts w:ascii="Consolas" w:hAnsi="Consolas"/>
        </w:rPr>
        <w:t>train</w:t>
      </w:r>
      <w:r>
        <w:t xml:space="preserve"> holds earlier snapshots as (raw, derived) pairs; use only those to learn. Add it to the CHALLENGERS dictionary. For a blend, add a line to BLENDS listing its members. Either way it is then measured exactly like the others.</w:t>
      </w:r>
    </w:p>
    <w:p>
      <w:r>
        <w:br w:type="page"/>
      </w:r>
    </w:p>
    <w:p/>
    <w:p/>
    <w:p/>
    <w:p/>
    <w:p/>
    <w:p/>
    <w:p>
      <w:pPr>
        <w:pStyle w:val="Heading1"/>
      </w:pPr>
      <w:r>
        <w:t>PART 9: DEFENDING THE WORK</w:t>
      </w:r>
    </w:p>
    <w:p>
      <w:pPr>
        <w:spacing w:after="120"/>
      </w:pPr>
      <w:r>
        <w:t>The questions you are most likely to be asked, with short answers and where the evidence is.</w:t>
      </w:r>
    </w:p>
    <w:p>
      <w:r>
        <w:br w:type="page"/>
      </w:r>
    </w:p>
    <w:p>
      <w:pPr>
        <w:pStyle w:val="Caption"/>
      </w:pPr>
      <w:r>
        <w:t xml:space="preserve">Table </w:t>
      </w:r>
      <w:r>
        <w:fldChar w:fldCharType="begin"/>
      </w:r>
      <w:r>
        <w:instrText xml:space="preserve"> SEQ Table \* ARABIC </w:instrText>
      </w:r>
      <w:r>
        <w:fldChar w:fldCharType="separate"/>
      </w:r>
      <w:r>
        <w:t>30</w:t>
      </w:r>
      <w:r>
        <w:fldChar w:fldCharType="end"/>
      </w:r>
      <w:r>
        <w:t>: Questions and Answers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3155"/>
            <w:shd w:val="clear" w:color="auto" w:fill="D9E2F3"/>
          </w:tcPr>
          <w:p>
            <w:pPr>
              <w:spacing w:after="20" w:before="20" w:line="240" w:lineRule="auto"/>
            </w:pPr>
            <w:r/>
            <w:r>
              <w:rPr>
                <w:b/>
                <w:sz w:val="18"/>
              </w:rPr>
              <w:t>Question</w:t>
            </w:r>
          </w:p>
        </w:tc>
        <w:tc>
          <w:tcPr>
            <w:tcW w:type="dxa" w:w="6596"/>
            <w:shd w:val="clear" w:color="auto" w:fill="D9E2F3"/>
          </w:tcPr>
          <w:p>
            <w:pPr>
              <w:spacing w:after="20" w:before="20" w:line="240" w:lineRule="auto"/>
            </w:pPr>
            <w:r/>
            <w:r>
              <w:rPr>
                <w:b/>
                <w:sz w:val="18"/>
              </w:rPr>
              <w:t>Answer</w:t>
            </w:r>
          </w:p>
        </w:tc>
      </w:tr>
      <w:tr>
        <w:tc>
          <w:tcPr>
            <w:tcW w:type="dxa" w:w="3155"/>
          </w:tcPr>
          <w:p>
            <w:pPr>
              <w:spacing w:after="20" w:before="20" w:line="240" w:lineRule="auto"/>
            </w:pPr>
            <w:r/>
            <w:r>
              <w:rPr>
                <w:sz w:val="18"/>
              </w:rPr>
              <w:t>Why not a machine-learning model?</w:t>
            </w:r>
          </w:p>
        </w:tc>
        <w:tc>
          <w:tcPr>
            <w:tcW w:type="dxa" w:w="6596"/>
          </w:tcPr>
          <w:p>
            <w:pPr>
              <w:spacing w:after="20" w:before="20" w:line="240" w:lineRule="auto"/>
            </w:pPr>
            <w:r/>
            <w:r>
              <w:rPr>
                <w:sz w:val="18"/>
              </w:rPr>
              <w:t>We tested several (Part 6). The best gained a little in 3 of 4 tests and lost in 1, and it learns from outcomes chosen by the selectivity system. The scorecard is explainable in the officers' own thresholds. Boosting goes to round 2.</w:t>
            </w:r>
          </w:p>
        </w:tc>
      </w:tr>
      <w:tr>
        <w:tc>
          <w:tcPr>
            <w:tcW w:type="dxa" w:w="3155"/>
          </w:tcPr>
          <w:p>
            <w:pPr>
              <w:spacing w:after="20" w:before="20" w:line="240" w:lineRule="auto"/>
            </w:pPr>
            <w:r/>
            <w:r>
              <w:rPr>
                <w:sz w:val="18"/>
              </w:rPr>
              <w:t>You promised about 20 parameters; why 8?</w:t>
            </w:r>
          </w:p>
        </w:tc>
        <w:tc>
          <w:tcPr>
            <w:tcW w:type="dxa" w:w="6596"/>
          </w:tcPr>
          <w:p>
            <w:pPr>
              <w:spacing w:after="20" w:before="20" w:line="240" w:lineRule="auto"/>
            </w:pPr>
            <w:r/>
            <w:r>
              <w:rPr>
                <w:sz w:val="18"/>
              </w:rPr>
              <w:t>8 have data in the view, 2 more are built and wait for the next extract, and 11 need data that is not in the view (declaration versions, boxes 45 and 46, penalties, agent TIN). None was left out for any other reason.</w:t>
            </w:r>
          </w:p>
        </w:tc>
      </w:tr>
      <w:tr>
        <w:tc>
          <w:tcPr>
            <w:tcW w:type="dxa" w:w="3155"/>
          </w:tcPr>
          <w:p>
            <w:pPr>
              <w:spacing w:after="20" w:before="20" w:line="240" w:lineRule="auto"/>
            </w:pPr>
            <w:r/>
            <w:r>
              <w:rPr>
                <w:sz w:val="18"/>
              </w:rPr>
              <w:t>Why does a taxpayer topped up on 1 of 2 declarations score low?</w:t>
            </w:r>
          </w:p>
        </w:tc>
        <w:tc>
          <w:tcPr>
            <w:tcW w:type="dxa" w:w="6596"/>
          </w:tcPr>
          <w:p>
            <w:pPr>
              <w:spacing w:after="20" w:before="20" w:line="240" w:lineRule="auto"/>
            </w:pPr>
            <w:r/>
            <w:r>
              <w:rPr>
                <w:sz w:val="18"/>
              </w:rPr>
              <w:t>Two declarations prove little (a coin tossed twice). The weighting spares them, and the LIM note tells the officer the score rests on little history.</w:t>
            </w:r>
          </w:p>
        </w:tc>
      </w:tr>
      <w:tr>
        <w:tc>
          <w:tcPr>
            <w:tcW w:type="dxa" w:w="3155"/>
          </w:tcPr>
          <w:p>
            <w:pPr>
              <w:spacing w:after="20" w:before="20" w:line="240" w:lineRule="auto"/>
            </w:pPr>
            <w:r/>
            <w:r>
              <w:rPr>
                <w:sz w:val="18"/>
              </w:rPr>
              <w:t>Why 40% and not the officers' 10%?</w:t>
            </w:r>
          </w:p>
        </w:tc>
        <w:tc>
          <w:tcPr>
            <w:tcW w:type="dxa" w:w="6596"/>
          </w:tcPr>
          <w:p>
            <w:pPr>
              <w:spacing w:after="20" w:before="20" w:line="240" w:lineRule="auto"/>
            </w:pPr>
            <w:r/>
            <w:r>
              <w:rPr>
                <w:sz w:val="18"/>
              </w:rPr>
              <w:t>At 10%, a third of regular traders hit full points and the list could not rank them. The minimum risk level stays at their 3%.</w:t>
            </w:r>
          </w:p>
        </w:tc>
      </w:tr>
      <w:tr>
        <w:tc>
          <w:tcPr>
            <w:tcW w:type="dxa" w:w="3155"/>
          </w:tcPr>
          <w:p>
            <w:pPr>
              <w:spacing w:after="20" w:before="20" w:line="240" w:lineRule="auto"/>
            </w:pPr>
            <w:r/>
            <w:r>
              <w:rPr>
                <w:sz w:val="18"/>
              </w:rPr>
              <w:t>Isn't it just repeating the selectivity system?</w:t>
            </w:r>
          </w:p>
        </w:tc>
        <w:tc>
          <w:tcPr>
            <w:tcW w:type="dxa" w:w="6596"/>
          </w:tcPr>
          <w:p>
            <w:pPr>
              <w:spacing w:after="20" w:before="20" w:line="240" w:lineRule="auto"/>
            </w:pPr>
            <w:r/>
            <w:r>
              <w:rPr>
                <w:sz w:val="18"/>
              </w:rPr>
              <w:t>Partly, possibly; all models trained or judged on checked declarations share this. It is why we want a random check share or audit outcomes, and why the expert scorecard (not fitted to past selections) is the safer release 1 choice.</w:t>
            </w:r>
          </w:p>
        </w:tc>
      </w:tr>
      <w:tr>
        <w:tc>
          <w:tcPr>
            <w:tcW w:type="dxa" w:w="3155"/>
          </w:tcPr>
          <w:p>
            <w:pPr>
              <w:spacing w:after="20" w:before="20" w:line="240" w:lineRule="auto"/>
            </w:pPr>
            <w:r/>
            <w:r>
              <w:rPr>
                <w:sz w:val="18"/>
              </w:rPr>
              <w:t>The design promised clustering and anomaly detection. Where are they?</w:t>
            </w:r>
          </w:p>
        </w:tc>
        <w:tc>
          <w:tcPr>
            <w:tcW w:type="dxa" w:w="6596"/>
          </w:tcPr>
          <w:p>
            <w:pPr>
              <w:spacing w:after="20" w:before="20" w:line="240" w:lineRule="auto"/>
            </w:pPr>
            <w:r/>
            <w:r>
              <w:rPr>
                <w:sz w:val="18"/>
              </w:rPr>
              <w:t>Tested on real data: HDBSCAN left 77% of traders without a group, and anomaly points lowered lift because unusual is not risky. Both are recorded with evidence; the pattern check stays as a note.</w:t>
            </w:r>
          </w:p>
        </w:tc>
      </w:tr>
      <w:tr>
        <w:tc>
          <w:tcPr>
            <w:tcW w:type="dxa" w:w="3155"/>
          </w:tcPr>
          <w:p>
            <w:pPr>
              <w:spacing w:after="20" w:before="20" w:line="240" w:lineRule="auto"/>
            </w:pPr>
            <w:r/>
            <w:r>
              <w:rPr>
                <w:sz w:val="18"/>
              </w:rPr>
              <w:t>Is a lift of about 4.5 good?</w:t>
            </w:r>
          </w:p>
        </w:tc>
        <w:tc>
          <w:tcPr>
            <w:tcW w:type="dxa" w:w="6596"/>
          </w:tcPr>
          <w:p>
            <w:pPr>
              <w:spacing w:after="20" w:before="20" w:line="240" w:lineRule="auto"/>
            </w:pPr>
            <w:r/>
            <w:r>
              <w:rPr>
                <w:sz w:val="18"/>
              </w:rPr>
              <w:t>It is well above the baseline (about 3.6 at the top 5%) and above the 3x minimum proposed in the design document for the top 10% (4.05), below its 5x target. Published customs figures score single declarations and are not comparable.</w:t>
            </w:r>
          </w:p>
        </w:tc>
      </w:tr>
      <w:tr>
        <w:tc>
          <w:tcPr>
            <w:tcW w:type="dxa" w:w="3155"/>
          </w:tcPr>
          <w:p>
            <w:pPr>
              <w:spacing w:after="20" w:before="20" w:line="240" w:lineRule="auto"/>
            </w:pPr>
            <w:r/>
            <w:r>
              <w:rPr>
                <w:sz w:val="18"/>
              </w:rPr>
              <w:t>Why is VERY HIGH hit less than HIGH recently?</w:t>
            </w:r>
          </w:p>
        </w:tc>
        <w:tc>
          <w:tcPr>
            <w:tcW w:type="dxa" w:w="6596"/>
          </w:tcPr>
          <w:p>
            <w:pPr>
              <w:spacing w:after="20" w:before="20" w:line="240" w:lineRule="auto"/>
            </w:pPr>
            <w:r/>
            <w:r>
              <w:rPr>
                <w:sz w:val="18"/>
              </w:rPr>
              <w:t>Known and open. The dip is in scores 71 to 90 in the two latest snapshots. Stage 7 will study it before the bands are set.</w:t>
            </w:r>
          </w:p>
        </w:tc>
      </w:tr>
      <w:tr>
        <w:tc>
          <w:tcPr>
            <w:tcW w:type="dxa" w:w="3155"/>
          </w:tcPr>
          <w:p>
            <w:pPr>
              <w:spacing w:after="20" w:before="20" w:line="240" w:lineRule="auto"/>
            </w:pPr>
            <w:r/>
            <w:r>
              <w:rPr>
                <w:sz w:val="18"/>
              </w:rPr>
              <w:t>Why did the hit rate fall after March 2024?</w:t>
            </w:r>
          </w:p>
        </w:tc>
        <w:tc>
          <w:tcPr>
            <w:tcW w:type="dxa" w:w="6596"/>
          </w:tcPr>
          <w:p>
            <w:pPr>
              <w:spacing w:after="20" w:before="20" w:line="240" w:lineRule="auto"/>
            </w:pPr>
            <w:r/>
            <w:r>
              <w:rPr>
                <w:sz w:val="18"/>
              </w:rPr>
              <w:t>Unknown; a question for the Risk team. Each snapshot is judged against its own hit rate, so it does not distort the results.</w:t>
            </w:r>
          </w:p>
        </w:tc>
      </w:tr>
      <w:tr>
        <w:tc>
          <w:tcPr>
            <w:tcW w:type="dxa" w:w="3155"/>
          </w:tcPr>
          <w:p>
            <w:pPr>
              <w:spacing w:after="20" w:before="20" w:line="240" w:lineRule="auto"/>
            </w:pPr>
            <w:r/>
            <w:r>
              <w:rPr>
                <w:sz w:val="18"/>
              </w:rPr>
              <w:t>Can importers game it?</w:t>
            </w:r>
          </w:p>
        </w:tc>
        <w:tc>
          <w:tcPr>
            <w:tcW w:type="dxa" w:w="6596"/>
          </w:tcPr>
          <w:p>
            <w:pPr>
              <w:spacing w:after="20" w:before="20" w:line="240" w:lineRule="auto"/>
            </w:pPr>
            <w:r/>
            <w:r>
              <w:rPr>
                <w:sz w:val="18"/>
              </w:rPr>
              <w:t>The parameters come from customs' own actions (top-ups, amendments, benchmarks), not from what importers report about themselves. Keep the reason codes internal.</w:t>
            </w:r>
          </w:p>
        </w:tc>
      </w:tr>
      <w:tr>
        <w:tc>
          <w:tcPr>
            <w:tcW w:type="dxa" w:w="3155"/>
          </w:tcPr>
          <w:p>
            <w:pPr>
              <w:spacing w:after="20" w:before="20" w:line="240" w:lineRule="auto"/>
            </w:pPr>
            <w:r/>
            <w:r>
              <w:rPr>
                <w:sz w:val="18"/>
              </w:rPr>
              <w:t>Why might a taxpayer change band between two runs?</w:t>
            </w:r>
          </w:p>
        </w:tc>
        <w:tc>
          <w:tcPr>
            <w:tcW w:type="dxa" w:w="6596"/>
          </w:tcPr>
          <w:p>
            <w:pPr>
              <w:spacing w:after="20" w:before="20" w:line="240" w:lineRule="auto"/>
            </w:pPr>
            <w:r/>
            <w:r>
              <w:rPr>
                <w:sz w:val="18"/>
              </w:rPr>
              <w:t>Their 24-month window moves on, peers change and the population averages change. The fingerprint shows whether the settings changed too.</w:t>
            </w:r>
          </w:p>
        </w:tc>
      </w:tr>
      <w:tr>
        <w:tc>
          <w:tcPr>
            <w:tcW w:type="dxa" w:w="3155"/>
          </w:tcPr>
          <w:p>
            <w:pPr>
              <w:spacing w:after="20" w:before="20" w:line="240" w:lineRule="auto"/>
            </w:pPr>
            <w:r/>
            <w:r>
              <w:rPr>
                <w:sz w:val="18"/>
              </w:rPr>
              <w:t>What does provisional mean?</w:t>
            </w:r>
          </w:p>
        </w:tc>
        <w:tc>
          <w:tcPr>
            <w:tcW w:type="dxa" w:w="6596"/>
          </w:tcPr>
          <w:p>
            <w:pPr>
              <w:spacing w:after="20" w:before="20" w:line="240" w:lineRule="auto"/>
            </w:pPr>
            <w:r/>
            <w:r>
              <w:rPr>
                <w:sz w:val="18"/>
              </w:rPr>
              <w:t>The thresholds, weights and bands are working values until the Risk Officers confirm them. Every workbook says so on the Read me sheet.</w:t>
            </w:r>
          </w:p>
        </w:tc>
      </w:tr>
      <w:tr>
        <w:tc>
          <w:tcPr>
            <w:tcW w:type="dxa" w:w="3155"/>
          </w:tcPr>
          <w:p>
            <w:pPr>
              <w:spacing w:after="20" w:before="20" w:line="240" w:lineRule="auto"/>
            </w:pPr>
            <w:r/>
            <w:r>
              <w:rPr>
                <w:sz w:val="18"/>
              </w:rPr>
              <w:t>Why not combine models (an ensemble)?</w:t>
            </w:r>
          </w:p>
        </w:tc>
        <w:tc>
          <w:tcPr>
            <w:tcW w:type="dxa" w:w="6596"/>
          </w:tcPr>
          <w:p>
            <w:pPr>
              <w:spacing w:after="20" w:before="20" w:line="240" w:lineRule="auto"/>
            </w:pPr>
            <w:r/>
            <w:r>
              <w:rPr>
                <w:sz w:val="18"/>
              </w:rPr>
              <w:t>We tested five ways of combining them (Part 6.6). The blend of all models is the best all-round result and is the leading candidate for the next round; it was not adopted yet because the gain is small, significant in only half the tests, and the ranking would no longer follow the points officers see.</w:t>
            </w:r>
          </w:p>
        </w:tc>
      </w:tr>
      <w:tr>
        <w:tc>
          <w:tcPr>
            <w:tcW w:type="dxa" w:w="3155"/>
          </w:tcPr>
          <w:p>
            <w:pPr>
              <w:spacing w:after="20" w:before="20" w:line="240" w:lineRule="auto"/>
            </w:pPr>
            <w:r/>
            <w:r>
              <w:rPr>
                <w:sz w:val="18"/>
              </w:rPr>
              <w:t>Is "the riskiest 8% give half the hits" new?</w:t>
            </w:r>
          </w:p>
        </w:tc>
        <w:tc>
          <w:tcPr>
            <w:tcW w:type="dxa" w:w="6596"/>
          </w:tcPr>
          <w:p>
            <w:pPr>
              <w:spacing w:after="20" w:before="20" w:line="240" w:lineRule="auto"/>
            </w:pPr>
            <w:r/>
            <w:r>
              <w:rPr>
                <w:sz w:val="18"/>
              </w:rPr>
              <w:t>No, and it should not be sold as new: officers already target repeat offenders. What is new is that every taxpayer is scored the same way, with reasons, over time, that the bands are shown to mean what they say, and that the other half of the risk sits below HIGH, where history cannot see it. That is what Track B is for.</w:t>
            </w:r>
          </w:p>
        </w:tc>
      </w:tr>
      <w:tr>
        <w:tc>
          <w:tcPr>
            <w:tcW w:type="dxa" w:w="3155"/>
          </w:tcPr>
          <w:p>
            <w:pPr>
              <w:spacing w:after="20" w:before="20" w:line="240" w:lineRule="auto"/>
            </w:pPr>
            <w:r/>
            <w:r>
              <w:rPr>
                <w:sz w:val="18"/>
              </w:rPr>
              <w:t>Why measure per check?</w:t>
            </w:r>
          </w:p>
        </w:tc>
        <w:tc>
          <w:tcPr>
            <w:tcW w:type="dxa" w:w="6596"/>
          </w:tcPr>
          <w:p>
            <w:pPr>
              <w:spacing w:after="20" w:before="20" w:line="240" w:lineRule="auto"/>
            </w:pPr>
            <w:r/>
            <w:r>
              <w:rPr>
                <w:sz w:val="18"/>
              </w:rPr>
              <w:t>Officers judge selectivity by what checks find. Counting taxpayers rewards being checked often; counting checks does not (4.6).</w:t>
            </w:r>
          </w:p>
        </w:tc>
      </w:tr>
      <w:tr>
        <w:tc>
          <w:tcPr>
            <w:tcW w:type="dxa" w:w="3155"/>
          </w:tcPr>
          <w:p>
            <w:pPr>
              <w:spacing w:after="20" w:before="20" w:line="240" w:lineRule="auto"/>
            </w:pPr>
            <w:r/>
            <w:r>
              <w:rPr>
                <w:sz w:val="18"/>
              </w:rPr>
              <w:t>Did the model get worse after 2024?</w:t>
            </w:r>
          </w:p>
        </w:tc>
        <w:tc>
          <w:tcPr>
            <w:tcW w:type="dxa" w:w="6596"/>
          </w:tcPr>
          <w:p>
            <w:pPr>
              <w:spacing w:after="20" w:before="20" w:line="240" w:lineRule="auto"/>
            </w:pPr>
            <w:r/>
            <w:r>
              <w:rPr>
                <w:sz w:val="18"/>
              </w:rPr>
              <w:t>Over nine years AUC per check stayed between 0.77 and 0.86. The one dip (0.74, March 2025) came when the hit rate of all checks fell from 11-13% to 7%, and it is recovering (4.8).</w:t>
            </w:r>
          </w:p>
        </w:tc>
      </w:tr>
      <w:tr>
        <w:tc>
          <w:tcPr>
            <w:tcW w:type="dxa" w:w="3155"/>
          </w:tcPr>
          <w:p>
            <w:pPr>
              <w:spacing w:after="20" w:before="20" w:line="240" w:lineRule="auto"/>
            </w:pPr>
            <w:r/>
            <w:r>
              <w:rPr>
                <w:sz w:val="18"/>
              </w:rPr>
              <w:t>Why three years, and why halving?</w:t>
            </w:r>
          </w:p>
        </w:tc>
        <w:tc>
          <w:tcPr>
            <w:tcW w:type="dxa" w:w="6596"/>
          </w:tcPr>
          <w:p>
            <w:pPr>
              <w:spacing w:after="20" w:before="20" w:line="240" w:lineRule="auto"/>
            </w:pPr>
            <w:r/>
            <w:r>
              <w:rPr>
                <w:sz w:val="18"/>
              </w:rPr>
              <w:t>Tested on 18 dates: three years with each year counting half the next is the only weighting better than the old two-year rule on every date. Five years adds nothing measurable (4.9).</w:t>
            </w:r>
          </w:p>
        </w:tc>
      </w:tr>
      <w:tr>
        <w:tc>
          <w:tcPr>
            <w:tcW w:type="dxa" w:w="3155"/>
          </w:tcPr>
          <w:p>
            <w:pPr>
              <w:spacing w:after="20" w:before="20" w:line="240" w:lineRule="auto"/>
            </w:pPr>
            <w:r/>
            <w:r>
              <w:rPr>
                <w:sz w:val="18"/>
              </w:rPr>
              <w:t>How do you know Track B finds anything?</w:t>
            </w:r>
          </w:p>
        </w:tc>
        <w:tc>
          <w:tcPr>
            <w:tcW w:type="dxa" w:w="6596"/>
          </w:tcPr>
          <w:p>
            <w:pPr>
              <w:spacing w:after="20" w:before="20" w:line="240" w:lineRule="auto"/>
            </w:pPr>
            <w:r/>
            <w:r>
              <w:rPr>
                <w:sz w:val="18"/>
              </w:rPr>
              <w:t>Against top-ups it ranks checks better than chance and better than Track A within the no-history group (AUC 0.62 regular, 0.57 small), but top-ups cannot show undervaluation that was never found. The blind review is the real test (Part 10).</w:t>
            </w:r>
          </w:p>
        </w:tc>
      </w:tr>
      <w:tr>
        <w:tc>
          <w:tcPr>
            <w:tcW w:type="dxa" w:w="3155"/>
          </w:tcPr>
          <w:p>
            <w:pPr>
              <w:spacing w:after="20" w:before="20" w:line="240" w:lineRule="auto"/>
            </w:pPr>
            <w:r/>
            <w:r>
              <w:rPr>
                <w:sz w:val="18"/>
              </w:rPr>
              <w:t>Who decides thresholds and weights?</w:t>
            </w:r>
          </w:p>
        </w:tc>
        <w:tc>
          <w:tcPr>
            <w:tcW w:type="dxa" w:w="6596"/>
          </w:tcPr>
          <w:p>
            <w:pPr>
              <w:spacing w:after="20" w:before="20" w:line="240" w:lineRule="auto"/>
            </w:pPr>
            <w:r/>
            <w:r>
              <w:rPr>
                <w:sz w:val="18"/>
              </w:rPr>
              <w:t>The Risk Officers, in a ratings session, using the evidence in this guide and the learned weights from Part 6 as input.</w:t>
            </w:r>
          </w:p>
        </w:tc>
      </w:tr>
    </w:tbl>
    <w:p>
      <w:pPr>
        <w:spacing w:after="40"/>
      </w:pPr>
    </w:p>
    <w:p>
      <w:r>
        <w:br w:type="page"/>
      </w:r>
    </w:p>
    <w:p/>
    <w:p/>
    <w:p/>
    <w:p/>
    <w:p/>
    <w:p/>
    <w:p>
      <w:pPr>
        <w:pStyle w:val="Heading1"/>
      </w:pPr>
      <w:r>
        <w:t>PART 10: TWO TRACKS: COMPLIANCE HISTORY AND TRADING BEHAVIOUR</w:t>
      </w:r>
    </w:p>
    <w:p>
      <w:pPr>
        <w:spacing w:after="120"/>
      </w:pPr>
      <w:r>
        <w:t>Why one view of risk is not enough, what Track B looks at, how the two tracks combine into the Overall Risk Band, and how Track B is being proven.</w:t>
      </w:r>
    </w:p>
    <w:p>
      <w:r>
        <w:br w:type="page"/>
      </w:r>
    </w:p>
    <w:p>
      <w:pPr>
        <w:pStyle w:val="Heading2"/>
      </w:pPr>
      <w:r>
        <w:t>10.1 Why a Second Track</w:t>
      </w:r>
    </w:p>
    <w:p>
      <w:pPr>
        <w:spacing w:after="120"/>
      </w:pPr>
      <w:r>
        <w:t>Track A (Parts 1 to 4) scores a taxpayer's own compliance record: top-ups, amendments, reductions. It works, but it can only see risk that customs has already found. About 69% of taxpayers have no top-up history at all, and in the back-tests about half of all hits come from taxpayers below HIGH. A trader who undervalues and has never been caught scores zero on Track A.</w:t>
      </w:r>
    </w:p>
    <w:p>
      <w:pPr>
        <w:spacing w:after="120"/>
      </w:pPr>
      <w:r>
        <w:t xml:space="preserve">Track B looks at </w:t>
      </w:r>
      <w:r>
        <w:rPr>
          <w:b/>
        </w:rPr>
        <w:t>how a taxpayer trades</w:t>
      </w:r>
      <w:r>
        <w:t>, compared with similar importers (same main goods, same size), without using anything customs did to them (no top-ups, no lanes). It is built for the taxpayers with no top-up history.</w:t>
      </w:r>
    </w:p>
    <w:p>
      <w:pPr>
        <w:pStyle w:val="Heading2"/>
      </w:pPr>
      <w:r>
        <w:t>10.2 What Track B Looks At</w:t>
      </w:r>
    </w:p>
    <w:p>
      <w:pPr>
        <w:pStyle w:val="ListParagraph"/>
        <w:numPr>
          <w:ilvl w:val="0"/>
          <w:numId w:val="913"/>
        </w:numPr>
        <w:spacing w:after="60"/>
      </w:pPr>
      <w:r>
        <w:t>Prices below what other importers declare for the same tariff line and origin.</w:t>
      </w:r>
    </w:p>
    <w:p>
      <w:pPr>
        <w:pStyle w:val="ListParagraph"/>
        <w:numPr>
          <w:ilvl w:val="0"/>
          <w:numId w:val="913"/>
        </w:numPr>
        <w:spacing w:after="60"/>
      </w:pPr>
      <w:r>
        <w:t>Amendments, goods spread (many kinds of goods per declaration), station spread, sudden surges in volume, and newness.</w:t>
      </w:r>
    </w:p>
    <w:p>
      <w:pPr>
        <w:pStyle w:val="ListParagraph"/>
        <w:numPr>
          <w:ilvl w:val="0"/>
          <w:numId w:val="913"/>
        </w:numPr>
        <w:spacing w:after="60"/>
      </w:pPr>
      <w:r>
        <w:t>Each measure is turned into a percentile within the peer group, so a trader is compared with traders like them.</w:t>
      </w:r>
    </w:p>
    <w:p>
      <w:pPr>
        <w:pStyle w:val="ListParagraph"/>
        <w:numPr>
          <w:ilvl w:val="0"/>
          <w:numId w:val="913"/>
        </w:numPr>
        <w:spacing w:after="60"/>
      </w:pPr>
      <w:r>
        <w:t>A learned model (monotone boosting, trained only on earlier dates) combines them, separately for regular traders (10 or more declarations) and small traders (fewer).</w:t>
      </w:r>
    </w:p>
    <w:p>
      <w:pPr>
        <w:pStyle w:val="Heading2"/>
      </w:pPr>
      <w:r>
        <w:t>10.3 How the Two Tracks Combine</w:t>
      </w:r>
    </w:p>
    <w:p>
      <w:pPr>
        <w:pStyle w:val="Caption"/>
      </w:pPr>
      <w:r>
        <w:t xml:space="preserve">Table </w:t>
      </w:r>
      <w:r>
        <w:fldChar w:fldCharType="begin"/>
      </w:r>
      <w:r>
        <w:instrText xml:space="preserve"> SEQ Table \* ARABIC </w:instrText>
      </w:r>
      <w:r>
        <w:fldChar w:fldCharType="separate"/>
      </w:r>
      <w:r>
        <w:t>31</w:t>
      </w:r>
      <w:r>
        <w:fldChar w:fldCharType="end"/>
      </w:r>
      <w:r>
        <w:t>: From Two Tracks to One Band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Column</w:t>
            </w:r>
          </w:p>
        </w:tc>
        <w:tc>
          <w:tcPr>
            <w:tcW w:type="dxa" w:w="6883"/>
            <w:shd w:val="clear" w:color="auto" w:fill="D9E2F3"/>
          </w:tcPr>
          <w:p>
            <w:pPr>
              <w:spacing w:after="20" w:before="20" w:line="240" w:lineRule="auto"/>
            </w:pPr>
            <w:r/>
            <w:r>
              <w:rPr>
                <w:b/>
                <w:sz w:val="18"/>
              </w:rPr>
              <w:t>What it is</w:t>
            </w:r>
          </w:p>
        </w:tc>
      </w:tr>
      <w:tr>
        <w:tc>
          <w:tcPr>
            <w:tcW w:type="dxa" w:w="2868"/>
          </w:tcPr>
          <w:p>
            <w:pPr>
              <w:spacing w:after="20" w:before="20" w:line="240" w:lineRule="auto"/>
            </w:pPr>
            <w:r/>
            <w:r>
              <w:rPr>
                <w:sz w:val="18"/>
              </w:rPr>
              <w:t>History Risk Score and Band</w:t>
            </w:r>
          </w:p>
        </w:tc>
        <w:tc>
          <w:tcPr>
            <w:tcW w:type="dxa" w:w="6883"/>
          </w:tcPr>
          <w:p>
            <w:pPr>
              <w:spacing w:after="20" w:before="20" w:line="240" w:lineRule="auto"/>
            </w:pPr>
            <w:r/>
            <w:r>
              <w:rPr>
                <w:sz w:val="18"/>
              </w:rPr>
              <w:t>Track A: the compliance record</w:t>
            </w:r>
          </w:p>
        </w:tc>
      </w:tr>
      <w:tr>
        <w:tc>
          <w:tcPr>
            <w:tcW w:type="dxa" w:w="2868"/>
          </w:tcPr>
          <w:p>
            <w:pPr>
              <w:spacing w:after="20" w:before="20" w:line="240" w:lineRule="auto"/>
            </w:pPr>
            <w:r/>
            <w:r>
              <w:rPr>
                <w:sz w:val="18"/>
              </w:rPr>
              <w:t>Risky Behaviour Flag</w:t>
            </w:r>
          </w:p>
        </w:tc>
        <w:tc>
          <w:tcPr>
            <w:tcW w:type="dxa" w:w="6883"/>
          </w:tcPr>
          <w:p>
            <w:pPr>
              <w:spacing w:after="20" w:before="20" w:line="240" w:lineRule="auto"/>
            </w:pPr>
            <w:r/>
            <w:r>
              <w:rPr>
                <w:sz w:val="18"/>
              </w:rPr>
              <w:t>Track B: Y for the top 5% of regular and the top 1% of small traders with no top-up history</w:t>
            </w:r>
          </w:p>
        </w:tc>
      </w:tr>
      <w:tr>
        <w:tc>
          <w:tcPr>
            <w:tcW w:type="dxa" w:w="2868"/>
          </w:tcPr>
          <w:p>
            <w:pPr>
              <w:spacing w:after="20" w:before="20" w:line="240" w:lineRule="auto"/>
            </w:pPr>
            <w:r/>
            <w:r>
              <w:rPr>
                <w:sz w:val="18"/>
              </w:rPr>
              <w:t>Behaviour risk percentile</w:t>
            </w:r>
          </w:p>
        </w:tc>
        <w:tc>
          <w:tcPr>
            <w:tcW w:type="dxa" w:w="6883"/>
          </w:tcPr>
          <w:p>
            <w:pPr>
              <w:spacing w:after="20" w:before="20" w:line="240" w:lineRule="auto"/>
            </w:pPr>
            <w:r/>
            <w:r>
              <w:rPr>
                <w:sz w:val="18"/>
              </w:rPr>
              <w:t>How the taxpayer's behaviour ranks against similar importers</w:t>
            </w:r>
          </w:p>
        </w:tc>
      </w:tr>
      <w:tr>
        <w:tc>
          <w:tcPr>
            <w:tcW w:type="dxa" w:w="2868"/>
          </w:tcPr>
          <w:p>
            <w:pPr>
              <w:spacing w:after="20" w:before="20" w:line="240" w:lineRule="auto"/>
            </w:pPr>
            <w:r/>
            <w:r>
              <w:rPr>
                <w:sz w:val="18"/>
              </w:rPr>
              <w:t>Overall Risk Band</w:t>
            </w:r>
          </w:p>
        </w:tc>
        <w:tc>
          <w:tcPr>
            <w:tcW w:type="dxa" w:w="6883"/>
          </w:tcPr>
          <w:p>
            <w:pPr>
              <w:spacing w:after="20" w:before="20" w:line="240" w:lineRule="auto"/>
            </w:pPr>
            <w:r/>
            <w:r>
              <w:rPr>
                <w:sz w:val="18"/>
              </w:rPr>
              <w:t>The higher of the two; a Risky Behaviour Flag raises a taxpayer to HIGH at most until the flags are proven</w:t>
            </w:r>
          </w:p>
        </w:tc>
      </w:tr>
      <w:tr>
        <w:tc>
          <w:tcPr>
            <w:tcW w:type="dxa" w:w="2868"/>
          </w:tcPr>
          <w:p>
            <w:pPr>
              <w:spacing w:after="20" w:before="20" w:line="240" w:lineRule="auto"/>
            </w:pPr>
            <w:r/>
            <w:r>
              <w:rPr>
                <w:sz w:val="18"/>
              </w:rPr>
              <w:t>Overall band set by</w:t>
            </w:r>
          </w:p>
        </w:tc>
        <w:tc>
          <w:tcPr>
            <w:tcW w:type="dxa" w:w="6883"/>
          </w:tcPr>
          <w:p>
            <w:pPr>
              <w:spacing w:after="20" w:before="20" w:line="240" w:lineRule="auto"/>
            </w:pPr>
            <w:r/>
            <w:r>
              <w:rPr>
                <w:sz w:val="18"/>
              </w:rPr>
              <w:t>Compliance history or Trading behaviour</w:t>
            </w:r>
          </w:p>
        </w:tc>
      </w:tr>
      <w:tr>
        <w:tc>
          <w:tcPr>
            <w:tcW w:type="dxa" w:w="2868"/>
          </w:tcPr>
          <w:p>
            <w:pPr>
              <w:spacing w:after="20" w:before="20" w:line="240" w:lineRule="auto"/>
            </w:pPr>
            <w:r/>
            <w:r>
              <w:rPr>
                <w:sz w:val="18"/>
              </w:rPr>
              <w:t>Entry evidence</w:t>
            </w:r>
          </w:p>
        </w:tc>
        <w:tc>
          <w:tcPr>
            <w:tcW w:type="dxa" w:w="6883"/>
          </w:tcPr>
          <w:p>
            <w:pPr>
              <w:spacing w:after="20" w:before="20" w:line="240" w:lineRule="auto"/>
            </w:pPr>
            <w:r/>
            <w:r>
              <w:rPr>
                <w:sz w:val="18"/>
              </w:rPr>
              <w:t>For flagged taxpayers: the entries priced furthest below peers, with entry number, station and year, so an officer can open them</w:t>
            </w:r>
          </w:p>
        </w:tc>
      </w:tr>
    </w:tbl>
    <w:p>
      <w:pPr>
        <w:spacing w:after="40"/>
      </w:pPr>
    </w:p>
    <w:p>
      <w:pPr>
        <w:pStyle w:val="Heading2"/>
      </w:pPr>
      <w:r>
        <w:t>10.4 How Well Track B Does Against Top-ups</w:t>
      </w:r>
    </w:p>
    <w:p>
      <w:pPr>
        <w:spacing w:after="120"/>
      </w:pPr>
      <w:r>
        <w:t>Judged with the main measure (AUC per check) within the taxpayers it is for, on the four dates the full extracts allow, each trained only on earlier dates (decision 95):</w:t>
      </w:r>
    </w:p>
    <w:p>
      <w:pPr>
        <w:pStyle w:val="Caption"/>
      </w:pPr>
      <w:r>
        <w:t xml:space="preserve">Table </w:t>
      </w:r>
      <w:r>
        <w:fldChar w:fldCharType="begin"/>
      </w:r>
      <w:r>
        <w:instrText xml:space="preserve"> SEQ Table \* ARABIC </w:instrText>
      </w:r>
      <w:r>
        <w:fldChar w:fldCharType="separate"/>
      </w:r>
      <w:r>
        <w:t>32</w:t>
      </w:r>
      <w:r>
        <w:fldChar w:fldCharType="end"/>
      </w:r>
      <w:r>
        <w:t>: Track B Against Top-ups (AUC per check, no-history taxpayers)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Group</w:t>
            </w:r>
          </w:p>
        </w:tc>
        <w:tc>
          <w:tcPr>
            <w:tcW w:type="dxa" w:w="2581"/>
            <w:shd w:val="clear" w:color="auto" w:fill="D9E2F3"/>
          </w:tcPr>
          <w:p>
            <w:pPr>
              <w:spacing w:after="20" w:before="20" w:line="240" w:lineRule="auto"/>
            </w:pPr>
            <w:r/>
            <w:r>
              <w:rPr>
                <w:b/>
                <w:sz w:val="18"/>
              </w:rPr>
              <w:t>Track B</w:t>
            </w:r>
          </w:p>
        </w:tc>
        <w:tc>
          <w:tcPr>
            <w:tcW w:type="dxa" w:w="2581"/>
            <w:shd w:val="clear" w:color="auto" w:fill="D9E2F3"/>
          </w:tcPr>
          <w:p>
            <w:pPr>
              <w:spacing w:after="20" w:before="20" w:line="240" w:lineRule="auto"/>
            </w:pPr>
            <w:r/>
            <w:r>
              <w:rPr>
                <w:b/>
                <w:sz w:val="18"/>
              </w:rPr>
              <w:t>Track A on the same group</w:t>
            </w:r>
          </w:p>
        </w:tc>
        <w:tc>
          <w:tcPr>
            <w:tcW w:type="dxa" w:w="1721"/>
            <w:shd w:val="clear" w:color="auto" w:fill="D9E2F3"/>
          </w:tcPr>
          <w:p>
            <w:pPr>
              <w:spacing w:after="20" w:before="20" w:line="240" w:lineRule="auto"/>
            </w:pPr>
            <w:r/>
            <w:r>
              <w:rPr>
                <w:b/>
                <w:sz w:val="18"/>
              </w:rPr>
              <w:t>Chance</w:t>
            </w:r>
          </w:p>
        </w:tc>
      </w:tr>
      <w:tr>
        <w:tc>
          <w:tcPr>
            <w:tcW w:type="dxa" w:w="2868"/>
          </w:tcPr>
          <w:p>
            <w:pPr>
              <w:spacing w:after="20" w:before="20" w:line="240" w:lineRule="auto"/>
            </w:pPr>
            <w:r/>
            <w:r>
              <w:rPr>
                <w:sz w:val="18"/>
              </w:rPr>
              <w:t>Regular traders</w:t>
            </w:r>
          </w:p>
        </w:tc>
        <w:tc>
          <w:tcPr>
            <w:tcW w:type="dxa" w:w="2581"/>
          </w:tcPr>
          <w:p>
            <w:pPr>
              <w:spacing w:after="20" w:before="20" w:line="240" w:lineRule="auto"/>
            </w:pPr>
            <w:r/>
            <w:r>
              <w:rPr>
                <w:sz w:val="18"/>
              </w:rPr>
              <w:t>0.62 (0.58 to 0.65)</w:t>
            </w:r>
          </w:p>
        </w:tc>
        <w:tc>
          <w:tcPr>
            <w:tcW w:type="dxa" w:w="2581"/>
          </w:tcPr>
          <w:p>
            <w:pPr>
              <w:spacing w:after="20" w:before="20" w:line="240" w:lineRule="auto"/>
            </w:pPr>
            <w:r/>
            <w:r>
              <w:rPr>
                <w:sz w:val="18"/>
              </w:rPr>
              <w:t>0.55</w:t>
            </w:r>
          </w:p>
        </w:tc>
        <w:tc>
          <w:tcPr>
            <w:tcW w:type="dxa" w:w="1721"/>
          </w:tcPr>
          <w:p>
            <w:pPr>
              <w:spacing w:after="20" w:before="20" w:line="240" w:lineRule="auto"/>
            </w:pPr>
            <w:r/>
            <w:r>
              <w:rPr>
                <w:sz w:val="18"/>
              </w:rPr>
              <w:t>0.50</w:t>
            </w:r>
          </w:p>
        </w:tc>
      </w:tr>
      <w:tr>
        <w:tc>
          <w:tcPr>
            <w:tcW w:type="dxa" w:w="2868"/>
          </w:tcPr>
          <w:p>
            <w:pPr>
              <w:spacing w:after="20" w:before="20" w:line="240" w:lineRule="auto"/>
            </w:pPr>
            <w:r/>
            <w:r>
              <w:rPr>
                <w:sz w:val="18"/>
              </w:rPr>
              <w:t>Small traders</w:t>
            </w:r>
          </w:p>
        </w:tc>
        <w:tc>
          <w:tcPr>
            <w:tcW w:type="dxa" w:w="2581"/>
          </w:tcPr>
          <w:p>
            <w:pPr>
              <w:spacing w:after="20" w:before="20" w:line="240" w:lineRule="auto"/>
            </w:pPr>
            <w:r/>
            <w:r>
              <w:rPr>
                <w:sz w:val="18"/>
              </w:rPr>
              <w:t>0.57 (0.53 to 0.59)</w:t>
            </w:r>
          </w:p>
        </w:tc>
        <w:tc>
          <w:tcPr>
            <w:tcW w:type="dxa" w:w="2581"/>
          </w:tcPr>
          <w:p>
            <w:pPr>
              <w:spacing w:after="20" w:before="20" w:line="240" w:lineRule="auto"/>
            </w:pPr>
            <w:r/>
            <w:r>
              <w:rPr>
                <w:sz w:val="18"/>
              </w:rPr>
              <w:t>0.52</w:t>
            </w:r>
          </w:p>
        </w:tc>
        <w:tc>
          <w:tcPr>
            <w:tcW w:type="dxa" w:w="1721"/>
          </w:tcPr>
          <w:p>
            <w:pPr>
              <w:spacing w:after="20" w:before="20" w:line="240" w:lineRule="auto"/>
            </w:pPr>
            <w:r/>
            <w:r>
              <w:rPr>
                <w:sz w:val="18"/>
              </w:rPr>
              <w:t>0.50</w:t>
            </w:r>
          </w:p>
        </w:tc>
      </w:tr>
    </w:tbl>
    <w:p>
      <w:pPr>
        <w:spacing w:after="40"/>
      </w:pPr>
    </w:p>
    <w:p>
      <w:pPr>
        <w:spacing w:after="120"/>
      </w:pPr>
      <w:r>
        <w:t>A real but modest signal, consistent on every date. Top-ups are the wrong yardstick for most of what Track B looks for: an undervaluation that was never found never became a top-up. So top-ups can only show the part of Track B's value that customs already catches.</w:t>
      </w:r>
    </w:p>
    <w:p>
      <w:pPr>
        <w:pStyle w:val="Heading2"/>
      </w:pPr>
      <w:r>
        <w:t>10.5 Proving Track B: the Blind Review</w:t>
      </w:r>
    </w:p>
    <w:p>
      <w:pPr>
        <w:pStyle w:val="ListParagraph"/>
        <w:numPr>
          <w:ilvl w:val="0"/>
          <w:numId w:val="914"/>
        </w:numPr>
        <w:spacing w:after="60"/>
      </w:pPr>
      <w:r>
        <w:t>The top 25 flagged taxpayers are mixed with 25 unflagged taxpayers with no top-up history, picked at random from the same segments (decision 86).</w:t>
      </w:r>
    </w:p>
    <w:p>
      <w:pPr>
        <w:pStyle w:val="ListParagraph"/>
        <w:numPr>
          <w:ilvl w:val="0"/>
          <w:numId w:val="914"/>
        </w:numPr>
        <w:spacing w:after="60"/>
      </w:pPr>
      <w:r>
        <w:t>Officers see only codes, TINs and entries priced below peers, with a strength column (how far below) and a mark where the same goods appear on two entries. They do not know who was flagged.</w:t>
      </w:r>
    </w:p>
    <w:p>
      <w:pPr>
        <w:pStyle w:val="ListParagraph"/>
        <w:numPr>
          <w:ilvl w:val="0"/>
          <w:numId w:val="914"/>
        </w:numPr>
        <w:spacing w:after="60"/>
      </w:pPr>
      <w:r>
        <w:t>For each code they write Act, Do not act or Not sure.</w:t>
      </w:r>
    </w:p>
    <w:p>
      <w:pPr>
        <w:pStyle w:val="ListParagraph"/>
        <w:numPr>
          <w:ilvl w:val="0"/>
          <w:numId w:val="914"/>
        </w:numPr>
        <w:spacing w:after="60"/>
      </w:pPr>
      <w:r>
        <w:t>If the flagged group draws clearly more "Act" verdicts than the comparison group, Track B finds real risk.</w:t>
      </w:r>
    </w:p>
    <w:tbl>
      <w:tblPr>
        <w:tblW w:type="auto" w:w="0"/>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752"/>
      </w:tblGrid>
      <w:tr>
        <w:tc>
          <w:tcPr>
            <w:tcW w:type="dxa" w:w="9752"/>
            <w:shd w:val="clear" w:color="auto" w:fill="F2F6FC"/>
          </w:tcPr>
          <w:p>
            <w:r>
              <w:rPr>
                <w:b/>
                <w:color w:val="2F5496"/>
                <w:sz w:val="20"/>
              </w:rPr>
              <w:t>Why blind</w:t>
            </w:r>
          </w:p>
          <w:p>
            <w:pPr>
              <w:spacing w:after="60"/>
            </w:pPr>
            <w:r>
              <w:rPr>
                <w:sz w:val="20"/>
              </w:rPr>
              <w:t>If officers knew who was flagged, they would look harder at those and find more, and the test would prove nothing.</w:t>
            </w:r>
          </w:p>
        </w:tc>
      </w:tr>
    </w:tbl>
    <w:p>
      <w:pPr>
        <w:spacing w:after="40"/>
      </w:pPr>
    </w:p>
    <w:p>
      <w:pPr>
        <w:spacing w:after="120"/>
      </w:pPr>
      <w:r>
        <w:t>A low price is a reason to look, not proof: the customs value follows the valuation methods in order. Fuel (HS 27) is left out of the evidence, and prices under 5% of peers are marked "Check units" because they are more often a weight or quantity keyed in the wrong unit.</w:t>
      </w:r>
    </w:p>
    <w:p>
      <w:r>
        <w:br w:type="page"/>
      </w:r>
    </w:p>
    <w:p>
      <w:pPr>
        <w:pStyle w:val="Heading1"/>
      </w:pPr>
      <w:r>
        <w:t>Annex A: Settings Reference</w:t>
      </w:r>
    </w:p>
    <w:p>
      <w:pPr>
        <w:pStyle w:val="Caption"/>
      </w:pPr>
      <w:r>
        <w:t xml:space="preserve">Table </w:t>
      </w:r>
      <w:r>
        <w:fldChar w:fldCharType="begin"/>
      </w:r>
      <w:r>
        <w:instrText xml:space="preserve"> SEQ Table \* ARABIC </w:instrText>
      </w:r>
      <w:r>
        <w:fldChar w:fldCharType="separate"/>
      </w:r>
      <w:r>
        <w:t>33</w:t>
      </w:r>
      <w:r>
        <w:fldChar w:fldCharType="end"/>
      </w:r>
      <w:r>
        <w:t>: Settings in src/ctrp/core.py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581"/>
            <w:shd w:val="clear" w:color="auto" w:fill="D9E2F3"/>
          </w:tcPr>
          <w:p>
            <w:pPr>
              <w:spacing w:after="20" w:before="20" w:line="240" w:lineRule="auto"/>
            </w:pPr>
            <w:r/>
            <w:r>
              <w:rPr>
                <w:b/>
                <w:sz w:val="18"/>
              </w:rPr>
              <w:t>Setting</w:t>
            </w:r>
          </w:p>
        </w:tc>
        <w:tc>
          <w:tcPr>
            <w:tcW w:type="dxa" w:w="2008"/>
            <w:shd w:val="clear" w:color="auto" w:fill="D9E2F3"/>
          </w:tcPr>
          <w:p>
            <w:pPr>
              <w:spacing w:after="20" w:before="20" w:line="240" w:lineRule="auto"/>
            </w:pPr>
            <w:r/>
            <w:r>
              <w:rPr>
                <w:b/>
                <w:sz w:val="18"/>
              </w:rPr>
              <w:t>Value</w:t>
            </w:r>
          </w:p>
        </w:tc>
        <w:tc>
          <w:tcPr>
            <w:tcW w:type="dxa" w:w="5162"/>
            <w:shd w:val="clear" w:color="auto" w:fill="D9E2F3"/>
          </w:tcPr>
          <w:p>
            <w:pPr>
              <w:spacing w:after="20" w:before="20" w:line="240" w:lineRule="auto"/>
            </w:pPr>
            <w:r/>
            <w:r>
              <w:rPr>
                <w:b/>
                <w:sz w:val="18"/>
              </w:rPr>
              <w:t>Meaning</w:t>
            </w:r>
          </w:p>
        </w:tc>
      </w:tr>
      <w:tr>
        <w:tc>
          <w:tcPr>
            <w:tcW w:type="dxa" w:w="2581"/>
          </w:tcPr>
          <w:p>
            <w:pPr>
              <w:spacing w:after="20" w:before="20" w:line="240" w:lineRule="auto"/>
            </w:pPr>
            <w:r/>
            <w:r>
              <w:rPr>
                <w:sz w:val="18"/>
              </w:rPr>
              <w:t>MODEL_VERSION</w:t>
            </w:r>
          </w:p>
        </w:tc>
        <w:tc>
          <w:tcPr>
            <w:tcW w:type="dxa" w:w="2008"/>
          </w:tcPr>
          <w:p>
            <w:pPr>
              <w:spacing w:after="20" w:before="20" w:line="240" w:lineRule="auto"/>
            </w:pPr>
            <w:r/>
            <w:r>
              <w:rPr>
                <w:sz w:val="18"/>
              </w:rPr>
              <w:t>1.0.0-dev5</w:t>
            </w:r>
          </w:p>
        </w:tc>
        <w:tc>
          <w:tcPr>
            <w:tcW w:type="dxa" w:w="5162"/>
          </w:tcPr>
          <w:p>
            <w:pPr>
              <w:spacing w:after="20" w:before="20" w:line="240" w:lineRule="auto"/>
            </w:pPr>
            <w:r/>
            <w:r>
              <w:rPr>
                <w:sz w:val="18"/>
              </w:rPr>
              <w:t>Raised whenever a change can move a score</w:t>
            </w:r>
          </w:p>
        </w:tc>
      </w:tr>
      <w:tr>
        <w:tc>
          <w:tcPr>
            <w:tcW w:type="dxa" w:w="2581"/>
          </w:tcPr>
          <w:p>
            <w:pPr>
              <w:spacing w:after="20" w:before="20" w:line="240" w:lineRule="auto"/>
            </w:pPr>
            <w:r/>
            <w:r>
              <w:rPr>
                <w:sz w:val="18"/>
              </w:rPr>
              <w:t>RECENCY_WEIGHTS</w:t>
            </w:r>
          </w:p>
        </w:tc>
        <w:tc>
          <w:tcPr>
            <w:tcW w:type="dxa" w:w="2008"/>
          </w:tcPr>
          <w:p>
            <w:pPr>
              <w:spacing w:after="20" w:before="20" w:line="240" w:lineRule="auto"/>
            </w:pPr>
            <w:r/>
            <w:r>
              <w:rPr>
                <w:sz w:val="18"/>
              </w:rPr>
              <w:t>1, 0.5, 0.25</w:t>
            </w:r>
          </w:p>
        </w:tc>
        <w:tc>
          <w:tcPr>
            <w:tcW w:type="dxa" w:w="5162"/>
          </w:tcPr>
          <w:p>
            <w:pPr>
              <w:spacing w:after="20" w:before="20" w:line="240" w:lineRule="auto"/>
            </w:pPr>
            <w:r/>
            <w:r>
              <w:rPr>
                <w:sz w:val="18"/>
              </w:rPr>
              <w:t>How much each of the last 3 years counts in the history rates (4.9)</w:t>
            </w:r>
          </w:p>
        </w:tc>
      </w:tr>
      <w:tr>
        <w:tc>
          <w:tcPr>
            <w:tcW w:type="dxa" w:w="2581"/>
          </w:tcPr>
          <w:p>
            <w:pPr>
              <w:spacing w:after="20" w:before="20" w:line="240" w:lineRule="auto"/>
            </w:pPr>
            <w:r/>
            <w:r>
              <w:rPr>
                <w:sz w:val="18"/>
              </w:rPr>
              <w:t>PARAMS</w:t>
            </w:r>
          </w:p>
        </w:tc>
        <w:tc>
          <w:tcPr>
            <w:tcW w:type="dxa" w:w="2008"/>
          </w:tcPr>
          <w:p>
            <w:pPr>
              <w:spacing w:after="20" w:before="20" w:line="240" w:lineRule="auto"/>
            </w:pPr>
            <w:r/>
            <w:r>
              <w:rPr>
                <w:sz w:val="18"/>
              </w:rPr>
              <w:t>8 parameters</w:t>
            </w:r>
          </w:p>
        </w:tc>
        <w:tc>
          <w:tcPr>
            <w:tcW w:type="dxa" w:w="5162"/>
          </w:tcPr>
          <w:p>
            <w:pPr>
              <w:spacing w:after="20" w:before="20" w:line="240" w:lineRule="auto"/>
            </w:pPr>
            <w:r/>
            <w:r>
              <w:rPr>
                <w:sz w:val="18"/>
              </w:rPr>
              <w:t>Code, column, minimum risk level, maximum, L, I, wording (Part 3)</w:t>
            </w:r>
          </w:p>
        </w:tc>
      </w:tr>
      <w:tr>
        <w:tc>
          <w:tcPr>
            <w:tcW w:type="dxa" w:w="2581"/>
          </w:tcPr>
          <w:p>
            <w:pPr>
              <w:spacing w:after="20" w:before="20" w:line="240" w:lineRule="auto"/>
            </w:pPr>
            <w:r/>
            <w:r>
              <w:rPr>
                <w:sz w:val="18"/>
              </w:rPr>
              <w:t>SHRINK_K</w:t>
            </w:r>
          </w:p>
        </w:tc>
        <w:tc>
          <w:tcPr>
            <w:tcW w:type="dxa" w:w="2008"/>
          </w:tcPr>
          <w:p>
            <w:pPr>
              <w:spacing w:after="20" w:before="20" w:line="240" w:lineRule="auto"/>
            </w:pPr>
            <w:r/>
            <w:r>
              <w:rPr>
                <w:sz w:val="18"/>
              </w:rPr>
              <w:t>10</w:t>
            </w:r>
          </w:p>
        </w:tc>
        <w:tc>
          <w:tcPr>
            <w:tcW w:type="dxa" w:w="5162"/>
          </w:tcPr>
          <w:p>
            <w:pPr>
              <w:spacing w:after="20" w:before="20" w:line="240" w:lineRule="auto"/>
            </w:pPr>
            <w:r/>
            <w:r>
              <w:rPr>
                <w:sz w:val="18"/>
              </w:rPr>
              <w:t>Small-count weighting strength: w = n / (n + 10)</w:t>
            </w:r>
          </w:p>
        </w:tc>
      </w:tr>
      <w:tr>
        <w:tc>
          <w:tcPr>
            <w:tcW w:type="dxa" w:w="2581"/>
          </w:tcPr>
          <w:p>
            <w:pPr>
              <w:spacing w:after="20" w:before="20" w:line="240" w:lineRule="auto"/>
            </w:pPr>
            <w:r/>
            <w:r>
              <w:rPr>
                <w:sz w:val="18"/>
              </w:rPr>
              <w:t>SHRINK_N</w:t>
            </w:r>
          </w:p>
        </w:tc>
        <w:tc>
          <w:tcPr>
            <w:tcW w:type="dxa" w:w="2008"/>
          </w:tcPr>
          <w:p>
            <w:pPr>
              <w:spacing w:after="20" w:before="20" w:line="240" w:lineRule="auto"/>
            </w:pPr>
            <w:r/>
            <w:r>
              <w:rPr>
                <w:sz w:val="18"/>
              </w:rPr>
              <w:t>PAR_076 uses items</w:t>
            </w:r>
          </w:p>
        </w:tc>
        <w:tc>
          <w:tcPr>
            <w:tcW w:type="dxa" w:w="5162"/>
          </w:tcPr>
          <w:p>
            <w:pPr>
              <w:spacing w:after="20" w:before="20" w:line="240" w:lineRule="auto"/>
            </w:pPr>
            <w:r/>
            <w:r>
              <w:rPr>
                <w:sz w:val="18"/>
              </w:rPr>
              <w:t>Which count n each rate is weighted by (default: declarations)</w:t>
            </w:r>
          </w:p>
        </w:tc>
      </w:tr>
      <w:tr>
        <w:tc>
          <w:tcPr>
            <w:tcW w:type="dxa" w:w="2581"/>
          </w:tcPr>
          <w:p>
            <w:pPr>
              <w:spacing w:after="20" w:before="20" w:line="240" w:lineRule="auto"/>
            </w:pPr>
            <w:r/>
            <w:r>
              <w:rPr>
                <w:sz w:val="18"/>
              </w:rPr>
              <w:t>ADEQUATE_ENTRIES</w:t>
            </w:r>
          </w:p>
        </w:tc>
        <w:tc>
          <w:tcPr>
            <w:tcW w:type="dxa" w:w="2008"/>
          </w:tcPr>
          <w:p>
            <w:pPr>
              <w:spacing w:after="20" w:before="20" w:line="240" w:lineRule="auto"/>
            </w:pPr>
            <w:r/>
            <w:r>
              <w:rPr>
                <w:sz w:val="18"/>
              </w:rPr>
              <w:t>10</w:t>
            </w:r>
          </w:p>
        </w:tc>
        <w:tc>
          <w:tcPr>
            <w:tcW w:type="dxa" w:w="5162"/>
          </w:tcPr>
          <w:p>
            <w:pPr>
              <w:spacing w:after="20" w:before="20" w:line="240" w:lineRule="auto"/>
            </w:pPr>
            <w:r/>
            <w:r>
              <w:rPr>
                <w:sz w:val="18"/>
              </w:rPr>
              <w:t>Below this: limited history, no peer group, no pattern note</w:t>
            </w:r>
          </w:p>
        </w:tc>
      </w:tr>
      <w:tr>
        <w:tc>
          <w:tcPr>
            <w:tcW w:type="dxa" w:w="2581"/>
          </w:tcPr>
          <w:p>
            <w:pPr>
              <w:spacing w:after="20" w:before="20" w:line="240" w:lineRule="auto"/>
            </w:pPr>
            <w:r/>
            <w:r>
              <w:rPr>
                <w:sz w:val="18"/>
              </w:rPr>
              <w:t>HS_SECTIONS</w:t>
            </w:r>
          </w:p>
        </w:tc>
        <w:tc>
          <w:tcPr>
            <w:tcW w:type="dxa" w:w="2008"/>
          </w:tcPr>
          <w:p>
            <w:pPr>
              <w:spacing w:after="20" w:before="20" w:line="240" w:lineRule="auto"/>
            </w:pPr>
            <w:r/>
            <w:r>
              <w:rPr>
                <w:sz w:val="18"/>
              </w:rPr>
              <w:t>21 WCO sections</w:t>
            </w:r>
          </w:p>
        </w:tc>
        <w:tc>
          <w:tcPr>
            <w:tcW w:type="dxa" w:w="5162"/>
          </w:tcPr>
          <w:p>
            <w:pPr>
              <w:spacing w:after="20" w:before="20" w:line="240" w:lineRule="auto"/>
            </w:pPr>
            <w:r/>
            <w:r>
              <w:rPr>
                <w:sz w:val="18"/>
              </w:rPr>
              <w:t>Turns an HS chapter into a section name for peer groups</w:t>
            </w:r>
          </w:p>
        </w:tc>
      </w:tr>
      <w:tr>
        <w:tc>
          <w:tcPr>
            <w:tcW w:type="dxa" w:w="2581"/>
          </w:tcPr>
          <w:p>
            <w:pPr>
              <w:spacing w:after="20" w:before="20" w:line="240" w:lineRule="auto"/>
            </w:pPr>
            <w:r/>
            <w:r>
              <w:rPr>
                <w:sz w:val="18"/>
              </w:rPr>
              <w:t>MIN_GROUP_FOR_PATTERN</w:t>
            </w:r>
          </w:p>
        </w:tc>
        <w:tc>
          <w:tcPr>
            <w:tcW w:type="dxa" w:w="2008"/>
          </w:tcPr>
          <w:p>
            <w:pPr>
              <w:spacing w:after="20" w:before="20" w:line="240" w:lineRule="auto"/>
            </w:pPr>
            <w:r/>
            <w:r>
              <w:rPr>
                <w:sz w:val="18"/>
              </w:rPr>
              <w:t>30</w:t>
            </w:r>
          </w:p>
        </w:tc>
        <w:tc>
          <w:tcPr>
            <w:tcW w:type="dxa" w:w="5162"/>
          </w:tcPr>
          <w:p>
            <w:pPr>
              <w:spacing w:after="20" w:before="20" w:line="240" w:lineRule="auto"/>
            </w:pPr>
            <w:r/>
            <w:r>
              <w:rPr>
                <w:sz w:val="18"/>
              </w:rPr>
              <w:t>Smaller peer groups are pooled into "Other goods, &lt;size&gt;"</w:t>
            </w:r>
          </w:p>
        </w:tc>
      </w:tr>
      <w:tr>
        <w:tc>
          <w:tcPr>
            <w:tcW w:type="dxa" w:w="2581"/>
          </w:tcPr>
          <w:p>
            <w:pPr>
              <w:spacing w:after="20" w:before="20" w:line="240" w:lineRule="auto"/>
            </w:pPr>
            <w:r/>
            <w:r>
              <w:rPr>
                <w:sz w:val="18"/>
              </w:rPr>
              <w:t>PATTERN_NOTE_PCT</w:t>
            </w:r>
          </w:p>
        </w:tc>
        <w:tc>
          <w:tcPr>
            <w:tcW w:type="dxa" w:w="2008"/>
          </w:tcPr>
          <w:p>
            <w:pPr>
              <w:spacing w:after="20" w:before="20" w:line="240" w:lineRule="auto"/>
            </w:pPr>
            <w:r/>
            <w:r>
              <w:rPr>
                <w:sz w:val="18"/>
              </w:rPr>
              <w:t>0.95</w:t>
            </w:r>
          </w:p>
        </w:tc>
        <w:tc>
          <w:tcPr>
            <w:tcW w:type="dxa" w:w="5162"/>
          </w:tcPr>
          <w:p>
            <w:pPr>
              <w:spacing w:after="20" w:before="20" w:line="240" w:lineRule="auto"/>
            </w:pPr>
            <w:r/>
            <w:r>
              <w:rPr>
                <w:sz w:val="18"/>
              </w:rPr>
              <w:t>Pattern note for taxpayers more unusual than 95% of their group</w:t>
            </w:r>
          </w:p>
        </w:tc>
      </w:tr>
      <w:tr>
        <w:tc>
          <w:tcPr>
            <w:tcW w:type="dxa" w:w="2581"/>
          </w:tcPr>
          <w:p>
            <w:pPr>
              <w:spacing w:after="20" w:before="20" w:line="240" w:lineRule="auto"/>
            </w:pPr>
            <w:r/>
            <w:r>
              <w:rPr>
                <w:sz w:val="18"/>
              </w:rPr>
              <w:t>LOW_AGREE</w:t>
            </w:r>
          </w:p>
        </w:tc>
        <w:tc>
          <w:tcPr>
            <w:tcW w:type="dxa" w:w="2008"/>
          </w:tcPr>
          <w:p>
            <w:pPr>
              <w:spacing w:after="20" w:before="20" w:line="240" w:lineRule="auto"/>
            </w:pPr>
            <w:r/>
            <w:r>
              <w:rPr>
                <w:sz w:val="18"/>
              </w:rPr>
              <w:t>see code</w:t>
            </w:r>
          </w:p>
        </w:tc>
        <w:tc>
          <w:tcPr>
            <w:tcW w:type="dxa" w:w="5162"/>
          </w:tcPr>
          <w:p>
            <w:pPr>
              <w:spacing w:after="20" w:before="20" w:line="240" w:lineRule="auto"/>
            </w:pPr>
            <w:r/>
            <w:r>
              <w:rPr>
                <w:sz w:val="18"/>
              </w:rPr>
              <w:t>When the scorecard and pattern check are said to disagree</w:t>
            </w:r>
          </w:p>
        </w:tc>
      </w:tr>
      <w:tr>
        <w:tc>
          <w:tcPr>
            <w:tcW w:type="dxa" w:w="2581"/>
          </w:tcPr>
          <w:p>
            <w:pPr>
              <w:spacing w:after="20" w:before="20" w:line="240" w:lineRule="auto"/>
            </w:pPr>
            <w:r/>
            <w:r>
              <w:rPr>
                <w:sz w:val="18"/>
              </w:rPr>
              <w:t>BANDS</w:t>
            </w:r>
          </w:p>
        </w:tc>
        <w:tc>
          <w:tcPr>
            <w:tcW w:type="dxa" w:w="2008"/>
          </w:tcPr>
          <w:p>
            <w:pPr>
              <w:spacing w:after="20" w:before="20" w:line="240" w:lineRule="auto"/>
            </w:pPr>
            <w:r/>
            <w:r>
              <w:rPr>
                <w:sz w:val="18"/>
              </w:rPr>
              <w:t>15 / 35 / 50 / 80 / 100</w:t>
            </w:r>
          </w:p>
        </w:tc>
        <w:tc>
          <w:tcPr>
            <w:tcW w:type="dxa" w:w="5162"/>
          </w:tcPr>
          <w:p>
            <w:pPr>
              <w:spacing w:after="20" w:before="20" w:line="240" w:lineRule="auto"/>
            </w:pPr>
            <w:r/>
            <w:r>
              <w:rPr>
                <w:sz w:val="18"/>
              </w:rPr>
              <w:t>Upper score of each band</w:t>
            </w:r>
          </w:p>
        </w:tc>
      </w:tr>
      <w:tr>
        <w:tc>
          <w:tcPr>
            <w:tcW w:type="dxa" w:w="2581"/>
          </w:tcPr>
          <w:p>
            <w:pPr>
              <w:spacing w:after="20" w:before="20" w:line="240" w:lineRule="auto"/>
            </w:pPr>
            <w:r/>
            <w:r>
              <w:rPr>
                <w:sz w:val="18"/>
              </w:rPr>
              <w:t>SEED</w:t>
            </w:r>
          </w:p>
        </w:tc>
        <w:tc>
          <w:tcPr>
            <w:tcW w:type="dxa" w:w="2008"/>
          </w:tcPr>
          <w:p>
            <w:pPr>
              <w:spacing w:after="20" w:before="20" w:line="240" w:lineRule="auto"/>
            </w:pPr>
            <w:r/>
            <w:r>
              <w:rPr>
                <w:sz w:val="18"/>
              </w:rPr>
              <w:t>42</w:t>
            </w:r>
          </w:p>
        </w:tc>
        <w:tc>
          <w:tcPr>
            <w:tcW w:type="dxa" w:w="5162"/>
          </w:tcPr>
          <w:p>
            <w:pPr>
              <w:spacing w:after="20" w:before="20" w:line="240" w:lineRule="auto"/>
            </w:pPr>
            <w:r/>
            <w:r>
              <w:rPr>
                <w:sz w:val="18"/>
              </w:rPr>
              <w:t>Fixed randomness, so the same input always gives the same result</w:t>
            </w:r>
          </w:p>
        </w:tc>
      </w:tr>
    </w:tbl>
    <w:p>
      <w:pPr>
        <w:spacing w:after="40"/>
      </w:pP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1"/>
    <w:lvlOverride w:ilvl="0">
      <w:startOverride w:val="1"/>
    </w:lvlOverride>
  </w:num>
  <w:num w:numId="902">
    <w:abstractNumId w:val="900"/>
    <w:lvlOverride w:ilvl="0">
      <w:startOverride w:val="1"/>
    </w:lvlOverride>
  </w:num>
  <w:num w:numId="903">
    <w:abstractNumId w:val="901"/>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1"/>
    <w:lvlOverride w:ilvl="0">
      <w:startOverride w:val="1"/>
    </w:lvlOverride>
  </w:num>
  <w:num w:numId="909">
    <w:abstractNumId w:val="900"/>
    <w:lvlOverride w:ilvl="0">
      <w:startOverride w:val="1"/>
    </w:lvlOverride>
  </w:num>
  <w:num w:numId="910">
    <w:abstractNumId w:val="901"/>
    <w:lvlOverride w:ilvl="0">
      <w:startOverride w:val="1"/>
    </w:lvlOverride>
  </w:num>
  <w:num w:numId="911">
    <w:abstractNumId w:val="901"/>
    <w:lvlOverride w:ilvl="0">
      <w:startOverride w:val="1"/>
    </w:lvlOverride>
  </w:num>
  <w:num w:numId="912">
    <w:abstractNumId w:val="901"/>
    <w:lvlOverride w:ilvl="0">
      <w:startOverride w:val="1"/>
    </w:lvlOverride>
  </w:num>
  <w:num w:numId="913">
    <w:abstractNumId w:val="900"/>
    <w:lvlOverride w:ilvl="0">
      <w:startOverride w:val="1"/>
    </w:lvlOverride>
  </w:num>
  <w:num w:numId="914">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