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2F5496"/>
          <w:sz w:val="16"/>
        </w:rPr>
        <w:t>CLASSIFICATION: CONFIDENTIAL</w:t>
      </w:r>
    </w:p>
    <w:p/>
    <w:p/>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ura_logo.png"/>
                    <pic:cNvPicPr/>
                  </pic:nvPicPr>
                  <pic:blipFill>
                    <a:blip r:embed="rId19"/>
                    <a:stretch>
                      <a:fillRect/>
                    </a:stretch>
                  </pic:blipFill>
                  <pic:spPr>
                    <a:xfrm>
                      <a:off x="0" y="0"/>
                      <a:ext cx="1800000" cy="1800000"/>
                    </a:xfrm>
                    <a:prstGeom prst="rect"/>
                  </pic:spPr>
                </pic:pic>
              </a:graphicData>
            </a:graphic>
          </wp:inline>
        </w:drawing>
      </w:r>
    </w:p>
    <w:p/>
    <w:p>
      <w:pPr>
        <w:spacing w:after="120"/>
        <w:jc w:val="center"/>
      </w:pPr>
      <w:r>
        <w:t>Information Technology and Innovation Department</w:t>
      </w:r>
    </w:p>
    <w:p/>
    <w:p/>
    <w:p>
      <w:pPr>
        <w:jc w:val="center"/>
      </w:pPr>
      <w:r>
        <w:rPr>
          <w:b/>
          <w:color w:val="2F5496"/>
          <w:sz w:val="30"/>
        </w:rPr>
        <w:t>CUSTOMS TAXPAYER RISK PROFILING MODEL</w:t>
      </w:r>
    </w:p>
    <w:p>
      <w:pPr>
        <w:spacing w:after="120"/>
        <w:jc w:val="center"/>
      </w:pPr>
      <w:r>
        <w:t>How the Model Works: a Plain-Language and Technical Explanation</w:t>
      </w:r>
    </w:p>
    <w:p/>
    <w:p>
      <w:pPr>
        <w:jc w:val="center"/>
      </w:pPr>
      <w:r>
        <w:rPr>
          <w:b/>
          <w:sz w:val="18"/>
        </w:rPr>
        <w:t>VERSION 0.1, OCTOBER 2026 (DRAFT)</w:t>
      </w:r>
    </w:p>
    <w:p>
      <w:pPr>
        <w:sectPr>
          <w:footerReference w:type="default" r:id="rId11"/>
          <w:headerReference w:type="default" r:id="rId18"/>
          <w:pgSz w:w="11906" w:h="16838" w:code="9"/>
          <w:pgMar w:top="1440" w:right="1077" w:bottom="1440" w:left="1077" w:header="706" w:footer="706" w:gutter="0"/>
          <w:cols w:space="720"/>
          <w:docGrid w:linePitch="360"/>
        </w:sectPr>
      </w:pPr>
    </w:p>
    <w:p>
      <w:pPr>
        <w:pStyle w:val="Heading1"/>
      </w:pPr>
      <w:r>
        <w:t>Document Control &amp; Authority</w:t>
      </w:r>
    </w:p>
    <w:p>
      <w:pPr>
        <w:pStyle w:val="Caption"/>
      </w:pPr>
      <w:r>
        <w:t xml:space="preserve">Table </w:t>
      </w:r>
      <w:r>
        <w:fldChar w:fldCharType="begin"/>
      </w:r>
      <w:r>
        <w:instrText xml:space="preserve"> SEQ Table \* ARABIC </w:instrText>
      </w:r>
      <w:r>
        <w:fldChar w:fldCharType="separate"/>
      </w:r>
      <w:r>
        <w:t>1</w:t>
      </w:r>
      <w:r>
        <w:fldChar w:fldCharType="end"/>
      </w:r>
      <w:r>
        <w:t>: Document Information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Document Title</w:t>
            </w:r>
          </w:p>
        </w:tc>
        <w:tc>
          <w:tcPr>
            <w:tcW w:type="dxa" w:w="7457"/>
          </w:tcPr>
          <w:p>
            <w:pPr>
              <w:spacing w:after="20" w:before="20" w:line="240" w:lineRule="auto"/>
            </w:pPr>
            <w:r/>
            <w:r>
              <w:rPr>
                <w:sz w:val="18"/>
              </w:rPr>
              <w:t>Customs Taxpayer Risk Profiling Model: How CTRP works</w:t>
            </w:r>
          </w:p>
        </w:tc>
      </w:tr>
      <w:tr>
        <w:tc>
          <w:tcPr>
            <w:tcW w:type="dxa" w:w="2294"/>
          </w:tcPr>
          <w:p>
            <w:pPr>
              <w:spacing w:after="20" w:before="20" w:line="240" w:lineRule="auto"/>
            </w:pPr>
            <w:r/>
            <w:r>
              <w:rPr>
                <w:sz w:val="18"/>
              </w:rPr>
              <w:t>Version</w:t>
            </w:r>
          </w:p>
        </w:tc>
        <w:tc>
          <w:tcPr>
            <w:tcW w:type="dxa" w:w="7457"/>
          </w:tcPr>
          <w:p>
            <w:pPr>
              <w:spacing w:after="20" w:before="20" w:line="240" w:lineRule="auto"/>
            </w:pPr>
            <w:r/>
            <w:r>
              <w:rPr>
                <w:sz w:val="18"/>
              </w:rPr>
              <w:t>0.1 (draft)</w:t>
            </w:r>
          </w:p>
        </w:tc>
      </w:tr>
      <w:tr>
        <w:tc>
          <w:tcPr>
            <w:tcW w:type="dxa" w:w="2294"/>
          </w:tcPr>
          <w:p>
            <w:pPr>
              <w:spacing w:after="20" w:before="20" w:line="240" w:lineRule="auto"/>
            </w:pPr>
            <w:r/>
            <w:r>
              <w:rPr>
                <w:sz w:val="18"/>
              </w:rPr>
              <w:t>Classification</w:t>
            </w:r>
          </w:p>
        </w:tc>
        <w:tc>
          <w:tcPr>
            <w:tcW w:type="dxa" w:w="7457"/>
          </w:tcPr>
          <w:p>
            <w:pPr>
              <w:spacing w:after="20" w:before="20" w:line="240" w:lineRule="auto"/>
            </w:pPr>
            <w:r/>
            <w:r>
              <w:rPr>
                <w:sz w:val="18"/>
              </w:rPr>
              <w:t>Confidential</w:t>
            </w:r>
          </w:p>
        </w:tc>
      </w:tr>
      <w:tr>
        <w:tc>
          <w:tcPr>
            <w:tcW w:type="dxa" w:w="2294"/>
          </w:tcPr>
          <w:p>
            <w:pPr>
              <w:spacing w:after="20" w:before="20" w:line="240" w:lineRule="auto"/>
            </w:pPr>
            <w:r/>
            <w:r>
              <w:rPr>
                <w:sz w:val="18"/>
              </w:rPr>
              <w:t>Owner</w:t>
            </w:r>
          </w:p>
        </w:tc>
        <w:tc>
          <w:tcPr>
            <w:tcW w:type="dxa" w:w="7457"/>
          </w:tcPr>
          <w:p>
            <w:pPr>
              <w:spacing w:after="20" w:before="20" w:line="240" w:lineRule="auto"/>
            </w:pPr>
            <w:r/>
            <w:r>
              <w:rPr>
                <w:sz w:val="18"/>
              </w:rPr>
              <w:t>Data Science Section, Data, Innovations and Projects Division, ITID</w:t>
            </w:r>
          </w:p>
        </w:tc>
      </w:tr>
      <w:tr>
        <w:tc>
          <w:tcPr>
            <w:tcW w:type="dxa" w:w="2294"/>
          </w:tcPr>
          <w:p>
            <w:pPr>
              <w:spacing w:after="20" w:before="20" w:line="240" w:lineRule="auto"/>
            </w:pPr>
            <w:r/>
            <w:r>
              <w:rPr>
                <w:sz w:val="18"/>
              </w:rPr>
              <w:t>Describes</w:t>
            </w:r>
          </w:p>
        </w:tc>
        <w:tc>
          <w:tcPr>
            <w:tcW w:type="dxa" w:w="7457"/>
          </w:tcPr>
          <w:p>
            <w:pPr>
              <w:spacing w:after="20" w:before="20" w:line="240" w:lineRule="auto"/>
            </w:pPr>
            <w:r/>
            <w:r>
              <w:rPr>
                <w:sz w:val="18"/>
              </w:rPr>
              <w:t>Model version 1.0.0-dev5 and the ctrp project</w:t>
            </w:r>
          </w:p>
        </w:tc>
      </w:tr>
      <w:tr>
        <w:tc>
          <w:tcPr>
            <w:tcW w:type="dxa" w:w="2294"/>
          </w:tcPr>
          <w:p>
            <w:pPr>
              <w:spacing w:after="20" w:before="20" w:line="240" w:lineRule="auto"/>
            </w:pPr>
            <w:r/>
            <w:r>
              <w:rPr>
                <w:sz w:val="18"/>
              </w:rPr>
              <w:t>Source</w:t>
            </w:r>
          </w:p>
        </w:tc>
        <w:tc>
          <w:tcPr>
            <w:tcW w:type="dxa" w:w="7457"/>
          </w:tcPr>
          <w:p>
            <w:pPr>
              <w:spacing w:after="20" w:before="20" w:line="240" w:lineRule="auto"/>
            </w:pPr>
            <w:r/>
            <w:r>
              <w:rPr>
                <w:sz w:val="18"/>
              </w:rPr>
              <w:t>docs/CTRP_How_It_Works.md (edit the Markdown, then rebuild with python main.py docs)</w:t>
            </w:r>
          </w:p>
        </w:tc>
      </w:tr>
    </w:tbl>
    <w:p>
      <w:pPr>
        <w:spacing w:after="40"/>
      </w:pPr>
    </w:p>
    <w:p>
      <w:r>
        <w:br w:type="page"/>
      </w:r>
    </w:p>
    <w:p>
      <w:pPr>
        <w:pStyle w:val="TOCHeading"/>
      </w:pPr>
      <w:r>
        <w:t>Table of Contents</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Pr>
      <w:r>
        <w:t>List of Tables</w:t>
      </w:r>
    </w:p>
    <w:p>
      <w:r>
        <w:fldChar w:fldCharType="begin"/>
      </w:r>
      <w:r>
        <w:instrText xml:space="preserve"> TOC \h \z \c "Table" </w:instrText>
      </w:r>
      <w:r>
        <w:fldChar w:fldCharType="separate"/>
      </w:r>
      <w:r>
        <w:t>Right-click here and choose Update Field to list the tables.</w:t>
      </w:r>
      <w:r>
        <w:fldChar w:fldCharType="end"/>
      </w:r>
    </w:p>
    <w:p>
      <w:pPr>
        <w:pStyle w:val="Heading1"/>
      </w:pPr>
      <w:r>
        <w:t>List of Figures</w:t>
      </w:r>
    </w:p>
    <w:p>
      <w:r>
        <w:fldChar w:fldCharType="begin"/>
      </w:r>
      <w:r>
        <w:instrText xml:space="preserve"> TOC \h \z \c "Figure" </w:instrText>
      </w:r>
      <w:r>
        <w:fldChar w:fldCharType="separate"/>
      </w:r>
      <w:r>
        <w:t>Right-click here and choose Update Field to list the figures.</w:t>
      </w:r>
      <w:r>
        <w:fldChar w:fldCharType="end"/>
      </w:r>
    </w:p>
    <w:p>
      <w:pPr>
        <w:sectPr>
          <w:footerReference w:type="default" r:id="rId21"/>
          <w:headerReference w:type="default" r:id="rId24"/>
          <w:pgSz w:w="11906" w:h="16838" w:code="9"/>
          <w:pgMar w:top="1440" w:right="1077" w:bottom="1440" w:left="1077" w:header="706" w:footer="706" w:gutter="0"/>
          <w:cols w:space="720"/>
          <w:docGrid w:linePitch="360"/>
          <w:pgNumType w:fmt="lowerRoman" w:start="1"/>
        </w:sectPr>
      </w:pPr>
    </w:p>
    <w:p>
      <w:pPr>
        <w:spacing w:after="120"/>
      </w:pPr>
      <w:r>
        <w:t>The Customs Taxpayer Risk Profiling model, explained from the ground up.</w:t>
      </w:r>
    </w:p>
    <w:p>
      <w:pPr>
        <w:spacing w:after="120"/>
      </w:pPr>
      <w:r>
        <w:t xml:space="preserve">For a file-by-file reading guide with line numbers, see </w:t>
      </w:r>
      <w:r>
        <w:rPr>
          <w:rFonts w:ascii="Consolas" w:hAnsi="Consolas"/>
        </w:rPr>
        <w:t>docs/CODE_WALKTHROUGH.md</w:t>
      </w:r>
      <w:r>
        <w:t xml:space="preserve">. To see every step on made-up data, run </w:t>
      </w:r>
      <w:r>
        <w:rPr>
          <w:rFonts w:ascii="Consolas" w:hAnsi="Consolas"/>
        </w:rPr>
        <w:t>python notebooks/walkthrough_demo.py</w:t>
      </w:r>
      <w:r>
        <w:t>.</w:t>
      </w:r>
    </w:p>
    <w:p>
      <w:pPr>
        <w:spacing w:after="120"/>
      </w:pPr>
      <w:r>
        <w:t>Each section has two parts:</w:t>
      </w:r>
    </w:p>
    <w:p>
      <w:pPr>
        <w:pStyle w:val="ListParagraph"/>
        <w:numPr>
          <w:ilvl w:val="0"/>
          <w:numId w:val="901"/>
        </w:numPr>
        <w:spacing w:after="60"/>
      </w:pPr>
      <w:r>
        <w:rPr>
          <w:b/>
        </w:rPr>
        <w:t>Simple version</w:t>
      </w:r>
      <w:r>
        <w:t>: written for a 10-year-old. No prior knowledge assumed.</w:t>
      </w:r>
    </w:p>
    <w:p>
      <w:pPr>
        <w:pStyle w:val="ListParagraph"/>
        <w:numPr>
          <w:ilvl w:val="0"/>
          <w:numId w:val="901"/>
        </w:numPr>
        <w:spacing w:after="60"/>
      </w:pPr>
      <w:r>
        <w:rPr>
          <w:b/>
        </w:rPr>
        <w:t>Technical version</w:t>
      </w:r>
      <w:r>
        <w:t>: the real engineering and maths, with pointers to the code.</w:t>
      </w:r>
    </w:p>
    <w:p>
      <w:pPr>
        <w:spacing w:after="120"/>
      </w:pPr>
      <w:r>
        <w:t>Every number here comes from the code (</w:t>
      </w:r>
      <w:r>
        <w:rPr>
          <w:rFonts w:ascii="Consolas" w:hAnsi="Consolas"/>
        </w:rPr>
        <w:t>src/ctrp/</w:t>
      </w:r>
      <w:r>
        <w:t>) or from the decision log (</w:t>
      </w:r>
      <w:r>
        <w:rPr>
          <w:rFonts w:ascii="Consolas" w:hAnsi="Consolas"/>
        </w:rPr>
        <w:t>docs/DECISIONS.md</w:t>
      </w:r>
      <w:r>
        <w:t xml:space="preserve">, cited as "D" plus a number, e.g. D41). Model version </w:t>
      </w:r>
      <w:r>
        <w:rPr>
          <w:rFonts w:ascii="Consolas" w:hAnsi="Consolas"/>
        </w:rPr>
        <w:t>1.0.0-dev5</w:t>
      </w:r>
      <w:r>
        <w:t>.</w:t>
      </w:r>
    </w:p>
    <w:p>
      <w:pPr>
        <w:pStyle w:val="Heading1"/>
      </w:pPr>
      <w:r>
        <w:t>Part 0. The words you need first</w:t>
      </w:r>
    </w:p>
    <w:p>
      <w:pPr>
        <w:pStyle w:val="Caption"/>
      </w:pPr>
      <w:r>
        <w:t xml:space="preserve">Table </w:t>
      </w:r>
      <w:r>
        <w:fldChar w:fldCharType="begin"/>
      </w:r>
      <w:r>
        <w:instrText xml:space="preserve"> SEQ Table \* ARABIC </w:instrText>
      </w:r>
      <w:r>
        <w:fldChar w:fldCharType="separate"/>
      </w:r>
      <w:r>
        <w:t>2</w:t>
      </w:r>
      <w:r>
        <w:fldChar w:fldCharType="end"/>
      </w:r>
      <w:r>
        <w:t>: Part 0. The words you need first</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250"/>
            <w:shd w:val="clear" w:color="auto" w:fill="D9E2F3"/>
          </w:tcPr>
          <w:p>
            <w:pPr>
              <w:spacing w:after="20" w:before="20" w:line="240" w:lineRule="auto"/>
            </w:pPr>
            <w:r/>
            <w:r>
              <w:rPr>
                <w:b/>
                <w:sz w:val="18"/>
              </w:rPr>
              <w:t>Word</w:t>
            </w:r>
          </w:p>
        </w:tc>
        <w:tc>
          <w:tcPr>
            <w:tcW w:type="dxa" w:w="3250"/>
            <w:shd w:val="clear" w:color="auto" w:fill="D9E2F3"/>
          </w:tcPr>
          <w:p>
            <w:pPr>
              <w:spacing w:after="20" w:before="20" w:line="240" w:lineRule="auto"/>
            </w:pPr>
            <w:r/>
            <w:r>
              <w:rPr>
                <w:b/>
                <w:sz w:val="18"/>
              </w:rPr>
              <w:t>Simple version</w:t>
            </w:r>
          </w:p>
        </w:tc>
        <w:tc>
          <w:tcPr>
            <w:tcW w:type="dxa" w:w="3250"/>
            <w:shd w:val="clear" w:color="auto" w:fill="D9E2F3"/>
          </w:tcPr>
          <w:p>
            <w:pPr>
              <w:spacing w:after="20" w:before="20" w:line="240" w:lineRule="auto"/>
            </w:pPr>
            <w:r/>
            <w:r>
              <w:rPr>
                <w:b/>
                <w:sz w:val="18"/>
              </w:rPr>
              <w:t>Technical version</w:t>
            </w:r>
          </w:p>
        </w:tc>
      </w:tr>
      <w:tr>
        <w:tc>
          <w:tcPr>
            <w:tcW w:type="dxa" w:w="3250"/>
          </w:tcPr>
          <w:p>
            <w:pPr>
              <w:spacing w:after="20" w:before="20" w:line="240" w:lineRule="auto"/>
            </w:pPr>
            <w:r/>
            <w:r>
              <w:rPr>
                <w:sz w:val="18"/>
              </w:rPr>
              <w:t>Taxpayer / TIN</w:t>
            </w:r>
          </w:p>
        </w:tc>
        <w:tc>
          <w:tcPr>
            <w:tcW w:type="dxa" w:w="3250"/>
          </w:tcPr>
          <w:p>
            <w:pPr>
              <w:spacing w:after="20" w:before="20" w:line="240" w:lineRule="auto"/>
            </w:pPr>
            <w:r/>
            <w:r>
              <w:rPr>
                <w:sz w:val="18"/>
              </w:rPr>
              <w:t>A company that brings goods into Uganda. Its TIN is its ID number, like a student number.</w:t>
            </w:r>
          </w:p>
        </w:tc>
        <w:tc>
          <w:tcPr>
            <w:tcW w:type="dxa" w:w="3250"/>
          </w:tcPr>
          <w:p>
            <w:pPr>
              <w:spacing w:after="20" w:before="20" w:line="240" w:lineRule="auto"/>
            </w:pPr>
            <w:r/>
            <w:r>
              <w:rPr>
                <w:sz w:val="18"/>
              </w:rPr>
              <w:t>A 10-digit Taxpayer Identification Number. Only IM4 (home use) and IM7 (into bond) importers are scored (D1, D2).</w:t>
            </w:r>
          </w:p>
        </w:tc>
      </w:tr>
      <w:tr>
        <w:tc>
          <w:tcPr>
            <w:tcW w:type="dxa" w:w="3250"/>
          </w:tcPr>
          <w:p>
            <w:pPr>
              <w:spacing w:after="20" w:before="20" w:line="240" w:lineRule="auto"/>
            </w:pPr>
            <w:r/>
            <w:r>
              <w:rPr>
                <w:sz w:val="18"/>
              </w:rPr>
              <w:t>Declaration (entry)</w:t>
            </w:r>
          </w:p>
        </w:tc>
        <w:tc>
          <w:tcPr>
            <w:tcW w:type="dxa" w:w="3250"/>
          </w:tcPr>
          <w:p>
            <w:pPr>
              <w:spacing w:after="20" w:before="20" w:line="240" w:lineRule="auto"/>
            </w:pPr>
            <w:r/>
            <w:r>
              <w:rPr>
                <w:sz w:val="18"/>
              </w:rPr>
              <w:t>The form a company fills in to say "I'm bringing in these goods, worth this much."</w:t>
            </w:r>
          </w:p>
        </w:tc>
        <w:tc>
          <w:tcPr>
            <w:tcW w:type="dxa" w:w="3250"/>
          </w:tcPr>
          <w:p>
            <w:pPr>
              <w:spacing w:after="20" w:before="20" w:line="240" w:lineRule="auto"/>
            </w:pPr>
            <w:r/>
            <w:r>
              <w:rPr>
                <w:sz w:val="18"/>
              </w:rPr>
              <w:t>One customs declaration. One entry = entry number + station + year; only the latest declaration ID per entry is kept (rule R14, D109).</w:t>
            </w:r>
          </w:p>
        </w:tc>
      </w:tr>
      <w:tr>
        <w:tc>
          <w:tcPr>
            <w:tcW w:type="dxa" w:w="3250"/>
          </w:tcPr>
          <w:p>
            <w:pPr>
              <w:spacing w:after="20" w:before="20" w:line="240" w:lineRule="auto"/>
            </w:pPr>
            <w:r/>
            <w:r>
              <w:rPr>
                <w:sz w:val="18"/>
              </w:rPr>
              <w:t>Item</w:t>
            </w:r>
          </w:p>
        </w:tc>
        <w:tc>
          <w:tcPr>
            <w:tcW w:type="dxa" w:w="3250"/>
          </w:tcPr>
          <w:p>
            <w:pPr>
              <w:spacing w:after="20" w:before="20" w:line="240" w:lineRule="auto"/>
            </w:pPr>
            <w:r/>
            <w:r>
              <w:rPr>
                <w:sz w:val="18"/>
              </w:rPr>
              <w:t>One line on the form, such as "200 shirts."</w:t>
            </w:r>
          </w:p>
        </w:tc>
        <w:tc>
          <w:tcPr>
            <w:tcW w:type="dxa" w:w="3250"/>
          </w:tcPr>
          <w:p>
            <w:pPr>
              <w:spacing w:after="20" w:before="20" w:line="240" w:lineRule="auto"/>
            </w:pPr>
            <w:r/>
            <w:r>
              <w:rPr>
                <w:sz w:val="18"/>
              </w:rPr>
              <w:t>One item row: HS code, origin, value, weight, procedure code (CPC/APC), tax.</w:t>
            </w:r>
          </w:p>
        </w:tc>
      </w:tr>
      <w:tr>
        <w:tc>
          <w:tcPr>
            <w:tcW w:type="dxa" w:w="3250"/>
          </w:tcPr>
          <w:p>
            <w:pPr>
              <w:spacing w:after="20" w:before="20" w:line="240" w:lineRule="auto"/>
            </w:pPr>
            <w:r/>
            <w:r>
              <w:rPr>
                <w:sz w:val="18"/>
              </w:rPr>
              <w:t>HS code</w:t>
            </w:r>
          </w:p>
        </w:tc>
        <w:tc>
          <w:tcPr>
            <w:tcW w:type="dxa" w:w="3250"/>
          </w:tcPr>
          <w:p>
            <w:pPr>
              <w:spacing w:after="20" w:before="20" w:line="240" w:lineRule="auto"/>
            </w:pPr>
            <w:r/>
            <w:r>
              <w:rPr>
                <w:sz w:val="18"/>
              </w:rPr>
              <w:t>A number for every kind of thing. Shirts get one number, cars another.</w:t>
            </w:r>
          </w:p>
        </w:tc>
        <w:tc>
          <w:tcPr>
            <w:tcW w:type="dxa" w:w="3250"/>
          </w:tcPr>
          <w:p>
            <w:pPr>
              <w:spacing w:after="20" w:before="20" w:line="240" w:lineRule="auto"/>
            </w:pPr>
            <w:r/>
            <w:r>
              <w:rPr>
                <w:sz w:val="18"/>
              </w:rPr>
              <w:t>The Harmonised System tariff code. Chapter = first 2 digits, heading = first 4. Chapters group into 21 WCO sections (</w:t>
            </w:r>
            <w:r>
              <w:rPr>
                <w:rFonts w:ascii="Consolas" w:hAnsi="Consolas"/>
                <w:sz w:val="18"/>
              </w:rPr>
              <w:t>core.HS_SECTIONS</w:t>
            </w:r>
            <w:r>
              <w:rPr>
                <w:sz w:val="18"/>
              </w:rPr>
              <w:t>).</w:t>
            </w:r>
          </w:p>
        </w:tc>
      </w:tr>
      <w:tr>
        <w:tc>
          <w:tcPr>
            <w:tcW w:type="dxa" w:w="3250"/>
          </w:tcPr>
          <w:p>
            <w:pPr>
              <w:spacing w:after="20" w:before="20" w:line="240" w:lineRule="auto"/>
            </w:pPr>
            <w:r/>
            <w:r>
              <w:rPr>
                <w:sz w:val="18"/>
              </w:rPr>
              <w:t>Top-up</w:t>
            </w:r>
          </w:p>
        </w:tc>
        <w:tc>
          <w:tcPr>
            <w:tcW w:type="dxa" w:w="3250"/>
          </w:tcPr>
          <w:p>
            <w:pPr>
              <w:spacing w:after="20" w:before="20" w:line="240" w:lineRule="auto"/>
            </w:pPr>
            <w:r/>
            <w:r>
              <w:rPr>
                <w:sz w:val="18"/>
              </w:rPr>
              <w:t>Customs checked and found the company paid too little tax, so the company had to pay more.</w:t>
            </w:r>
          </w:p>
        </w:tc>
        <w:tc>
          <w:tcPr>
            <w:tcW w:type="dxa" w:w="3250"/>
          </w:tcPr>
          <w:p>
            <w:pPr>
              <w:spacing w:after="20" w:before="20" w:line="240" w:lineRule="auto"/>
            </w:pPr>
            <w:r/>
            <w:r>
              <w:rPr>
                <w:sz w:val="18"/>
              </w:rPr>
              <w:t xml:space="preserve">A declaration with </w:t>
            </w:r>
            <w:r>
              <w:rPr>
                <w:rFonts w:ascii="Consolas" w:hAnsi="Consolas"/>
                <w:sz w:val="18"/>
              </w:rPr>
              <w:t>top_up_flg = Y</w:t>
            </w:r>
            <w:r>
              <w:rPr>
                <w:sz w:val="18"/>
              </w:rPr>
              <w:t xml:space="preserve"> and final tax &gt; original tax. Amount = final − original (D7).</w:t>
            </w:r>
          </w:p>
        </w:tc>
      </w:tr>
      <w:tr>
        <w:tc>
          <w:tcPr>
            <w:tcW w:type="dxa" w:w="3250"/>
          </w:tcPr>
          <w:p>
            <w:pPr>
              <w:spacing w:after="20" w:before="20" w:line="240" w:lineRule="auto"/>
            </w:pPr>
            <w:r/>
            <w:r>
              <w:rPr>
                <w:sz w:val="18"/>
              </w:rPr>
              <w:t>Red / yellow lane</w:t>
            </w:r>
          </w:p>
        </w:tc>
        <w:tc>
          <w:tcPr>
            <w:tcW w:type="dxa" w:w="3250"/>
          </w:tcPr>
          <w:p>
            <w:pPr>
              <w:spacing w:after="20" w:before="20" w:line="240" w:lineRule="auto"/>
            </w:pPr>
            <w:r/>
            <w:r>
              <w:rPr>
                <w:sz w:val="18"/>
              </w:rPr>
              <w:t>Red: customs opens the box and looks. Yellow: customs checks the papers.</w:t>
            </w:r>
          </w:p>
        </w:tc>
        <w:tc>
          <w:tcPr>
            <w:tcW w:type="dxa" w:w="3250"/>
          </w:tcPr>
          <w:p>
            <w:pPr>
              <w:spacing w:after="20" w:before="20" w:line="240" w:lineRule="auto"/>
            </w:pPr>
            <w:r/>
            <w:r>
              <w:rPr>
                <w:sz w:val="18"/>
              </w:rPr>
              <w:t xml:space="preserve">Physical or documentary inspection. A </w:t>
            </w:r>
            <w:r>
              <w:rPr>
                <w:b/>
                <w:sz w:val="18"/>
              </w:rPr>
              <w:t>check</w:t>
            </w:r>
            <w:r>
              <w:rPr>
                <w:sz w:val="18"/>
              </w:rPr>
              <w:t xml:space="preserve"> = a declaration that went red or yellow. A </w:t>
            </w:r>
            <w:r>
              <w:rPr>
                <w:b/>
                <w:sz w:val="18"/>
              </w:rPr>
              <w:t>hit</w:t>
            </w:r>
            <w:r>
              <w:rPr>
                <w:sz w:val="18"/>
              </w:rPr>
              <w:t xml:space="preserve"> = a check that ended in a top-up.</w:t>
            </w:r>
          </w:p>
        </w:tc>
      </w:tr>
      <w:tr>
        <w:tc>
          <w:tcPr>
            <w:tcW w:type="dxa" w:w="3250"/>
          </w:tcPr>
          <w:p>
            <w:pPr>
              <w:spacing w:after="20" w:before="20" w:line="240" w:lineRule="auto"/>
            </w:pPr>
            <w:r/>
            <w:r>
              <w:rPr>
                <w:sz w:val="18"/>
              </w:rPr>
              <w:t>Snapshot</w:t>
            </w:r>
          </w:p>
        </w:tc>
        <w:tc>
          <w:tcPr>
            <w:tcW w:type="dxa" w:w="3250"/>
          </w:tcPr>
          <w:p>
            <w:pPr>
              <w:spacing w:after="20" w:before="20" w:line="240" w:lineRule="auto"/>
            </w:pPr>
            <w:r/>
            <w:r>
              <w:rPr>
                <w:sz w:val="18"/>
              </w:rPr>
              <w:t>A photo taken on one day: "what did we know about everyone on 31 March 2026?"</w:t>
            </w:r>
          </w:p>
        </w:tc>
        <w:tc>
          <w:tcPr>
            <w:tcW w:type="dxa" w:w="3250"/>
          </w:tcPr>
          <w:p>
            <w:pPr>
              <w:spacing w:after="20" w:before="20" w:line="240" w:lineRule="auto"/>
            </w:pPr>
            <w:r/>
            <w:r>
              <w:rPr>
                <w:sz w:val="18"/>
              </w:rPr>
              <w:t>The scoring date. Features use the history before it. Outcomes use the 6 months after it.</w:t>
            </w:r>
          </w:p>
        </w:tc>
      </w:tr>
      <w:tr>
        <w:tc>
          <w:tcPr>
            <w:tcW w:type="dxa" w:w="3250"/>
          </w:tcPr>
          <w:p>
            <w:pPr>
              <w:spacing w:after="20" w:before="20" w:line="240" w:lineRule="auto"/>
            </w:pPr>
            <w:r/>
            <w:r>
              <w:rPr>
                <w:sz w:val="18"/>
              </w:rPr>
              <w:t>Back-test</w:t>
            </w:r>
          </w:p>
        </w:tc>
        <w:tc>
          <w:tcPr>
            <w:tcW w:type="dxa" w:w="3250"/>
          </w:tcPr>
          <w:p>
            <w:pPr>
              <w:spacing w:after="20" w:before="20" w:line="240" w:lineRule="auto"/>
            </w:pPr>
            <w:r/>
            <w:r>
              <w:rPr>
                <w:sz w:val="18"/>
              </w:rPr>
              <w:t>Pretend it's March 2026, make predictions, then look at what actually happened by September.</w:t>
            </w:r>
          </w:p>
        </w:tc>
        <w:tc>
          <w:tcPr>
            <w:tcW w:type="dxa" w:w="3250"/>
          </w:tcPr>
          <w:p>
            <w:pPr>
              <w:spacing w:after="20" w:before="20" w:line="240" w:lineRule="auto"/>
            </w:pPr>
            <w:r/>
            <w:r>
              <w:rPr>
                <w:sz w:val="18"/>
              </w:rPr>
              <w:t>Score a past snapshot and compare with its closed 6-month outcome window.</w:t>
            </w:r>
          </w:p>
        </w:tc>
      </w:tr>
    </w:tbl>
    <w:p>
      <w:pPr>
        <w:spacing w:after="40"/>
      </w:pPr>
    </w:p>
    <w:p>
      <w:r>
        <w:br w:type="page"/>
      </w:r>
    </w:p>
    <w:p>
      <w:pPr>
        <w:pStyle w:val="Heading1"/>
      </w:pPr>
      <w:r>
        <w:t>Part 1. The big picture</w:t>
      </w:r>
    </w:p>
    <w:p>
      <w:pPr>
        <w:pStyle w:val="Heading2"/>
      </w:pPr>
      <w:r>
        <w:t>Simple version</w:t>
      </w:r>
    </w:p>
    <w:p>
      <w:pPr>
        <w:spacing w:after="120"/>
      </w:pPr>
      <w:r>
        <w:t>Picture a school with 35,000 students and only a few teachers who can check homework. The teachers can't check everyone. So they need a list: "Check these students first, because they're most likely to have made mistakes."</w:t>
      </w:r>
    </w:p>
    <w:p>
      <w:pPr>
        <w:spacing w:after="120"/>
      </w:pPr>
      <w:r>
        <w:t xml:space="preserve">CTRP builds that list for customs. It looks at what each company did in the past and gives it a </w:t>
      </w:r>
      <w:r>
        <w:rPr>
          <w:b/>
        </w:rPr>
        <w:t>score from 0 to 100</w:t>
      </w:r>
      <w:r>
        <w:t xml:space="preserve">. A higher score means "more worth checking." It also writes down </w:t>
      </w:r>
      <w:r>
        <w:rPr>
          <w:b/>
        </w:rPr>
        <w:t>why</w:t>
      </w:r>
      <w:r>
        <w:t xml:space="preserve"> in plain sentences, so an officer never has to trust a mystery number.</w:t>
      </w:r>
    </w:p>
    <w:p>
      <w:pPr>
        <w:spacing w:after="120"/>
      </w:pPr>
      <w:r>
        <w:t xml:space="preserve">There are two ways it looks at a company. We call them two </w:t>
      </w:r>
      <w:r>
        <w:rPr>
          <w:b/>
        </w:rPr>
        <w:t>tracks</w:t>
      </w:r>
      <w:r>
        <w:t>:</w:t>
      </w:r>
    </w:p>
    <w:p>
      <w:pPr>
        <w:pStyle w:val="ListParagraph"/>
        <w:numPr>
          <w:ilvl w:val="0"/>
          <w:numId w:val="902"/>
        </w:numPr>
        <w:spacing w:after="60"/>
      </w:pPr>
      <w:r>
        <w:rPr>
          <w:b/>
        </w:rPr>
        <w:t>Track A (History)</w:t>
      </w:r>
      <w:r>
        <w:t>: "Has this company been caught paying too little before?" Like a teacher remembering who copied homework last term.</w:t>
      </w:r>
    </w:p>
    <w:p>
      <w:pPr>
        <w:pStyle w:val="ListParagraph"/>
        <w:numPr>
          <w:ilvl w:val="0"/>
          <w:numId w:val="902"/>
        </w:numPr>
        <w:spacing w:after="60"/>
      </w:pPr>
      <w:r>
        <w:rPr>
          <w:b/>
        </w:rPr>
        <w:t>Track B (Behaviour)</w:t>
      </w:r>
      <w:r>
        <w:t>: "Does this company *act* strangely, even if it's never been caught?" Like a teacher noticing someone always hands in homework with suspiciously round answers, even though nobody has caught them cheating yet.</w:t>
      </w:r>
    </w:p>
    <w:p>
      <w:pPr>
        <w:pStyle w:val="Heading2"/>
      </w:pPr>
      <w:r>
        <w:t>Technical version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Data Lake view (vw_cstm_AEO_model, item-level rows)</w:t>
            </w:r>
          </w:p>
          <w:p>
            <w:pPr>
              <w:spacing w:after="0" w:line="240" w:lineRule="auto"/>
            </w:pPr>
            <w:r>
              <w:rPr>
                <w:rFonts w:ascii="Consolas" w:hAnsi="Consolas"/>
                <w:sz w:val="14"/>
              </w:rPr>
              <w:t xml:space="preserve">   │  SQL: clean (R1–R15), one row per item, then per declaration, then per taxpayer</w:t>
            </w:r>
          </w:p>
          <w:p>
            <w:pPr>
              <w:spacing w:after="0" w:line="240" w:lineRule="auto"/>
            </w:pPr>
            <w:r>
              <w:rPr>
                <w:rFonts w:ascii="Consolas" w:hAnsi="Consolas"/>
                <w:sz w:val="14"/>
              </w:rPr>
              <w:t xml:space="preserve">   ▼</w:t>
            </w:r>
          </w:p>
          <w:p>
            <w:pPr>
              <w:spacing w:after="0" w:line="240" w:lineRule="auto"/>
            </w:pPr>
            <w:r>
              <w:rPr>
                <w:rFonts w:ascii="Consolas" w:hAnsi="Consolas"/>
                <w:sz w:val="14"/>
              </w:rPr>
              <w:t>Extract: one row per TIN, ~60 features + out_* outcome columns   (src/ctrp/sql/features_outcomes.sql)</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Track A  core.score_snapshot()</w:t>
            </w:r>
          </w:p>
          <w:p>
            <w:pPr>
              <w:spacing w:after="0" w:line="240" w:lineRule="auto"/>
            </w:pPr>
            <w:r>
              <w:rPr>
                <w:rFonts w:ascii="Consolas" w:hAnsi="Consolas"/>
                <w:sz w:val="14"/>
              </w:rPr>
              <w:t xml:space="preserve">   │     L1 peer groups       HS section × size tier</w:t>
            </w:r>
          </w:p>
          <w:p>
            <w:pPr>
              <w:spacing w:after="0" w:line="240" w:lineRule="auto"/>
            </w:pPr>
            <w:r>
              <w:rPr>
                <w:rFonts w:ascii="Consolas" w:hAnsi="Consolas"/>
                <w:sz w:val="14"/>
              </w:rPr>
              <w:t xml:space="preserve">   │     L2 scorecard         8 parameters → points → 0..100   (the score)</w:t>
            </w:r>
          </w:p>
          <w:p>
            <w:pPr>
              <w:spacing w:after="0" w:line="240" w:lineRule="auto"/>
            </w:pPr>
            <w:r>
              <w:rPr>
                <w:rFonts w:ascii="Consolas" w:hAnsi="Consolas"/>
                <w:sz w:val="14"/>
              </w:rPr>
              <w:t xml:space="preserve">   │     L3 pattern check     Isolation Forest per peer group → a NOTE, no points</w:t>
            </w:r>
          </w:p>
          <w:p>
            <w:pPr>
              <w:spacing w:after="0" w:line="240" w:lineRule="auto"/>
            </w:pPr>
            <w:r>
              <w:rPr>
                <w:rFonts w:ascii="Consolas" w:hAnsi="Consolas"/>
                <w:sz w:val="14"/>
              </w:rPr>
              <w:t xml:space="preserve">   │     L4 score and band    VERY LOW … VERY HIGH, reasons, notes</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Track B  discovery.score_snapshot_b()</w:t>
            </w:r>
          </w:p>
          <w:p>
            <w:pPr>
              <w:spacing w:after="0" w:line="240" w:lineRule="auto"/>
            </w:pPr>
            <w:r>
              <w:rPr>
                <w:rFonts w:ascii="Consolas" w:hAnsi="Consolas"/>
                <w:sz w:val="14"/>
              </w:rPr>
              <w:t xml:space="preserve">   │     behaviour features → peer percentiles → monotone additive boosting</w:t>
            </w:r>
          </w:p>
          <w:p>
            <w:pPr>
              <w:spacing w:after="0" w:line="240" w:lineRule="auto"/>
            </w:pPr>
            <w:r>
              <w:rPr>
                <w:rFonts w:ascii="Consolas" w:hAnsi="Consolas"/>
                <w:sz w:val="14"/>
              </w:rPr>
              <w:t xml:space="preserve">   │     → behaviour percentile, 2 reasons, Risky Behaviour Flag</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 report.two_tracks(): Overall Risk Band = higher of the two (Track B can lift to HIGH at most)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results/CTRP_scores_&lt;date&gt;.xlsx  (+ CSV of Track A scores)</w:t>
            </w:r>
          </w:p>
        </w:tc>
      </w:tr>
    </w:tbl>
    <w:p>
      <w:pPr>
        <w:spacing w:after="40"/>
      </w:pPr>
    </w:p>
    <w:p>
      <w:pPr>
        <w:spacing w:after="120"/>
      </w:pPr>
      <w:r>
        <w:t xml:space="preserve">Entry point for one run: </w:t>
      </w:r>
      <w:r>
        <w:rPr>
          <w:rFonts w:ascii="Consolas" w:hAnsi="Consolas"/>
        </w:rPr>
        <w:t>pipeline.score_file(path)</w:t>
      </w:r>
      <w:r>
        <w:t xml:space="preserve">, or </w:t>
      </w:r>
      <w:r>
        <w:rPr>
          <w:rFonts w:ascii="Consolas" w:hAnsi="Consolas"/>
        </w:rPr>
        <w:t>python main.py score data/live_2026-09-30.csv</w:t>
      </w:r>
      <w:r>
        <w:t>.</w:t>
      </w:r>
    </w:p>
    <w:p>
      <w:r>
        <w:br w:type="page"/>
      </w:r>
    </w:p>
    <w:p>
      <w:pPr>
        <w:pStyle w:val="Heading1"/>
      </w:pPr>
      <w:r>
        <w:t>Part 2. Getting the data ready (cleaning)</w:t>
      </w:r>
    </w:p>
    <w:p>
      <w:pPr>
        <w:pStyle w:val="Heading2"/>
      </w:pPr>
      <w:r>
        <w:t>Simple version</w:t>
      </w:r>
    </w:p>
    <w:p>
      <w:pPr>
        <w:spacing w:after="120"/>
      </w:pPr>
      <w:r>
        <w:t>Before you can count anything, you have to make sure the list is right. Imagine your class list has some names written twice, some crossed out, and some with spelling mistakes. If you count without fixing it, you get the wrong answer.</w:t>
      </w:r>
    </w:p>
    <w:p>
      <w:pPr>
        <w:spacing w:after="120"/>
      </w:pPr>
      <w:r>
        <w:t>The customs data had the same kinds of problems. Some items appeared up to 522 times. Some forms were cancelled. Some forms were filed twice under different numbers. We wrote 15 rules to clean it, such as "count each item once" and "ignore cancelled forms." We also removed cars and motorbikes. A separate model looks at those.</w:t>
      </w:r>
    </w:p>
    <w:p>
      <w:pPr>
        <w:pStyle w:val="Heading2"/>
      </w:pPr>
      <w:r>
        <w:t>Technical version</w:t>
      </w:r>
    </w:p>
    <w:p>
      <w:pPr>
        <w:spacing w:after="120"/>
      </w:pPr>
      <w:r>
        <w:t>The rules live in the SQL (</w:t>
      </w:r>
      <w:r>
        <w:rPr>
          <w:rFonts w:ascii="Consolas" w:hAnsi="Consolas"/>
        </w:rPr>
        <w:t>src/ctrp/sql/features_outcomes.sql</w:t>
      </w:r>
      <w:r>
        <w:t>, "cleaned item table"). The main ones:</w:t>
      </w:r>
    </w:p>
    <w:p>
      <w:pPr>
        <w:pStyle w:val="Caption"/>
      </w:pPr>
      <w:r>
        <w:t xml:space="preserve">Table </w:t>
      </w:r>
      <w:r>
        <w:fldChar w:fldCharType="begin"/>
      </w:r>
      <w:r>
        <w:instrText xml:space="preserve"> SEQ Table \* ARABIC </w:instrText>
      </w:r>
      <w:r>
        <w:fldChar w:fldCharType="separate"/>
      </w:r>
      <w:r>
        <w:t>3</w:t>
      </w:r>
      <w:r>
        <w:fldChar w:fldCharType="end"/>
      </w:r>
      <w:r>
        <w:t>: Technical version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1219"/>
            <w:shd w:val="clear" w:color="auto" w:fill="D9E2F3"/>
          </w:tcPr>
          <w:p>
            <w:pPr>
              <w:spacing w:after="20" w:before="20" w:line="240" w:lineRule="auto"/>
            </w:pPr>
            <w:r/>
            <w:r>
              <w:rPr>
                <w:b/>
                <w:sz w:val="18"/>
              </w:rPr>
              <w:t>Rule</w:t>
            </w:r>
          </w:p>
        </w:tc>
        <w:tc>
          <w:tcPr>
            <w:tcW w:type="dxa" w:w="4266"/>
            <w:shd w:val="clear" w:color="auto" w:fill="D9E2F3"/>
          </w:tcPr>
          <w:p>
            <w:pPr>
              <w:spacing w:after="20" w:before="20" w:line="240" w:lineRule="auto"/>
            </w:pPr>
            <w:r/>
            <w:r>
              <w:rPr>
                <w:b/>
                <w:sz w:val="18"/>
              </w:rPr>
              <w:t>What</w:t>
            </w:r>
          </w:p>
        </w:tc>
        <w:tc>
          <w:tcPr>
            <w:tcW w:type="dxa" w:w="4266"/>
            <w:shd w:val="clear" w:color="auto" w:fill="D9E2F3"/>
          </w:tcPr>
          <w:p>
            <w:pPr>
              <w:spacing w:after="20" w:before="20" w:line="240" w:lineRule="auto"/>
            </w:pPr>
            <w:r/>
            <w:r>
              <w:rPr>
                <w:b/>
                <w:sz w:val="18"/>
              </w:rPr>
              <w:t>Why (evidence)</w:t>
            </w:r>
          </w:p>
        </w:tc>
      </w:tr>
      <w:tr>
        <w:tc>
          <w:tcPr>
            <w:tcW w:type="dxa" w:w="1219"/>
          </w:tcPr>
          <w:p>
            <w:pPr>
              <w:spacing w:after="20" w:before="20" w:line="240" w:lineRule="auto"/>
            </w:pPr>
            <w:r/>
            <w:r>
              <w:rPr>
                <w:sz w:val="18"/>
              </w:rPr>
              <w:t>R1</w:t>
            </w:r>
          </w:p>
        </w:tc>
        <w:tc>
          <w:tcPr>
            <w:tcW w:type="dxa" w:w="4266"/>
          </w:tcPr>
          <w:p>
            <w:pPr>
              <w:spacing w:after="20" w:before="20" w:line="240" w:lineRule="auto"/>
            </w:pPr>
            <w:r/>
            <w:r>
              <w:rPr>
                <w:sz w:val="18"/>
              </w:rPr>
              <w:t>IM4 and IM7 only</w:t>
            </w:r>
          </w:p>
        </w:tc>
        <w:tc>
          <w:tcPr>
            <w:tcW w:type="dxa" w:w="4266"/>
          </w:tcPr>
          <w:p>
            <w:pPr>
              <w:spacing w:after="20" w:before="20" w:line="240" w:lineRule="auto"/>
            </w:pPr>
            <w:r/>
            <w:r>
              <w:rPr>
                <w:sz w:val="18"/>
              </w:rPr>
              <w:t>Transit and export carry guarantees, not duty paid (D1)</w:t>
            </w:r>
          </w:p>
        </w:tc>
      </w:tr>
      <w:tr>
        <w:tc>
          <w:tcPr>
            <w:tcW w:type="dxa" w:w="1219"/>
          </w:tcPr>
          <w:p>
            <w:pPr>
              <w:spacing w:after="20" w:before="20" w:line="240" w:lineRule="auto"/>
            </w:pPr>
            <w:r/>
            <w:r>
              <w:rPr>
                <w:sz w:val="18"/>
              </w:rPr>
              <w:t>R3</w:t>
            </w:r>
          </w:p>
        </w:tc>
        <w:tc>
          <w:tcPr>
            <w:tcW w:type="dxa" w:w="4266"/>
          </w:tcPr>
          <w:p>
            <w:pPr>
              <w:spacing w:after="20" w:before="20" w:line="240" w:lineRule="auto"/>
            </w:pPr>
            <w:r/>
            <w:r>
              <w:rPr>
                <w:sz w:val="18"/>
              </w:rPr>
              <w:t>Valid 10-digit TIN</w:t>
            </w:r>
          </w:p>
        </w:tc>
        <w:tc>
          <w:tcPr>
            <w:tcW w:type="dxa" w:w="4266"/>
          </w:tcPr>
          <w:p>
            <w:pPr>
              <w:spacing w:after="20" w:before="20" w:line="240" w:lineRule="auto"/>
            </w:pPr>
            <w:r/>
            <w:r>
              <w:rPr>
                <w:sz w:val="18"/>
              </w:rPr>
              <w:t>D2</w:t>
            </w:r>
          </w:p>
        </w:tc>
      </w:tr>
      <w:tr>
        <w:tc>
          <w:tcPr>
            <w:tcW w:type="dxa" w:w="1219"/>
          </w:tcPr>
          <w:p>
            <w:pPr>
              <w:spacing w:after="20" w:before="20" w:line="240" w:lineRule="auto"/>
            </w:pPr>
            <w:r/>
            <w:r>
              <w:rPr>
                <w:sz w:val="18"/>
              </w:rPr>
              <w:t>R4</w:t>
            </w:r>
          </w:p>
        </w:tc>
        <w:tc>
          <w:tcPr>
            <w:tcW w:type="dxa" w:w="4266"/>
          </w:tcPr>
          <w:p>
            <w:pPr>
              <w:spacing w:after="20" w:before="20" w:line="240" w:lineRule="auto"/>
            </w:pPr>
            <w:r/>
            <w:r>
              <w:rPr>
                <w:sz w:val="18"/>
              </w:rPr>
              <w:t>Drop cancelled declarations</w:t>
            </w:r>
          </w:p>
        </w:tc>
        <w:tc>
          <w:tcPr>
            <w:tcW w:type="dxa" w:w="4266"/>
          </w:tcPr>
          <w:p>
            <w:pPr>
              <w:spacing w:after="20" w:before="20" w:line="240" w:lineRule="auto"/>
            </w:pPr>
            <w:r/>
            <w:r>
              <w:rPr>
                <w:sz w:val="18"/>
              </w:rPr>
              <w:t>14,065 cancelled (D4)</w:t>
            </w:r>
          </w:p>
        </w:tc>
      </w:tr>
      <w:tr>
        <w:tc>
          <w:tcPr>
            <w:tcW w:type="dxa" w:w="1219"/>
          </w:tcPr>
          <w:p>
            <w:pPr>
              <w:spacing w:after="20" w:before="20" w:line="240" w:lineRule="auto"/>
            </w:pPr>
            <w:r/>
            <w:r>
              <w:rPr>
                <w:sz w:val="18"/>
              </w:rPr>
              <w:t>R5</w:t>
            </w:r>
          </w:p>
        </w:tc>
        <w:tc>
          <w:tcPr>
            <w:tcW w:type="dxa" w:w="4266"/>
          </w:tcPr>
          <w:p>
            <w:pPr>
              <w:spacing w:after="20" w:before="20" w:line="240" w:lineRule="auto"/>
            </w:pPr>
            <w:r/>
            <w:r>
              <w:rPr>
                <w:sz w:val="18"/>
              </w:rPr>
              <w:t>One row per item</w:t>
            </w:r>
          </w:p>
        </w:tc>
        <w:tc>
          <w:tcPr>
            <w:tcW w:type="dxa" w:w="4266"/>
          </w:tcPr>
          <w:p>
            <w:pPr>
              <w:spacing w:after="20" w:before="20" w:line="240" w:lineRule="auto"/>
            </w:pPr>
            <w:r/>
            <w:r>
              <w:rPr>
                <w:sz w:val="18"/>
              </w:rPr>
              <w:t>The view joins each item to every inspection action, so items repeat up to 522 times (D5, D123)</w:t>
            </w:r>
          </w:p>
        </w:tc>
      </w:tr>
      <w:tr>
        <w:tc>
          <w:tcPr>
            <w:tcW w:type="dxa" w:w="1219"/>
          </w:tcPr>
          <w:p>
            <w:pPr>
              <w:spacing w:after="20" w:before="20" w:line="240" w:lineRule="auto"/>
            </w:pPr>
            <w:r/>
            <w:r>
              <w:rPr>
                <w:sz w:val="18"/>
              </w:rPr>
              <w:t>—</w:t>
            </w:r>
          </w:p>
        </w:tc>
        <w:tc>
          <w:tcPr>
            <w:tcW w:type="dxa" w:w="4266"/>
          </w:tcPr>
          <w:p>
            <w:pPr>
              <w:spacing w:after="20" w:before="20" w:line="240" w:lineRule="auto"/>
            </w:pPr>
            <w:r/>
            <w:r>
              <w:rPr>
                <w:sz w:val="18"/>
              </w:rPr>
              <w:t>Tax counted once per declaration</w:t>
            </w:r>
          </w:p>
        </w:tc>
        <w:tc>
          <w:tcPr>
            <w:tcW w:type="dxa" w:w="4266"/>
          </w:tcPr>
          <w:p>
            <w:pPr>
              <w:spacing w:after="20" w:before="20" w:line="240" w:lineRule="auto"/>
            </w:pPr>
            <w:r/>
            <w:r>
              <w:rPr>
                <w:sz w:val="18"/>
              </w:rPr>
              <w:t>Tax is identical on every item of a declaration (D6)</w:t>
            </w:r>
          </w:p>
        </w:tc>
      </w:tr>
      <w:tr>
        <w:tc>
          <w:tcPr>
            <w:tcW w:type="dxa" w:w="1219"/>
          </w:tcPr>
          <w:p>
            <w:pPr>
              <w:spacing w:after="20" w:before="20" w:line="240" w:lineRule="auto"/>
            </w:pPr>
            <w:r/>
            <w:r>
              <w:rPr>
                <w:sz w:val="18"/>
              </w:rPr>
              <w:t>—</w:t>
            </w:r>
          </w:p>
        </w:tc>
        <w:tc>
          <w:tcPr>
            <w:tcW w:type="dxa" w:w="4266"/>
          </w:tcPr>
          <w:p>
            <w:pPr>
              <w:spacing w:after="20" w:before="20" w:line="240" w:lineRule="auto"/>
            </w:pPr>
            <w:r/>
            <w:r>
              <w:rPr>
                <w:sz w:val="18"/>
              </w:rPr>
              <w:t>Blank original tax = unchanged</w:t>
            </w:r>
          </w:p>
        </w:tc>
        <w:tc>
          <w:tcPr>
            <w:tcW w:type="dxa" w:w="4266"/>
          </w:tcPr>
          <w:p>
            <w:pPr>
              <w:spacing w:after="20" w:before="20" w:line="240" w:lineRule="auto"/>
            </w:pPr>
            <w:r/>
            <w:r>
              <w:rPr>
                <w:sz w:val="18"/>
              </w:rPr>
              <w:t>Blank on ~37% of unflagged declarations (D9; an inference, flagged as such)</w:t>
            </w:r>
          </w:p>
        </w:tc>
      </w:tr>
      <w:tr>
        <w:tc>
          <w:tcPr>
            <w:tcW w:type="dxa" w:w="1219"/>
          </w:tcPr>
          <w:p>
            <w:pPr>
              <w:spacing w:after="20" w:before="20" w:line="240" w:lineRule="auto"/>
            </w:pPr>
            <w:r/>
            <w:r>
              <w:rPr>
                <w:sz w:val="18"/>
              </w:rPr>
              <w:t>R13</w:t>
            </w:r>
          </w:p>
        </w:tc>
        <w:tc>
          <w:tcPr>
            <w:tcW w:type="dxa" w:w="4266"/>
          </w:tcPr>
          <w:p>
            <w:pPr>
              <w:spacing w:after="20" w:before="20" w:line="240" w:lineRule="auto"/>
            </w:pPr>
            <w:r/>
            <w:r>
              <w:rPr>
                <w:sz w:val="18"/>
              </w:rPr>
              <w:t>APC 483 out</w:t>
            </w:r>
          </w:p>
        </w:tc>
        <w:tc>
          <w:tcPr>
            <w:tcW w:type="dxa" w:w="4266"/>
          </w:tcPr>
          <w:p>
            <w:pPr>
              <w:spacing w:after="20" w:before="20" w:line="240" w:lineRule="auto"/>
            </w:pPr>
            <w:r/>
            <w:r>
              <w:rPr>
                <w:sz w:val="18"/>
              </w:rPr>
              <w:t>Destroyed/abandoned goods and dummy reconciliations (D43, D61, D110)</w:t>
            </w:r>
          </w:p>
        </w:tc>
      </w:tr>
      <w:tr>
        <w:tc>
          <w:tcPr>
            <w:tcW w:type="dxa" w:w="1219"/>
          </w:tcPr>
          <w:p>
            <w:pPr>
              <w:spacing w:after="20" w:before="20" w:line="240" w:lineRule="auto"/>
            </w:pPr>
            <w:r/>
            <w:r>
              <w:rPr>
                <w:sz w:val="18"/>
              </w:rPr>
              <w:t>R14</w:t>
            </w:r>
          </w:p>
        </w:tc>
        <w:tc>
          <w:tcPr>
            <w:tcW w:type="dxa" w:w="4266"/>
          </w:tcPr>
          <w:p>
            <w:pPr>
              <w:spacing w:after="20" w:before="20" w:line="240" w:lineRule="auto"/>
            </w:pPr>
            <w:r/>
            <w:r>
              <w:rPr>
                <w:sz w:val="18"/>
              </w:rPr>
              <w:t>Latest declaration ID per entry key</w:t>
            </w:r>
          </w:p>
        </w:tc>
        <w:tc>
          <w:tcPr>
            <w:tcW w:type="dxa" w:w="4266"/>
          </w:tcPr>
          <w:p>
            <w:pPr>
              <w:spacing w:after="20" w:before="20" w:line="240" w:lineRule="auto"/>
            </w:pPr>
            <w:r/>
            <w:r>
              <w:rPr>
                <w:sz w:val="18"/>
              </w:rPr>
              <w:t>One entry can sit under several IDs (D109)</w:t>
            </w:r>
          </w:p>
        </w:tc>
      </w:tr>
      <w:tr>
        <w:tc>
          <w:tcPr>
            <w:tcW w:type="dxa" w:w="1219"/>
          </w:tcPr>
          <w:p>
            <w:pPr>
              <w:spacing w:after="20" w:before="20" w:line="240" w:lineRule="auto"/>
            </w:pPr>
            <w:r/>
            <w:r>
              <w:rPr>
                <w:sz w:val="18"/>
              </w:rPr>
              <w:t>R15</w:t>
            </w:r>
          </w:p>
        </w:tc>
        <w:tc>
          <w:tcPr>
            <w:tcW w:type="dxa" w:w="4266"/>
          </w:tcPr>
          <w:p>
            <w:pPr>
              <w:spacing w:after="20" w:before="20" w:line="240" w:lineRule="auto"/>
            </w:pPr>
            <w:r/>
            <w:r>
              <w:rPr>
                <w:sz w:val="18"/>
              </w:rPr>
              <w:t>Motor vehicles out (HS 8701–8708, 8711)</w:t>
            </w:r>
          </w:p>
        </w:tc>
        <w:tc>
          <w:tcPr>
            <w:tcW w:type="dxa" w:w="4266"/>
          </w:tcPr>
          <w:p>
            <w:pPr>
              <w:spacing w:after="20" w:before="20" w:line="240" w:lineRule="auto"/>
            </w:pPr>
            <w:r/>
            <w:r>
              <w:rPr>
                <w:sz w:val="18"/>
              </w:rPr>
              <w:t>A separate MV model covers them (D110, D112)</w:t>
            </w:r>
          </w:p>
        </w:tc>
      </w:tr>
    </w:tbl>
    <w:p>
      <w:pPr>
        <w:spacing w:after="40"/>
      </w:pPr>
    </w:p>
    <w:p>
      <w:pPr>
        <w:spacing w:after="120"/>
      </w:pPr>
      <w:r>
        <w:t>After cleaning, about 33,000–35,000 taxpayers are scored per snapshot (D115).</w:t>
      </w:r>
    </w:p>
    <w:p>
      <w:r>
        <w:br w:type="page"/>
      </w:r>
    </w:p>
    <w:p>
      <w:pPr>
        <w:pStyle w:val="Heading1"/>
      </w:pPr>
      <w:r>
        <w:t>Part 3. Track A: the scorecard</w:t>
      </w:r>
    </w:p>
    <w:p>
      <w:pPr>
        <w:spacing w:after="120"/>
      </w:pPr>
      <w:r>
        <w:t xml:space="preserve">This is the main model, and it makes the </w:t>
      </w:r>
      <w:r>
        <w:rPr>
          <w:b/>
        </w:rPr>
        <w:t>History Risk Score</w:t>
      </w:r>
      <w:r>
        <w:t>.</w:t>
      </w:r>
    </w:p>
    <w:p>
      <w:pPr>
        <w:pStyle w:val="Heading2"/>
      </w:pPr>
      <w:r>
        <w:t>3.1 The eight parameters</w:t>
      </w:r>
    </w:p>
    <w:p>
      <w:pPr>
        <w:pStyle w:val="Heading3"/>
      </w:pPr>
      <w:r>
        <w:t>Simple version</w:t>
      </w:r>
    </w:p>
    <w:p>
      <w:pPr>
        <w:spacing w:after="120"/>
      </w:pPr>
      <w:r>
        <w:t>A scorecard works like a school report card. Instead of Maths and English, it grades 8 "subjects" about the company's past. Each subject answers a question like "How often did this company have to pay extra tax?"</w:t>
      </w:r>
    </w:p>
    <w:p>
      <w:pPr>
        <w:spacing w:after="120"/>
      </w:pPr>
      <w:r>
        <w:t>Some subjects count much more than others. If Maths counts 33% of your final grade and Art 4%, a bad Maths mark hurts much more. Here the most important subject is "How often were you topped up?", at 33%.</w:t>
      </w:r>
    </w:p>
    <w:p>
      <w:pPr>
        <w:pStyle w:val="Heading3"/>
      </w:pPr>
      <w:r>
        <w:t>Technical version</w:t>
      </w:r>
    </w:p>
    <w:p>
      <w:pPr>
        <w:spacing w:after="120"/>
      </w:pPr>
      <w:r>
        <w:rPr>
          <w:rFonts w:ascii="Consolas" w:hAnsi="Consolas"/>
        </w:rPr>
        <w:t>core.PARAMS</w:t>
      </w:r>
      <w:r>
        <w:t>. Each parameter is a rate over the taxpayer's history.</w:t>
      </w:r>
    </w:p>
    <w:p>
      <w:pPr>
        <w:pStyle w:val="Caption"/>
      </w:pPr>
      <w:r>
        <w:t xml:space="preserve">Table </w:t>
      </w:r>
      <w:r>
        <w:fldChar w:fldCharType="begin"/>
      </w:r>
      <w:r>
        <w:instrText xml:space="preserve"> SEQ Table \* ARABIC </w:instrText>
      </w:r>
      <w:r>
        <w:fldChar w:fldCharType="separate"/>
      </w:r>
      <w:r>
        <w:t>4</w:t>
      </w:r>
      <w:r>
        <w:fldChar w:fldCharType="end"/>
      </w:r>
      <w:r>
        <w:t>: The eight parameters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219"/>
        <w:gridCol w:w="1219"/>
        <w:gridCol w:w="1219"/>
        <w:gridCol w:w="1219"/>
        <w:gridCol w:w="1219"/>
        <w:gridCol w:w="1219"/>
        <w:gridCol w:w="1219"/>
        <w:gridCol w:w="1219"/>
      </w:tblGrid>
      <w:tr>
        <w:trPr>
          <w:tblHeader w:val="true"/>
        </w:trPr>
        <w:tc>
          <w:tcPr>
            <w:tcW w:type="dxa" w:w="1560"/>
            <w:shd w:val="clear" w:color="auto" w:fill="D9E2F3"/>
          </w:tcPr>
          <w:p>
            <w:pPr>
              <w:spacing w:after="20" w:before="20" w:line="240" w:lineRule="auto"/>
            </w:pPr>
            <w:r/>
            <w:r>
              <w:rPr>
                <w:b/>
                <w:sz w:val="16"/>
              </w:rPr>
              <w:t>Code</w:t>
            </w:r>
          </w:p>
        </w:tc>
        <w:tc>
          <w:tcPr>
            <w:tcW w:type="dxa" w:w="2730"/>
            <w:shd w:val="clear" w:color="auto" w:fill="D9E2F3"/>
          </w:tcPr>
          <w:p>
            <w:pPr>
              <w:spacing w:after="20" w:before="20" w:line="240" w:lineRule="auto"/>
            </w:pPr>
            <w:r/>
            <w:r>
              <w:rPr>
                <w:b/>
                <w:sz w:val="16"/>
              </w:rPr>
              <w:t>Measures</w:t>
            </w:r>
          </w:p>
        </w:tc>
        <w:tc>
          <w:tcPr>
            <w:tcW w:type="dxa" w:w="1365"/>
            <w:shd w:val="clear" w:color="auto" w:fill="D9E2F3"/>
          </w:tcPr>
          <w:p>
            <w:pPr>
              <w:spacing w:after="20" w:before="20" w:line="240" w:lineRule="auto"/>
            </w:pPr>
            <w:r/>
            <w:r>
              <w:rPr>
                <w:b/>
                <w:sz w:val="16"/>
              </w:rPr>
              <w:t>zero_at</w:t>
            </w:r>
          </w:p>
        </w:tc>
        <w:tc>
          <w:tcPr>
            <w:tcW w:type="dxa" w:w="1170"/>
            <w:shd w:val="clear" w:color="auto" w:fill="D9E2F3"/>
          </w:tcPr>
          <w:p>
            <w:pPr>
              <w:spacing w:after="20" w:before="20" w:line="240" w:lineRule="auto"/>
            </w:pPr>
            <w:r/>
            <w:r>
              <w:rPr>
                <w:b/>
                <w:sz w:val="16"/>
              </w:rPr>
              <w:t>one_at</w:t>
            </w:r>
          </w:p>
        </w:tc>
        <w:tc>
          <w:tcPr>
            <w:tcW w:type="dxa" w:w="585"/>
            <w:shd w:val="clear" w:color="auto" w:fill="D9E2F3"/>
          </w:tcPr>
          <w:p>
            <w:pPr>
              <w:spacing w:after="20" w:before="20" w:line="240" w:lineRule="auto"/>
            </w:pPr>
            <w:r/>
            <w:r>
              <w:rPr>
                <w:b/>
                <w:sz w:val="16"/>
              </w:rPr>
              <w:t>L</w:t>
            </w:r>
          </w:p>
        </w:tc>
        <w:tc>
          <w:tcPr>
            <w:tcW w:type="dxa" w:w="585"/>
            <w:shd w:val="clear" w:color="auto" w:fill="D9E2F3"/>
          </w:tcPr>
          <w:p>
            <w:pPr>
              <w:spacing w:after="20" w:before="20" w:line="240" w:lineRule="auto"/>
            </w:pPr>
            <w:r/>
            <w:r>
              <w:rPr>
                <w:b/>
                <w:sz w:val="16"/>
              </w:rPr>
              <w:t>I</w:t>
            </w:r>
          </w:p>
        </w:tc>
        <w:tc>
          <w:tcPr>
            <w:tcW w:type="dxa" w:w="585"/>
            <w:shd w:val="clear" w:color="auto" w:fill="D9E2F3"/>
          </w:tcPr>
          <w:p>
            <w:pPr>
              <w:spacing w:after="20" w:before="20" w:line="240" w:lineRule="auto"/>
            </w:pPr>
            <w:r/>
            <w:r>
              <w:rPr>
                <w:b/>
                <w:sz w:val="16"/>
              </w:rPr>
              <w:t>L×I</w:t>
            </w:r>
          </w:p>
        </w:tc>
        <w:tc>
          <w:tcPr>
            <w:tcW w:type="dxa" w:w="1170"/>
            <w:shd w:val="clear" w:color="auto" w:fill="D9E2F3"/>
          </w:tcPr>
          <w:p>
            <w:pPr>
              <w:spacing w:after="20" w:before="20" w:line="240" w:lineRule="auto"/>
            </w:pPr>
            <w:r/>
            <w:r>
              <w:rPr>
                <w:b/>
                <w:sz w:val="16"/>
              </w:rPr>
              <w:t>Weight</w:t>
            </w:r>
          </w:p>
        </w:tc>
      </w:tr>
      <w:tr>
        <w:tc>
          <w:tcPr>
            <w:tcW w:type="dxa" w:w="1560"/>
          </w:tcPr>
          <w:p>
            <w:pPr>
              <w:spacing w:after="20" w:before="20" w:line="240" w:lineRule="auto"/>
            </w:pPr>
            <w:r/>
            <w:r>
              <w:rPr>
                <w:sz w:val="16"/>
              </w:rPr>
              <w:t>PAR_045T</w:t>
            </w:r>
          </w:p>
        </w:tc>
        <w:tc>
          <w:tcPr>
            <w:tcW w:type="dxa" w:w="2730"/>
          </w:tcPr>
          <w:p>
            <w:pPr>
              <w:spacing w:after="20" w:before="20" w:line="240" w:lineRule="auto"/>
            </w:pPr>
            <w:r/>
            <w:r>
              <w:rPr>
                <w:sz w:val="16"/>
              </w:rPr>
              <w:t>Share of declarations topped up</w:t>
            </w:r>
          </w:p>
        </w:tc>
        <w:tc>
          <w:tcPr>
            <w:tcW w:type="dxa" w:w="1365"/>
          </w:tcPr>
          <w:p>
            <w:pPr>
              <w:spacing w:after="20" w:before="20" w:line="240" w:lineRule="auto"/>
            </w:pPr>
            <w:r/>
            <w:r>
              <w:rPr>
                <w:sz w:val="16"/>
              </w:rPr>
              <w:t>3%</w:t>
            </w:r>
          </w:p>
        </w:tc>
        <w:tc>
          <w:tcPr>
            <w:tcW w:type="dxa" w:w="1170"/>
          </w:tcPr>
          <w:p>
            <w:pPr>
              <w:spacing w:after="20" w:before="20" w:line="240" w:lineRule="auto"/>
            </w:pPr>
            <w:r/>
            <w:r>
              <w:rPr>
                <w:sz w:val="16"/>
              </w:rPr>
              <w:t>40%</w:t>
            </w:r>
          </w:p>
        </w:tc>
        <w:tc>
          <w:tcPr>
            <w:tcW w:type="dxa" w:w="585"/>
          </w:tcPr>
          <w:p>
            <w:pPr>
              <w:spacing w:after="20" w:before="20" w:line="240" w:lineRule="auto"/>
            </w:pPr>
            <w:r/>
            <w:r>
              <w:rPr>
                <w:sz w:val="16"/>
              </w:rPr>
              <w:t>5</w:t>
            </w:r>
          </w:p>
        </w:tc>
        <w:tc>
          <w:tcPr>
            <w:tcW w:type="dxa" w:w="585"/>
          </w:tcPr>
          <w:p>
            <w:pPr>
              <w:spacing w:after="20" w:before="20" w:line="240" w:lineRule="auto"/>
            </w:pPr>
            <w:r/>
            <w:r>
              <w:rPr>
                <w:sz w:val="16"/>
              </w:rPr>
              <w:t>5</w:t>
            </w:r>
          </w:p>
        </w:tc>
        <w:tc>
          <w:tcPr>
            <w:tcW w:type="dxa" w:w="585"/>
          </w:tcPr>
          <w:p>
            <w:pPr>
              <w:spacing w:after="20" w:before="20" w:line="240" w:lineRule="auto"/>
            </w:pPr>
            <w:r/>
            <w:r>
              <w:rPr>
                <w:sz w:val="16"/>
              </w:rPr>
              <w:t>25</w:t>
            </w:r>
          </w:p>
        </w:tc>
        <w:tc>
          <w:tcPr>
            <w:tcW w:type="dxa" w:w="1170"/>
          </w:tcPr>
          <w:p>
            <w:pPr>
              <w:spacing w:after="20" w:before="20" w:line="240" w:lineRule="auto"/>
            </w:pPr>
            <w:r/>
            <w:r>
              <w:rPr>
                <w:sz w:val="16"/>
              </w:rPr>
              <w:t>32.9%</w:t>
            </w:r>
          </w:p>
        </w:tc>
      </w:tr>
      <w:tr>
        <w:tc>
          <w:tcPr>
            <w:tcW w:type="dxa" w:w="1560"/>
          </w:tcPr>
          <w:p>
            <w:pPr>
              <w:spacing w:after="20" w:before="20" w:line="240" w:lineRule="auto"/>
            </w:pPr>
            <w:r/>
            <w:r>
              <w:rPr>
                <w:sz w:val="16"/>
              </w:rPr>
              <w:t>PAR_077</w:t>
            </w:r>
          </w:p>
        </w:tc>
        <w:tc>
          <w:tcPr>
            <w:tcW w:type="dxa" w:w="2730"/>
          </w:tcPr>
          <w:p>
            <w:pPr>
              <w:spacing w:after="20" w:before="20" w:line="240" w:lineRule="auto"/>
            </w:pPr>
            <w:r/>
            <w:r>
              <w:rPr>
                <w:sz w:val="16"/>
              </w:rPr>
              <w:t>Share with a severe top-up (≥30% of final tax)</w:t>
            </w:r>
          </w:p>
        </w:tc>
        <w:tc>
          <w:tcPr>
            <w:tcW w:type="dxa" w:w="1365"/>
          </w:tcPr>
          <w:p>
            <w:pPr>
              <w:spacing w:after="20" w:before="20" w:line="240" w:lineRule="auto"/>
            </w:pPr>
            <w:r/>
            <w:r>
              <w:rPr>
                <w:sz w:val="16"/>
              </w:rPr>
              <w:t>2%</w:t>
            </w:r>
          </w:p>
        </w:tc>
        <w:tc>
          <w:tcPr>
            <w:tcW w:type="dxa" w:w="1170"/>
          </w:tcPr>
          <w:p>
            <w:pPr>
              <w:spacing w:after="20" w:before="20" w:line="240" w:lineRule="auto"/>
            </w:pPr>
            <w:r/>
            <w:r>
              <w:rPr>
                <w:sz w:val="16"/>
              </w:rPr>
              <w:t>20%</w:t>
            </w:r>
          </w:p>
        </w:tc>
        <w:tc>
          <w:tcPr>
            <w:tcW w:type="dxa" w:w="585"/>
          </w:tcPr>
          <w:p>
            <w:pPr>
              <w:spacing w:after="20" w:before="20" w:line="240" w:lineRule="auto"/>
            </w:pPr>
            <w:r/>
            <w:r>
              <w:rPr>
                <w:sz w:val="16"/>
              </w:rPr>
              <w:t>4</w:t>
            </w:r>
          </w:p>
        </w:tc>
        <w:tc>
          <w:tcPr>
            <w:tcW w:type="dxa" w:w="585"/>
          </w:tcPr>
          <w:p>
            <w:pPr>
              <w:spacing w:after="20" w:before="20" w:line="240" w:lineRule="auto"/>
            </w:pPr>
            <w:r/>
            <w:r>
              <w:rPr>
                <w:sz w:val="16"/>
              </w:rPr>
              <w:t>5</w:t>
            </w:r>
          </w:p>
        </w:tc>
        <w:tc>
          <w:tcPr>
            <w:tcW w:type="dxa" w:w="585"/>
          </w:tcPr>
          <w:p>
            <w:pPr>
              <w:spacing w:after="20" w:before="20" w:line="240" w:lineRule="auto"/>
            </w:pPr>
            <w:r/>
            <w:r>
              <w:rPr>
                <w:sz w:val="16"/>
              </w:rPr>
              <w:t>20</w:t>
            </w:r>
          </w:p>
        </w:tc>
        <w:tc>
          <w:tcPr>
            <w:tcW w:type="dxa" w:w="1170"/>
          </w:tcPr>
          <w:p>
            <w:pPr>
              <w:spacing w:after="20" w:before="20" w:line="240" w:lineRule="auto"/>
            </w:pPr>
            <w:r/>
            <w:r>
              <w:rPr>
                <w:sz w:val="16"/>
              </w:rPr>
              <w:t>26.3%</w:t>
            </w:r>
          </w:p>
        </w:tc>
      </w:tr>
      <w:tr>
        <w:tc>
          <w:tcPr>
            <w:tcW w:type="dxa" w:w="1560"/>
          </w:tcPr>
          <w:p>
            <w:pPr>
              <w:spacing w:after="20" w:before="20" w:line="240" w:lineRule="auto"/>
            </w:pPr>
            <w:r/>
            <w:r>
              <w:rPr>
                <w:sz w:val="16"/>
              </w:rPr>
              <w:t>PAR_045</w:t>
            </w:r>
          </w:p>
        </w:tc>
        <w:tc>
          <w:tcPr>
            <w:tcW w:type="dxa" w:w="2730"/>
          </w:tcPr>
          <w:p>
            <w:pPr>
              <w:spacing w:after="20" w:before="20" w:line="240" w:lineRule="auto"/>
            </w:pPr>
            <w:r/>
            <w:r>
              <w:rPr>
                <w:sz w:val="16"/>
              </w:rPr>
              <w:t>Share of declarations amended</w:t>
            </w:r>
          </w:p>
        </w:tc>
        <w:tc>
          <w:tcPr>
            <w:tcW w:type="dxa" w:w="1365"/>
          </w:tcPr>
          <w:p>
            <w:pPr>
              <w:spacing w:after="20" w:before="20" w:line="240" w:lineRule="auto"/>
            </w:pPr>
            <w:r/>
            <w:r>
              <w:rPr>
                <w:sz w:val="16"/>
              </w:rPr>
              <w:t>10%</w:t>
            </w:r>
          </w:p>
        </w:tc>
        <w:tc>
          <w:tcPr>
            <w:tcW w:type="dxa" w:w="1170"/>
          </w:tcPr>
          <w:p>
            <w:pPr>
              <w:spacing w:after="20" w:before="20" w:line="240" w:lineRule="auto"/>
            </w:pPr>
            <w:r/>
            <w:r>
              <w:rPr>
                <w:sz w:val="16"/>
              </w:rPr>
              <w:t>50%</w:t>
            </w:r>
          </w:p>
        </w:tc>
        <w:tc>
          <w:tcPr>
            <w:tcW w:type="dxa" w:w="585"/>
          </w:tcPr>
          <w:p>
            <w:pPr>
              <w:spacing w:after="20" w:before="20" w:line="240" w:lineRule="auto"/>
            </w:pPr>
            <w:r/>
            <w:r>
              <w:rPr>
                <w:sz w:val="16"/>
              </w:rPr>
              <w:t>4</w:t>
            </w:r>
          </w:p>
        </w:tc>
        <w:tc>
          <w:tcPr>
            <w:tcW w:type="dxa" w:w="585"/>
          </w:tcPr>
          <w:p>
            <w:pPr>
              <w:spacing w:after="20" w:before="20" w:line="240" w:lineRule="auto"/>
            </w:pPr>
            <w:r/>
            <w:r>
              <w:rPr>
                <w:sz w:val="16"/>
              </w:rPr>
              <w:t>4</w:t>
            </w:r>
          </w:p>
        </w:tc>
        <w:tc>
          <w:tcPr>
            <w:tcW w:type="dxa" w:w="585"/>
          </w:tcPr>
          <w:p>
            <w:pPr>
              <w:spacing w:after="20" w:before="20" w:line="240" w:lineRule="auto"/>
            </w:pPr>
            <w:r/>
            <w:r>
              <w:rPr>
                <w:sz w:val="16"/>
              </w:rPr>
              <w:t>16</w:t>
            </w:r>
          </w:p>
        </w:tc>
        <w:tc>
          <w:tcPr>
            <w:tcW w:type="dxa" w:w="1170"/>
          </w:tcPr>
          <w:p>
            <w:pPr>
              <w:spacing w:after="20" w:before="20" w:line="240" w:lineRule="auto"/>
            </w:pPr>
            <w:r/>
            <w:r>
              <w:rPr>
                <w:sz w:val="16"/>
              </w:rPr>
              <w:t>21.1%</w:t>
            </w:r>
          </w:p>
        </w:tc>
      </w:tr>
      <w:tr>
        <w:tc>
          <w:tcPr>
            <w:tcW w:type="dxa" w:w="1560"/>
          </w:tcPr>
          <w:p>
            <w:pPr>
              <w:spacing w:after="20" w:before="20" w:line="240" w:lineRule="auto"/>
            </w:pPr>
            <w:r/>
            <w:r>
              <w:rPr>
                <w:sz w:val="16"/>
              </w:rPr>
              <w:t>PAR_048</w:t>
            </w:r>
          </w:p>
        </w:tc>
        <w:tc>
          <w:tcPr>
            <w:tcW w:type="dxa" w:w="2730"/>
          </w:tcPr>
          <w:p>
            <w:pPr>
              <w:spacing w:after="20" w:before="20" w:line="240" w:lineRule="auto"/>
            </w:pPr>
            <w:r/>
            <w:r>
              <w:rPr>
                <w:sz w:val="16"/>
              </w:rPr>
              <w:t>Top-ups as a share of final tax</w:t>
            </w:r>
          </w:p>
        </w:tc>
        <w:tc>
          <w:tcPr>
            <w:tcW w:type="dxa" w:w="1365"/>
          </w:tcPr>
          <w:p>
            <w:pPr>
              <w:spacing w:after="20" w:before="20" w:line="240" w:lineRule="auto"/>
            </w:pPr>
            <w:r/>
            <w:r>
              <w:rPr>
                <w:sz w:val="16"/>
              </w:rPr>
              <w:t>5%</w:t>
            </w:r>
          </w:p>
        </w:tc>
        <w:tc>
          <w:tcPr>
            <w:tcW w:type="dxa" w:w="1170"/>
          </w:tcPr>
          <w:p>
            <w:pPr>
              <w:spacing w:after="20" w:before="20" w:line="240" w:lineRule="auto"/>
            </w:pPr>
            <w:r/>
            <w:r>
              <w:rPr>
                <w:sz w:val="16"/>
              </w:rPr>
              <w:t>25%</w:t>
            </w:r>
          </w:p>
        </w:tc>
        <w:tc>
          <w:tcPr>
            <w:tcW w:type="dxa" w:w="585"/>
          </w:tcPr>
          <w:p>
            <w:pPr>
              <w:spacing w:after="20" w:before="20" w:line="240" w:lineRule="auto"/>
            </w:pPr>
            <w:r/>
            <w:r>
              <w:rPr>
                <w:sz w:val="16"/>
              </w:rPr>
              <w:t>3</w:t>
            </w:r>
          </w:p>
        </w:tc>
        <w:tc>
          <w:tcPr>
            <w:tcW w:type="dxa" w:w="585"/>
          </w:tcPr>
          <w:p>
            <w:pPr>
              <w:spacing w:after="20" w:before="20" w:line="240" w:lineRule="auto"/>
            </w:pPr>
            <w:r/>
            <w:r>
              <w:rPr>
                <w:sz w:val="16"/>
              </w:rPr>
              <w:t>1</w:t>
            </w:r>
          </w:p>
        </w:tc>
        <w:tc>
          <w:tcPr>
            <w:tcW w:type="dxa" w:w="585"/>
          </w:tcPr>
          <w:p>
            <w:pPr>
              <w:spacing w:after="20" w:before="20" w:line="240" w:lineRule="auto"/>
            </w:pPr>
            <w:r/>
            <w:r>
              <w:rPr>
                <w:sz w:val="16"/>
              </w:rPr>
              <w:t>3</w:t>
            </w:r>
          </w:p>
        </w:tc>
        <w:tc>
          <w:tcPr>
            <w:tcW w:type="dxa" w:w="1170"/>
          </w:tcPr>
          <w:p>
            <w:pPr>
              <w:spacing w:after="20" w:before="20" w:line="240" w:lineRule="auto"/>
            </w:pPr>
            <w:r/>
            <w:r>
              <w:rPr>
                <w:sz w:val="16"/>
              </w:rPr>
              <w:t>3.9%</w:t>
            </w:r>
          </w:p>
        </w:tc>
      </w:tr>
      <w:tr>
        <w:tc>
          <w:tcPr>
            <w:tcW w:type="dxa" w:w="1560"/>
          </w:tcPr>
          <w:p>
            <w:pPr>
              <w:spacing w:after="20" w:before="20" w:line="240" w:lineRule="auto"/>
            </w:pPr>
            <w:r/>
            <w:r>
              <w:rPr>
                <w:sz w:val="16"/>
              </w:rPr>
              <w:t>PAR_076</w:t>
            </w:r>
          </w:p>
        </w:tc>
        <w:tc>
          <w:tcPr>
            <w:tcW w:type="dxa" w:w="2730"/>
          </w:tcPr>
          <w:p>
            <w:pPr>
              <w:spacing w:after="20" w:before="20" w:line="240" w:lineRule="auto"/>
            </w:pPr>
            <w:r/>
            <w:r>
              <w:rPr>
                <w:sz w:val="16"/>
              </w:rPr>
              <w:t>Declared price shortfall vs HS benchmark, share of value</w:t>
            </w:r>
          </w:p>
        </w:tc>
        <w:tc>
          <w:tcPr>
            <w:tcW w:type="dxa" w:w="1365"/>
          </w:tcPr>
          <w:p>
            <w:pPr>
              <w:spacing w:after="20" w:before="20" w:line="240" w:lineRule="auto"/>
            </w:pPr>
            <w:r/>
            <w:r>
              <w:rPr>
                <w:sz w:val="16"/>
              </w:rPr>
              <w:t>2%</w:t>
            </w:r>
          </w:p>
        </w:tc>
        <w:tc>
          <w:tcPr>
            <w:tcW w:type="dxa" w:w="1170"/>
          </w:tcPr>
          <w:p>
            <w:pPr>
              <w:spacing w:after="20" w:before="20" w:line="240" w:lineRule="auto"/>
            </w:pPr>
            <w:r/>
            <w:r>
              <w:rPr>
                <w:sz w:val="16"/>
              </w:rPr>
              <w:t>20%</w:t>
            </w:r>
          </w:p>
        </w:tc>
        <w:tc>
          <w:tcPr>
            <w:tcW w:type="dxa" w:w="585"/>
          </w:tcPr>
          <w:p>
            <w:pPr>
              <w:spacing w:after="20" w:before="20" w:line="240" w:lineRule="auto"/>
            </w:pPr>
            <w:r/>
            <w:r>
              <w:rPr>
                <w:sz w:val="16"/>
              </w:rPr>
              <w:t>3</w:t>
            </w:r>
          </w:p>
        </w:tc>
        <w:tc>
          <w:tcPr>
            <w:tcW w:type="dxa" w:w="585"/>
          </w:tcPr>
          <w:p>
            <w:pPr>
              <w:spacing w:after="20" w:before="20" w:line="240" w:lineRule="auto"/>
            </w:pPr>
            <w:r/>
            <w:r>
              <w:rPr>
                <w:sz w:val="16"/>
              </w:rPr>
              <w:t>1</w:t>
            </w:r>
          </w:p>
        </w:tc>
        <w:tc>
          <w:tcPr>
            <w:tcW w:type="dxa" w:w="585"/>
          </w:tcPr>
          <w:p>
            <w:pPr>
              <w:spacing w:after="20" w:before="20" w:line="240" w:lineRule="auto"/>
            </w:pPr>
            <w:r/>
            <w:r>
              <w:rPr>
                <w:sz w:val="16"/>
              </w:rPr>
              <w:t>3</w:t>
            </w:r>
          </w:p>
        </w:tc>
        <w:tc>
          <w:tcPr>
            <w:tcW w:type="dxa" w:w="1170"/>
          </w:tcPr>
          <w:p>
            <w:pPr>
              <w:spacing w:after="20" w:before="20" w:line="240" w:lineRule="auto"/>
            </w:pPr>
            <w:r/>
            <w:r>
              <w:rPr>
                <w:sz w:val="16"/>
              </w:rPr>
              <w:t>3.9%</w:t>
            </w:r>
          </w:p>
        </w:tc>
      </w:tr>
      <w:tr>
        <w:tc>
          <w:tcPr>
            <w:tcW w:type="dxa" w:w="1560"/>
          </w:tcPr>
          <w:p>
            <w:pPr>
              <w:spacing w:after="20" w:before="20" w:line="240" w:lineRule="auto"/>
            </w:pPr>
            <w:r/>
            <w:r>
              <w:rPr>
                <w:sz w:val="16"/>
              </w:rPr>
              <w:t>PAR_066</w:t>
            </w:r>
          </w:p>
        </w:tc>
        <w:tc>
          <w:tcPr>
            <w:tcW w:type="dxa" w:w="2730"/>
          </w:tcPr>
          <w:p>
            <w:pPr>
              <w:spacing w:after="20" w:before="20" w:line="240" w:lineRule="auto"/>
            </w:pPr>
            <w:r/>
            <w:r>
              <w:rPr>
                <w:sz w:val="16"/>
              </w:rPr>
              <w:t>Share with tax reduced after assessment</w:t>
            </w:r>
          </w:p>
        </w:tc>
        <w:tc>
          <w:tcPr>
            <w:tcW w:type="dxa" w:w="1365"/>
          </w:tcPr>
          <w:p>
            <w:pPr>
              <w:spacing w:after="20" w:before="20" w:line="240" w:lineRule="auto"/>
            </w:pPr>
            <w:r/>
            <w:r>
              <w:rPr>
                <w:sz w:val="16"/>
              </w:rPr>
              <w:t>2%</w:t>
            </w:r>
          </w:p>
        </w:tc>
        <w:tc>
          <w:tcPr>
            <w:tcW w:type="dxa" w:w="1170"/>
          </w:tcPr>
          <w:p>
            <w:pPr>
              <w:spacing w:after="20" w:before="20" w:line="240" w:lineRule="auto"/>
            </w:pPr>
            <w:r/>
            <w:r>
              <w:rPr>
                <w:sz w:val="16"/>
              </w:rPr>
              <w:t>20%</w:t>
            </w:r>
          </w:p>
        </w:tc>
        <w:tc>
          <w:tcPr>
            <w:tcW w:type="dxa" w:w="585"/>
          </w:tcPr>
          <w:p>
            <w:pPr>
              <w:spacing w:after="20" w:before="20" w:line="240" w:lineRule="auto"/>
            </w:pPr>
            <w:r/>
            <w:r>
              <w:rPr>
                <w:sz w:val="16"/>
              </w:rPr>
              <w:t>3</w:t>
            </w:r>
          </w:p>
        </w:tc>
        <w:tc>
          <w:tcPr>
            <w:tcW w:type="dxa" w:w="585"/>
          </w:tcPr>
          <w:p>
            <w:pPr>
              <w:spacing w:after="20" w:before="20" w:line="240" w:lineRule="auto"/>
            </w:pPr>
            <w:r/>
            <w:r>
              <w:rPr>
                <w:sz w:val="16"/>
              </w:rPr>
              <w:t>1</w:t>
            </w:r>
          </w:p>
        </w:tc>
        <w:tc>
          <w:tcPr>
            <w:tcW w:type="dxa" w:w="585"/>
          </w:tcPr>
          <w:p>
            <w:pPr>
              <w:spacing w:after="20" w:before="20" w:line="240" w:lineRule="auto"/>
            </w:pPr>
            <w:r/>
            <w:r>
              <w:rPr>
                <w:sz w:val="16"/>
              </w:rPr>
              <w:t>3</w:t>
            </w:r>
          </w:p>
        </w:tc>
        <w:tc>
          <w:tcPr>
            <w:tcW w:type="dxa" w:w="1170"/>
          </w:tcPr>
          <w:p>
            <w:pPr>
              <w:spacing w:after="20" w:before="20" w:line="240" w:lineRule="auto"/>
            </w:pPr>
            <w:r/>
            <w:r>
              <w:rPr>
                <w:sz w:val="16"/>
              </w:rPr>
              <w:t>3.9%</w:t>
            </w:r>
          </w:p>
        </w:tc>
      </w:tr>
      <w:tr>
        <w:tc>
          <w:tcPr>
            <w:tcW w:type="dxa" w:w="1560"/>
          </w:tcPr>
          <w:p>
            <w:pPr>
              <w:spacing w:after="20" w:before="20" w:line="240" w:lineRule="auto"/>
            </w:pPr>
            <w:r/>
            <w:r>
              <w:rPr>
                <w:sz w:val="16"/>
              </w:rPr>
              <w:t>PAR_105</w:t>
            </w:r>
          </w:p>
        </w:tc>
        <w:tc>
          <w:tcPr>
            <w:tcW w:type="dxa" w:w="2730"/>
          </w:tcPr>
          <w:p>
            <w:pPr>
              <w:spacing w:after="20" w:before="20" w:line="240" w:lineRule="auto"/>
            </w:pPr>
            <w:r/>
            <w:r>
              <w:rPr>
                <w:sz w:val="16"/>
              </w:rPr>
              <w:t>A top-up in the last 180 days (yes/no)</w:t>
            </w:r>
          </w:p>
        </w:tc>
        <w:tc>
          <w:tcPr>
            <w:tcW w:type="dxa" w:w="1365"/>
          </w:tcPr>
          <w:p>
            <w:pPr>
              <w:spacing w:after="20" w:before="20" w:line="240" w:lineRule="auto"/>
            </w:pPr>
            <w:r/>
            <w:r>
              <w:rPr>
                <w:sz w:val="16"/>
              </w:rPr>
              <w:t>0</w:t>
            </w:r>
          </w:p>
        </w:tc>
        <w:tc>
          <w:tcPr>
            <w:tcW w:type="dxa" w:w="1170"/>
          </w:tcPr>
          <w:p>
            <w:pPr>
              <w:spacing w:after="20" w:before="20" w:line="240" w:lineRule="auto"/>
            </w:pPr>
            <w:r/>
            <w:r>
              <w:rPr>
                <w:sz w:val="16"/>
              </w:rPr>
              <w:t>1</w:t>
            </w:r>
          </w:p>
        </w:tc>
        <w:tc>
          <w:tcPr>
            <w:tcW w:type="dxa" w:w="585"/>
          </w:tcPr>
          <w:p>
            <w:pPr>
              <w:spacing w:after="20" w:before="20" w:line="240" w:lineRule="auto"/>
            </w:pPr>
            <w:r/>
            <w:r>
              <w:rPr>
                <w:sz w:val="16"/>
              </w:rPr>
              <w:t>3</w:t>
            </w:r>
          </w:p>
        </w:tc>
        <w:tc>
          <w:tcPr>
            <w:tcW w:type="dxa" w:w="585"/>
          </w:tcPr>
          <w:p>
            <w:pPr>
              <w:spacing w:after="20" w:before="20" w:line="240" w:lineRule="auto"/>
            </w:pPr>
            <w:r/>
            <w:r>
              <w:rPr>
                <w:sz w:val="16"/>
              </w:rPr>
              <w:t>1</w:t>
            </w:r>
          </w:p>
        </w:tc>
        <w:tc>
          <w:tcPr>
            <w:tcW w:type="dxa" w:w="585"/>
          </w:tcPr>
          <w:p>
            <w:pPr>
              <w:spacing w:after="20" w:before="20" w:line="240" w:lineRule="auto"/>
            </w:pPr>
            <w:r/>
            <w:r>
              <w:rPr>
                <w:sz w:val="16"/>
              </w:rPr>
              <w:t>3</w:t>
            </w:r>
          </w:p>
        </w:tc>
        <w:tc>
          <w:tcPr>
            <w:tcW w:type="dxa" w:w="1170"/>
          </w:tcPr>
          <w:p>
            <w:pPr>
              <w:spacing w:after="20" w:before="20" w:line="240" w:lineRule="auto"/>
            </w:pPr>
            <w:r/>
            <w:r>
              <w:rPr>
                <w:sz w:val="16"/>
              </w:rPr>
              <w:t>3.9%</w:t>
            </w:r>
          </w:p>
        </w:tc>
      </w:tr>
      <w:tr>
        <w:tc>
          <w:tcPr>
            <w:tcW w:type="dxa" w:w="1560"/>
          </w:tcPr>
          <w:p>
            <w:pPr>
              <w:spacing w:after="20" w:before="20" w:line="240" w:lineRule="auto"/>
            </w:pPr>
            <w:r/>
            <w:r>
              <w:rPr>
                <w:sz w:val="16"/>
              </w:rPr>
              <w:t>PAR_023</w:t>
            </w:r>
          </w:p>
        </w:tc>
        <w:tc>
          <w:tcPr>
            <w:tcW w:type="dxa" w:w="2730"/>
          </w:tcPr>
          <w:p>
            <w:pPr>
              <w:spacing w:after="20" w:before="20" w:line="240" w:lineRule="auto"/>
            </w:pPr>
            <w:r/>
            <w:r>
              <w:rPr>
                <w:sz w:val="16"/>
              </w:rPr>
              <w:t>Share cleared away from the main station</w:t>
            </w:r>
          </w:p>
        </w:tc>
        <w:tc>
          <w:tcPr>
            <w:tcW w:type="dxa" w:w="1365"/>
          </w:tcPr>
          <w:p>
            <w:pPr>
              <w:spacing w:after="20" w:before="20" w:line="240" w:lineRule="auto"/>
            </w:pPr>
            <w:r/>
            <w:r>
              <w:rPr>
                <w:sz w:val="16"/>
              </w:rPr>
              <w:t>30%</w:t>
            </w:r>
          </w:p>
        </w:tc>
        <w:tc>
          <w:tcPr>
            <w:tcW w:type="dxa" w:w="1170"/>
          </w:tcPr>
          <w:p>
            <w:pPr>
              <w:spacing w:after="20" w:before="20" w:line="240" w:lineRule="auto"/>
            </w:pPr>
            <w:r/>
            <w:r>
              <w:rPr>
                <w:sz w:val="16"/>
              </w:rPr>
              <w:t>70%</w:t>
            </w:r>
          </w:p>
        </w:tc>
        <w:tc>
          <w:tcPr>
            <w:tcW w:type="dxa" w:w="585"/>
          </w:tcPr>
          <w:p>
            <w:pPr>
              <w:spacing w:after="20" w:before="20" w:line="240" w:lineRule="auto"/>
            </w:pPr>
            <w:r/>
            <w:r>
              <w:rPr>
                <w:sz w:val="16"/>
              </w:rPr>
              <w:t>3</w:t>
            </w:r>
          </w:p>
        </w:tc>
        <w:tc>
          <w:tcPr>
            <w:tcW w:type="dxa" w:w="585"/>
          </w:tcPr>
          <w:p>
            <w:pPr>
              <w:spacing w:after="20" w:before="20" w:line="240" w:lineRule="auto"/>
            </w:pPr>
            <w:r/>
            <w:r>
              <w:rPr>
                <w:sz w:val="16"/>
              </w:rPr>
              <w:t>1</w:t>
            </w:r>
          </w:p>
        </w:tc>
        <w:tc>
          <w:tcPr>
            <w:tcW w:type="dxa" w:w="585"/>
          </w:tcPr>
          <w:p>
            <w:pPr>
              <w:spacing w:after="20" w:before="20" w:line="240" w:lineRule="auto"/>
            </w:pPr>
            <w:r/>
            <w:r>
              <w:rPr>
                <w:sz w:val="16"/>
              </w:rPr>
              <w:t>3</w:t>
            </w:r>
          </w:p>
        </w:tc>
        <w:tc>
          <w:tcPr>
            <w:tcW w:type="dxa" w:w="1170"/>
          </w:tcPr>
          <w:p>
            <w:pPr>
              <w:spacing w:after="20" w:before="20" w:line="240" w:lineRule="auto"/>
            </w:pPr>
            <w:r/>
            <w:r>
              <w:rPr>
                <w:sz w:val="16"/>
              </w:rPr>
              <w:t>3.9%</w:t>
            </w:r>
          </w:p>
        </w:tc>
      </w:tr>
    </w:tbl>
    <w:p>
      <w:pPr>
        <w:spacing w:after="40"/>
      </w:pPr>
    </w:p>
    <w:p>
      <w:pPr>
        <w:spacing w:after="120"/>
      </w:pPr>
      <w:r>
        <w:rPr>
          <w:b/>
        </w:rPr>
        <w:t>Weight = (L × I) / Σ(L × I)</w:t>
      </w:r>
      <w:r>
        <w:t xml:space="preserve">. L is likelihood and I is impact, each rated 1 to 5. The total of L × I is 76. Data Science set these working ratings from the back-test evidence (D41). They are still </w:t>
      </w:r>
      <w:r>
        <w:rPr>
          <w:b/>
        </w:rPr>
        <w:t>provisional</w:t>
      </w:r>
      <w:r>
        <w:t xml:space="preserve"> until the Risk Officers confirm them. They are </w:t>
      </w:r>
      <w:r>
        <w:rPr>
          <w:b/>
        </w:rPr>
        <w:t>fixed</w:t>
      </w:r>
      <w:r>
        <w:t xml:space="preserve">, not dynamic: nothing in the code learns or updates them. They change only when someone edits </w:t>
      </w:r>
      <w:r>
        <w:rPr>
          <w:rFonts w:ascii="Consolas" w:hAnsi="Consolas"/>
        </w:rPr>
        <w:t>PARAMS</w:t>
      </w:r>
      <w:r>
        <w:t>, and the settings fingerprint then changes too.</w:t>
      </w:r>
    </w:p>
    <w:p>
      <w:pPr>
        <w:spacing w:after="120"/>
      </w:pPr>
      <w:r>
        <w:t>How PAR_045T gets 33 points: its L × I is 5 × 5 = 25, and 25 / 76 = 0.329, so it is worth up to 32.9 of the 100 points.</w:t>
      </w:r>
    </w:p>
    <w:p>
      <w:pPr>
        <w:pStyle w:val="Heading2"/>
      </w:pPr>
      <w:r>
        <w:t>3.2 Turning a rate into points (the ramp)</w:t>
      </w:r>
    </w:p>
    <w:p>
      <w:pPr>
        <w:pStyle w:val="Heading3"/>
      </w:pPr>
      <w:r>
        <w:t>Simple version</w:t>
      </w:r>
    </w:p>
    <w:p>
      <w:pPr>
        <w:spacing w:after="120"/>
      </w:pPr>
      <w:r>
        <w:t>Think of a ramp. Below the bottom of the ramp you get 0 points: "nothing to worry about." At the top you get full points: "as bad as it gets." In between, points go up steadily.</w:t>
      </w:r>
    </w:p>
    <w:p>
      <w:pPr>
        <w:spacing w:after="120"/>
      </w:pPr>
      <w:r>
        <w:t>For "topped up," the bottom is 3% and the top is 40%. A company topped up on 2% of its forms gets 0. A company topped up on 50% gets the full 33 points. A company at 20% sits about halfway up and gets about 15 points.</w:t>
      </w:r>
    </w:p>
    <w:p>
      <w:pPr>
        <w:pStyle w:val="Heading3"/>
      </w:pPr>
      <w:r>
        <w:t>Technical version</w:t>
      </w:r>
    </w:p>
    <w:p>
      <w:pPr>
        <w:spacing w:after="120"/>
      </w:pPr>
      <w:r>
        <w:rPr>
          <w:rFonts w:ascii="Consolas" w:hAnsi="Consolas"/>
        </w:rPr>
        <w:t>core.scale()</w:t>
      </w:r>
      <w:r>
        <w: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scaled = clip( (x − zero_at) / (one_at − zero_at), 0, 1 )</w:t>
            </w:r>
          </w:p>
          <w:p>
            <w:pPr>
              <w:spacing w:after="0" w:line="240" w:lineRule="auto"/>
            </w:pPr>
            <w:r>
              <w:rPr>
                <w:rFonts w:ascii="Consolas" w:hAnsi="Consolas"/>
                <w:sz w:val="18"/>
              </w:rPr>
              <w:t>points = scaled × weight × 100</w:t>
            </w:r>
          </w:p>
          <w:p>
            <w:pPr>
              <w:spacing w:after="0" w:line="240" w:lineRule="auto"/>
            </w:pPr>
            <w:r>
              <w:rPr>
                <w:rFonts w:ascii="Consolas" w:hAnsi="Consolas"/>
                <w:sz w:val="18"/>
              </w:rPr>
              <w:t>score  = round( Σ points )          → 0..100</w:t>
            </w:r>
          </w:p>
        </w:tc>
      </w:tr>
    </w:tbl>
    <w:p>
      <w:pPr>
        <w:spacing w:after="40"/>
      </w:pPr>
    </w:p>
    <w:p>
      <w:pPr>
        <w:spacing w:after="120"/>
      </w:pPr>
      <w:r>
        <w:t>Worked example. A taxpayer has 20% topped up, 5% severe, 15% amended, and zero on the other five parameters:</w:t>
      </w:r>
    </w:p>
    <w:p>
      <w:pPr>
        <w:pStyle w:val="Caption"/>
      </w:pPr>
      <w:r>
        <w:t xml:space="preserve">Table </w:t>
      </w:r>
      <w:r>
        <w:fldChar w:fldCharType="begin"/>
      </w:r>
      <w:r>
        <w:instrText xml:space="preserve"> SEQ Table \* ARABIC </w:instrText>
      </w:r>
      <w:r>
        <w:fldChar w:fldCharType="separate"/>
      </w:r>
      <w:r>
        <w:t>5</w:t>
      </w:r>
      <w:r>
        <w:fldChar w:fldCharType="end"/>
      </w:r>
      <w:r>
        <w:t>: Turning a rate into points (the ramp)</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041"/>
            <w:shd w:val="clear" w:color="auto" w:fill="D9E2F3"/>
          </w:tcPr>
          <w:p>
            <w:pPr>
              <w:spacing w:after="20" w:before="20" w:line="240" w:lineRule="auto"/>
            </w:pPr>
            <w:r/>
            <w:r>
              <w:rPr>
                <w:b/>
                <w:sz w:val="18"/>
              </w:rPr>
            </w:r>
          </w:p>
        </w:tc>
        <w:tc>
          <w:tcPr>
            <w:tcW w:type="dxa" w:w="3175"/>
            <w:shd w:val="clear" w:color="auto" w:fill="D9E2F3"/>
          </w:tcPr>
          <w:p>
            <w:pPr>
              <w:spacing w:after="20" w:before="20" w:line="240" w:lineRule="auto"/>
            </w:pPr>
            <w:r/>
            <w:r>
              <w:rPr>
                <w:b/>
                <w:sz w:val="18"/>
              </w:rPr>
              <w:t>scaled</w:t>
            </w:r>
          </w:p>
        </w:tc>
        <w:tc>
          <w:tcPr>
            <w:tcW w:type="dxa" w:w="1814"/>
            <w:shd w:val="clear" w:color="auto" w:fill="D9E2F3"/>
          </w:tcPr>
          <w:p>
            <w:pPr>
              <w:spacing w:after="20" w:before="20" w:line="240" w:lineRule="auto"/>
            </w:pPr>
            <w:r/>
            <w:r>
              <w:rPr>
                <w:b/>
                <w:sz w:val="18"/>
              </w:rPr>
              <w:t>× weight</w:t>
            </w:r>
          </w:p>
        </w:tc>
        <w:tc>
          <w:tcPr>
            <w:tcW w:type="dxa" w:w="2721"/>
            <w:shd w:val="clear" w:color="auto" w:fill="D9E2F3"/>
          </w:tcPr>
          <w:p>
            <w:pPr>
              <w:spacing w:after="20" w:before="20" w:line="240" w:lineRule="auto"/>
            </w:pPr>
            <w:r/>
            <w:r>
              <w:rPr>
                <w:b/>
                <w:sz w:val="18"/>
              </w:rPr>
              <w:t>points</w:t>
            </w:r>
          </w:p>
        </w:tc>
      </w:tr>
      <w:tr>
        <w:tc>
          <w:tcPr>
            <w:tcW w:type="dxa" w:w="2041"/>
          </w:tcPr>
          <w:p>
            <w:pPr>
              <w:spacing w:after="20" w:before="20" w:line="240" w:lineRule="auto"/>
            </w:pPr>
            <w:r/>
            <w:r>
              <w:rPr>
                <w:sz w:val="18"/>
              </w:rPr>
              <w:t>PAR_045T</w:t>
            </w:r>
          </w:p>
        </w:tc>
        <w:tc>
          <w:tcPr>
            <w:tcW w:type="dxa" w:w="3175"/>
          </w:tcPr>
          <w:p>
            <w:pPr>
              <w:spacing w:after="20" w:before="20" w:line="240" w:lineRule="auto"/>
            </w:pPr>
            <w:r/>
            <w:r>
              <w:rPr>
                <w:sz w:val="18"/>
              </w:rPr>
              <w:t>(0.20−0.03)/0.37 = 0.459</w:t>
            </w:r>
          </w:p>
        </w:tc>
        <w:tc>
          <w:tcPr>
            <w:tcW w:type="dxa" w:w="1814"/>
          </w:tcPr>
          <w:p>
            <w:pPr>
              <w:spacing w:after="20" w:before="20" w:line="240" w:lineRule="auto"/>
            </w:pPr>
            <w:r/>
            <w:r>
              <w:rPr>
                <w:sz w:val="18"/>
              </w:rPr>
              <w:t>× 32.9</w:t>
            </w:r>
          </w:p>
        </w:tc>
        <w:tc>
          <w:tcPr>
            <w:tcW w:type="dxa" w:w="2721"/>
          </w:tcPr>
          <w:p>
            <w:pPr>
              <w:spacing w:after="20" w:before="20" w:line="240" w:lineRule="auto"/>
            </w:pPr>
            <w:r/>
            <w:r>
              <w:rPr>
                <w:sz w:val="18"/>
              </w:rPr>
              <w:t>15.1</w:t>
            </w:r>
          </w:p>
        </w:tc>
      </w:tr>
      <w:tr>
        <w:tc>
          <w:tcPr>
            <w:tcW w:type="dxa" w:w="2041"/>
          </w:tcPr>
          <w:p>
            <w:pPr>
              <w:spacing w:after="20" w:before="20" w:line="240" w:lineRule="auto"/>
            </w:pPr>
            <w:r/>
            <w:r>
              <w:rPr>
                <w:sz w:val="18"/>
              </w:rPr>
              <w:t>PAR_077</w:t>
            </w:r>
          </w:p>
        </w:tc>
        <w:tc>
          <w:tcPr>
            <w:tcW w:type="dxa" w:w="3175"/>
          </w:tcPr>
          <w:p>
            <w:pPr>
              <w:spacing w:after="20" w:before="20" w:line="240" w:lineRule="auto"/>
            </w:pPr>
            <w:r/>
            <w:r>
              <w:rPr>
                <w:sz w:val="18"/>
              </w:rPr>
              <w:t>(0.05−0.02)/0.18 = 0.167</w:t>
            </w:r>
          </w:p>
        </w:tc>
        <w:tc>
          <w:tcPr>
            <w:tcW w:type="dxa" w:w="1814"/>
          </w:tcPr>
          <w:p>
            <w:pPr>
              <w:spacing w:after="20" w:before="20" w:line="240" w:lineRule="auto"/>
            </w:pPr>
            <w:r/>
            <w:r>
              <w:rPr>
                <w:sz w:val="18"/>
              </w:rPr>
              <w:t>× 26.3</w:t>
            </w:r>
          </w:p>
        </w:tc>
        <w:tc>
          <w:tcPr>
            <w:tcW w:type="dxa" w:w="2721"/>
          </w:tcPr>
          <w:p>
            <w:pPr>
              <w:spacing w:after="20" w:before="20" w:line="240" w:lineRule="auto"/>
            </w:pPr>
            <w:r/>
            <w:r>
              <w:rPr>
                <w:sz w:val="18"/>
              </w:rPr>
              <w:t>4.4</w:t>
            </w:r>
          </w:p>
        </w:tc>
      </w:tr>
      <w:tr>
        <w:tc>
          <w:tcPr>
            <w:tcW w:type="dxa" w:w="2041"/>
          </w:tcPr>
          <w:p>
            <w:pPr>
              <w:spacing w:after="20" w:before="20" w:line="240" w:lineRule="auto"/>
            </w:pPr>
            <w:r/>
            <w:r>
              <w:rPr>
                <w:sz w:val="18"/>
              </w:rPr>
              <w:t>PAR_045</w:t>
            </w:r>
          </w:p>
        </w:tc>
        <w:tc>
          <w:tcPr>
            <w:tcW w:type="dxa" w:w="3175"/>
          </w:tcPr>
          <w:p>
            <w:pPr>
              <w:spacing w:after="20" w:before="20" w:line="240" w:lineRule="auto"/>
            </w:pPr>
            <w:r/>
            <w:r>
              <w:rPr>
                <w:sz w:val="18"/>
              </w:rPr>
              <w:t>(0.15−0.10)/0.40 = 0.125</w:t>
            </w:r>
          </w:p>
        </w:tc>
        <w:tc>
          <w:tcPr>
            <w:tcW w:type="dxa" w:w="1814"/>
          </w:tcPr>
          <w:p>
            <w:pPr>
              <w:spacing w:after="20" w:before="20" w:line="240" w:lineRule="auto"/>
            </w:pPr>
            <w:r/>
            <w:r>
              <w:rPr>
                <w:sz w:val="18"/>
              </w:rPr>
              <w:t>× 21.1</w:t>
            </w:r>
          </w:p>
        </w:tc>
        <w:tc>
          <w:tcPr>
            <w:tcW w:type="dxa" w:w="2721"/>
          </w:tcPr>
          <w:p>
            <w:pPr>
              <w:spacing w:after="20" w:before="20" w:line="240" w:lineRule="auto"/>
            </w:pPr>
            <w:r/>
            <w:r>
              <w:rPr>
                <w:sz w:val="18"/>
              </w:rPr>
              <w:t>2.6</w:t>
            </w:r>
          </w:p>
        </w:tc>
      </w:tr>
      <w:tr>
        <w:tc>
          <w:tcPr>
            <w:tcW w:type="dxa" w:w="2041"/>
          </w:tcPr>
          <w:p>
            <w:pPr>
              <w:spacing w:after="20" w:before="20" w:line="240" w:lineRule="auto"/>
            </w:pPr>
            <w:r/>
            <w:r>
              <w:rPr>
                <w:b/>
                <w:sz w:val="18"/>
              </w:rPr>
              <w:t>Score</w:t>
            </w:r>
          </w:p>
        </w:tc>
        <w:tc>
          <w:tcPr>
            <w:tcW w:type="dxa" w:w="3175"/>
          </w:tcPr>
          <w:p>
            <w:pPr>
              <w:spacing w:after="20" w:before="20" w:line="240" w:lineRule="auto"/>
            </w:pPr>
            <w:r/>
          </w:p>
        </w:tc>
        <w:tc>
          <w:tcPr>
            <w:tcW w:type="dxa" w:w="1814"/>
          </w:tcPr>
          <w:p>
            <w:pPr>
              <w:spacing w:after="20" w:before="20" w:line="240" w:lineRule="auto"/>
            </w:pPr>
            <w:r/>
          </w:p>
        </w:tc>
        <w:tc>
          <w:tcPr>
            <w:tcW w:type="dxa" w:w="2721"/>
          </w:tcPr>
          <w:p>
            <w:pPr>
              <w:spacing w:after="20" w:before="20" w:line="240" w:lineRule="auto"/>
            </w:pPr>
            <w:r/>
            <w:r>
              <w:rPr>
                <w:b/>
                <w:sz w:val="18"/>
              </w:rPr>
              <w:t>22 → LOW</w:t>
            </w:r>
          </w:p>
        </w:tc>
      </w:tr>
    </w:tbl>
    <w:p>
      <w:pPr>
        <w:spacing w:after="40"/>
      </w:pPr>
    </w:p>
    <w:p>
      <w:pPr>
        <w:spacing w:after="120"/>
      </w:pPr>
      <w:r>
        <w:t>Missing values: if a parameter can't be computed for a taxpayer, the remaining weights are rescaled so they still total 100, and a note (MIS) says so (</w:t>
      </w:r>
      <w:r>
        <w:rPr>
          <w:rFonts w:ascii="Consolas" w:hAnsi="Consolas"/>
        </w:rPr>
        <w:t>layer2_scorecard</w:t>
      </w:r>
      <w:r>
        <w:t>).</w:t>
      </w:r>
    </w:p>
    <w:p>
      <w:pPr>
        <w:spacing w:after="120"/>
      </w:pPr>
      <w:r>
        <w:t>Why 40% and not the officers' 10% for PAR_045T: at 10%, 35% of regular traders hit full points. The ramp then stops separating them, and lift fell from 5.3 to 2.6 (D42).</w:t>
      </w:r>
    </w:p>
    <w:p>
      <w:pPr>
        <w:pStyle w:val="Heading2"/>
      </w:pPr>
      <w:r>
        <w:t>3.3 Recent years count more (recency weighting)</w:t>
      </w:r>
    </w:p>
    <w:p>
      <w:pPr>
        <w:pStyle w:val="Heading3"/>
      </w:pPr>
      <w:r>
        <w:t>Simple version</w:t>
      </w:r>
    </w:p>
    <w:p>
      <w:pPr>
        <w:spacing w:after="120"/>
      </w:pPr>
      <w:r>
        <w:t>If you misbehaved three years ago but have been good since, a fair teacher cares more about this year. So this year counts fully, last year counts half, and the year before that counts a quarter. A company that cleans up its act can recover within about two years.</w:t>
      </w:r>
    </w:p>
    <w:p>
      <w:pPr>
        <w:pStyle w:val="Heading3"/>
      </w:pPr>
      <w:r>
        <w:t>Technical version</w:t>
      </w:r>
    </w:p>
    <w:p>
      <w:pPr>
        <w:spacing w:after="120"/>
      </w:pPr>
      <w:r>
        <w:rPr>
          <w:rFonts w:ascii="Consolas" w:hAnsi="Consolas"/>
        </w:rPr>
        <w:t>core.apply_recency()</w:t>
      </w:r>
      <w:r>
        <w:t xml:space="preserve">, with </w:t>
      </w:r>
      <w:r>
        <w:rPr>
          <w:rFonts w:ascii="Consolas" w:hAnsi="Consolas"/>
        </w:rPr>
        <w:t>RECENCY_WEIGHTS = (1.0, 0.5, 0.25)</w:t>
      </w:r>
      <w:r>
        <w:t>. This applies to the top-up, severe, amended and tax-reduced rates, and to the top-up share of tax:</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rate = (1·count_y1 + 0.5·count_y2 + 0.25·count_y3) / (1·decl_y1 + 0.5·decl_y2 + 0.25·decl_y3)</w:t>
            </w:r>
          </w:p>
        </w:tc>
      </w:tr>
    </w:tbl>
    <w:p>
      <w:pPr>
        <w:spacing w:after="40"/>
      </w:pPr>
    </w:p>
    <w:p>
      <w:pPr>
        <w:spacing w:after="120"/>
      </w:pPr>
      <w:r>
        <w:t>y1 is the latest 12 months. We tested this on 18 dates since Sep 2017. It beat "two equal years" on all 18 (AUC per check 0.817 vs 0.813), and it beat equal, gentler and steeper weightings (D92–D94).</w:t>
      </w:r>
    </w:p>
    <w:p>
      <w:pPr>
        <w:pStyle w:val="Heading2"/>
      </w:pPr>
      <w:r>
        <w:t>3.4 Protecting small traders (credibility weighting)</w:t>
      </w:r>
    </w:p>
    <w:p>
      <w:pPr>
        <w:pStyle w:val="Heading3"/>
      </w:pPr>
      <w:r>
        <w:t>Simple version</w:t>
      </w:r>
    </w:p>
    <w:p>
      <w:pPr>
        <w:spacing w:after="120"/>
      </w:pPr>
      <w:r>
        <w:t>Say a new student hands in 2 homeworks and gets 1 wrong. That's "50% wrong," which sounds terrible. But with only 2 homeworks, it could just be bad luck. So when someone has done only a few, we don't fully trust their number. We nudge it towards the class average.</w:t>
      </w:r>
    </w:p>
    <w:p>
      <w:pPr>
        <w:spacing w:after="120"/>
      </w:pPr>
      <w:r>
        <w:t xml:space="preserve">There is one important rule: we only nudge </w:t>
      </w:r>
      <w:r>
        <w:rPr>
          <w:b/>
        </w:rPr>
        <w:t>down</w:t>
      </w:r>
      <w:r>
        <w:t>, never up. A new student with a perfect record is never punished for what the rest of the class did.</w:t>
      </w:r>
    </w:p>
    <w:p>
      <w:pPr>
        <w:pStyle w:val="Heading3"/>
      </w:pPr>
      <w:r>
        <w:t>Technical version</w:t>
      </w:r>
    </w:p>
    <w:p>
      <w:pPr>
        <w:spacing w:after="120"/>
      </w:pPr>
      <w:r>
        <w:rPr>
          <w:rFonts w:ascii="Consolas" w:hAnsi="Consolas"/>
        </w:rPr>
        <w:t>core._shrink_small_counts()</w:t>
      </w:r>
      <w:r>
        <w:t xml:space="preserve">, with </w:t>
      </w:r>
      <w:r>
        <w:rPr>
          <w:rFonts w:ascii="Consolas" w:hAnsi="Consolas"/>
        </w:rPr>
        <w:t>SHRINK_K = 10</w:t>
      </w:r>
      <w:r>
        <w: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w        = n / (n + K)                   n = declarations (items benchmarked for PAR_076)</w:t>
            </w:r>
          </w:p>
          <w:p>
            <w:pPr>
              <w:spacing w:after="0" w:line="240" w:lineRule="auto"/>
            </w:pPr>
            <w:r>
              <w:rPr>
                <w:rFonts w:ascii="Consolas" w:hAnsi="Consolas"/>
                <w:sz w:val="14"/>
              </w:rPr>
              <w:t>prior    = declaration-weighted population average of the rate</w:t>
            </w:r>
          </w:p>
          <w:p>
            <w:pPr>
              <w:spacing w:after="0" w:line="240" w:lineRule="auto"/>
            </w:pPr>
            <w:r>
              <w:rPr>
                <w:rFonts w:ascii="Consolas" w:hAnsi="Consolas"/>
                <w:sz w:val="14"/>
              </w:rPr>
              <w:t>adjusted = min( raw, w·raw + (1−w)·prior )          ← one-way: only ever lowers</w:t>
            </w:r>
          </w:p>
        </w:tc>
      </w:tr>
    </w:tbl>
    <w:p>
      <w:pPr>
        <w:spacing w:after="40"/>
      </w:pPr>
    </w:p>
    <w:p>
      <w:pPr>
        <w:spacing w:after="120"/>
      </w:pPr>
      <w:r>
        <w:t xml:space="preserve">Example: 1 top-up in 2 declarations is 50%. Suppose the prior is 5%. Then w = 2/12 = 0.167, and adjusted = 0.167 × 50% + 0.833 × 5% = </w:t>
      </w:r>
      <w:r>
        <w:rPr>
          <w:b/>
        </w:rPr>
        <w:t>12.5%</w:t>
      </w:r>
      <w:r>
        <w:t>. The reason sentence still shows the raw 50%, so the officer sees the truth.</w:t>
      </w:r>
    </w:p>
    <w:p>
      <w:pPr>
        <w:spacing w:after="120"/>
      </w:pPr>
      <w:r>
        <w:t>Effect: small-history taxpayers in HIGH or VERY HIGH fell from 5,151 to 2,314 with the same top-1% lift (D31). K = 0 loses 46% of hits. K is a policy dial between efficiency and volume (D68). Data-estimated two-way shrinkage was tested and rejected: it moved small traders to the top and lost hits (D49).</w:t>
      </w:r>
    </w:p>
    <w:p>
      <w:pPr>
        <w:pStyle w:val="Heading2"/>
      </w:pPr>
      <w:r>
        <w:t>3.5 Peer groups (Layer 1)</w:t>
      </w:r>
    </w:p>
    <w:p>
      <w:pPr>
        <w:pStyle w:val="Heading3"/>
      </w:pPr>
      <w:r>
        <w:t>Simple version</w:t>
      </w:r>
    </w:p>
    <w:p>
      <w:pPr>
        <w:spacing w:after="120"/>
      </w:pPr>
      <w:r>
        <w:t>It isn't fair to compare a giant fuel company with a tiny shop selling shoes. So we put companies into groups of "similar kids": same kind of goods, same size. Examples: "big textile importers" or "small food importers."</w:t>
      </w:r>
    </w:p>
    <w:p>
      <w:pPr>
        <w:pStyle w:val="Heading3"/>
      </w:pPr>
      <w:r>
        <w:t>Technical version</w:t>
      </w:r>
    </w:p>
    <w:p>
      <w:pPr>
        <w:spacing w:after="120"/>
      </w:pPr>
      <w:r>
        <w:rPr>
          <w:rFonts w:ascii="Consolas" w:hAnsi="Consolas"/>
        </w:rPr>
        <w:t>core.peers_section_size()</w:t>
      </w:r>
      <w:r>
        <w:t xml:space="preserve">. Peer group = </w:t>
      </w:r>
      <w:r>
        <w:rPr>
          <w:b/>
        </w:rPr>
        <w:t>WCO HS section of the main chapter by value × size tercile</w:t>
      </w:r>
      <w:r>
        <w:t xml:space="preserve"> (small, medium or large by 24-month customs value, ranked within the section). Only regular taxpayers with 10 or more declarations get grouped. Groups with fewer than 30 members are pooled into "Other goods, &lt;size&gt;" and flagged NPE. The result is about 48 named groups, with 2.5% pooled.</w:t>
      </w:r>
    </w:p>
    <w:p>
      <w:pPr>
        <w:spacing w:after="120"/>
      </w:pPr>
      <w:r>
        <w:t>HDBSCAN clustering was tried and dropped. It left 77% of traders unclustered, because trade is a smooth continuum and not separate clumps (D44, D45).</w:t>
      </w:r>
    </w:p>
    <w:p>
      <w:pPr>
        <w:pStyle w:val="Heading2"/>
      </w:pPr>
      <w:r>
        <w:t>3.6 Pattern check (Layer 3): a note, not points</w:t>
      </w:r>
    </w:p>
    <w:p>
      <w:pPr>
        <w:pStyle w:val="Heading3"/>
      </w:pPr>
      <w:r>
        <w:t>Simple version</w:t>
      </w:r>
    </w:p>
    <w:p>
      <w:pPr>
        <w:spacing w:after="120"/>
      </w:pPr>
      <w:r>
        <w:t xml:space="preserve">Inside each group, we ask a computer to spot the "odd one out," like the one kid who brings 40 different snacks to lunch. Being odd isn't the same as being bad, though. We tested it, and "odd" companies weren't caught more often. So the computer only writes a note, "this one looks unusual, here's why," and adds </w:t>
      </w:r>
      <w:r>
        <w:rPr>
          <w:b/>
        </w:rPr>
        <w:t>no</w:t>
      </w:r>
      <w:r>
        <w:t xml:space="preserve"> points.</w:t>
      </w:r>
    </w:p>
    <w:p>
      <w:pPr>
        <w:pStyle w:val="Heading3"/>
      </w:pPr>
      <w:r>
        <w:t>Technical version</w:t>
      </w:r>
    </w:p>
    <w:p>
      <w:pPr>
        <w:spacing w:after="120"/>
      </w:pPr>
      <w:r>
        <w:rPr>
          <w:rFonts w:ascii="Consolas" w:hAnsi="Consolas"/>
        </w:rPr>
        <w:t>core.layer3_pattern()</w:t>
      </w:r>
      <w:r>
        <w:t xml:space="preserve">. One </w:t>
      </w:r>
      <w:r>
        <w:rPr>
          <w:b/>
        </w:rPr>
        <w:t>Isolation Forest</w:t>
      </w:r>
      <w:r>
        <w:t xml:space="preserve"> per peer group (200 trees, seed 42), fitted on the 8 parameters plus trading-structure features (</w:t>
      </w:r>
      <w:r>
        <w:rPr>
          <w:rFonts w:ascii="Consolas" w:hAnsi="Consolas"/>
        </w:rPr>
        <w:t>PEER_FEATURES</w:t>
      </w:r>
      <w:r>
        <w:t xml:space="preserve">, </w:t>
      </w:r>
      <w:r>
        <w:rPr>
          <w:rFonts w:ascii="Consolas" w:hAnsi="Consolas"/>
        </w:rPr>
        <w:t>PATTERN_FEATURES</w:t>
      </w:r>
      <w:r>
        <w:t>).</w:t>
      </w:r>
    </w:p>
    <w:p>
      <w:pPr>
        <w:spacing w:after="120"/>
      </w:pPr>
      <w:r>
        <w:t xml:space="preserve">How an Isolation Forest works: it builds random trees that split the data at random points. Unusual taxpayers get isolated in fewer splits, so a shorter average path length means more anomalous. </w:t>
      </w:r>
      <w:r>
        <w:rPr>
          <w:rFonts w:ascii="Consolas" w:hAnsi="Consolas"/>
        </w:rPr>
        <w:t>-score_samples</w:t>
      </w:r>
      <w:r>
        <w:t xml:space="preserve"> is turned into a percentile within the group. At the 95th percentile or above, the taxpayer gets a PAT note that names the two features where they sit furthest from the peer median.</w:t>
      </w:r>
    </w:p>
    <w:p>
      <w:pPr>
        <w:spacing w:after="120"/>
      </w:pPr>
      <w:r>
        <w:t>Why no points: adding pattern points lowered lift at every cap (0 pts: 4.62/4.49/4.05 at top 1/5/10%; 15 pts: 4.09/4.34/3.88). The "unusual" taxpayers were mostly general merchants with many products, not later top-ups. Unusual taxpayers under 15 points had a 2.4% hit rate against 2.8% for usual ones (D46).</w:t>
      </w:r>
    </w:p>
    <w:p>
      <w:pPr>
        <w:spacing w:after="120"/>
      </w:pPr>
      <w:r>
        <w:rPr>
          <w:b/>
        </w:rPr>
        <w:t>LAG note</w:t>
      </w:r>
      <w:r>
        <w:t>: the score and the pattern disagree (score in the bottom 25% but pattern above 95%, or score in the top 10% but pattern below 10%). This is worth a human look either way.</w:t>
      </w:r>
    </w:p>
    <w:p>
      <w:pPr>
        <w:pStyle w:val="Heading2"/>
      </w:pPr>
      <w:r>
        <w:t>3.7 Bands, reasons and notes (Layer 4)</w:t>
      </w:r>
    </w:p>
    <w:p>
      <w:pPr>
        <w:pStyle w:val="Heading3"/>
      </w:pPr>
      <w:r>
        <w:t>Simple version</w:t>
      </w:r>
    </w:p>
    <w:p>
      <w:pPr>
        <w:spacing w:after="120"/>
      </w:pPr>
      <w:r>
        <w:t>The final score is turned into a colour-coded label, like grades A to E:</w:t>
      </w:r>
    </w:p>
    <w:p>
      <w:pPr>
        <w:pStyle w:val="Caption"/>
      </w:pPr>
      <w:r>
        <w:t xml:space="preserve">Table </w:t>
      </w:r>
      <w:r>
        <w:fldChar w:fldCharType="begin"/>
      </w:r>
      <w:r>
        <w:instrText xml:space="preserve"> SEQ Table \* ARABIC </w:instrText>
      </w:r>
      <w:r>
        <w:fldChar w:fldCharType="separate"/>
      </w:r>
      <w:r>
        <w:t>6</w:t>
      </w:r>
      <w:r>
        <w:fldChar w:fldCharType="end"/>
      </w:r>
      <w:r>
        <w:t>: Bands, reasons and notes (Layer 4)</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017"/>
            <w:shd w:val="clear" w:color="auto" w:fill="D9E2F3"/>
          </w:tcPr>
          <w:p>
            <w:pPr>
              <w:spacing w:after="20" w:before="20" w:line="240" w:lineRule="auto"/>
            </w:pPr>
            <w:r/>
            <w:r>
              <w:rPr>
                <w:b/>
                <w:sz w:val="18"/>
              </w:rPr>
              <w:t>Score</w:t>
            </w:r>
          </w:p>
        </w:tc>
        <w:tc>
          <w:tcPr>
            <w:tcW w:type="dxa" w:w="3026"/>
            <w:shd w:val="clear" w:color="auto" w:fill="D9E2F3"/>
          </w:tcPr>
          <w:p>
            <w:pPr>
              <w:spacing w:after="20" w:before="20" w:line="240" w:lineRule="auto"/>
            </w:pPr>
            <w:r/>
            <w:r>
              <w:rPr>
                <w:b/>
                <w:sz w:val="18"/>
              </w:rPr>
              <w:t>Band</w:t>
            </w:r>
          </w:p>
        </w:tc>
        <w:tc>
          <w:tcPr>
            <w:tcW w:type="dxa" w:w="4707"/>
            <w:shd w:val="clear" w:color="auto" w:fill="D9E2F3"/>
          </w:tcPr>
          <w:p>
            <w:pPr>
              <w:spacing w:after="20" w:before="20" w:line="240" w:lineRule="auto"/>
            </w:pPr>
            <w:r/>
            <w:r>
              <w:rPr>
                <w:b/>
                <w:sz w:val="18"/>
              </w:rPr>
              <w:t>Meaning</w:t>
            </w:r>
          </w:p>
        </w:tc>
      </w:tr>
      <w:tr>
        <w:tc>
          <w:tcPr>
            <w:tcW w:type="dxa" w:w="2017"/>
          </w:tcPr>
          <w:p>
            <w:pPr>
              <w:spacing w:after="20" w:before="20" w:line="240" w:lineRule="auto"/>
            </w:pPr>
            <w:r/>
            <w:r>
              <w:rPr>
                <w:sz w:val="18"/>
              </w:rPr>
              <w:t>0–15</w:t>
            </w:r>
          </w:p>
        </w:tc>
        <w:tc>
          <w:tcPr>
            <w:tcW w:type="dxa" w:w="3026"/>
          </w:tcPr>
          <w:p>
            <w:pPr>
              <w:spacing w:after="20" w:before="20" w:line="240" w:lineRule="auto"/>
            </w:pPr>
            <w:r/>
            <w:r>
              <w:rPr>
                <w:sz w:val="18"/>
              </w:rPr>
              <w:t>VERY LOW</w:t>
            </w:r>
          </w:p>
        </w:tc>
        <w:tc>
          <w:tcPr>
            <w:tcW w:type="dxa" w:w="4707"/>
          </w:tcPr>
          <w:p>
            <w:pPr>
              <w:spacing w:after="20" w:before="20" w:line="240" w:lineRule="auto"/>
            </w:pPr>
            <w:r/>
            <w:r>
              <w:rPr>
                <w:sz w:val="18"/>
              </w:rPr>
              <w:t>No routine attention</w:t>
            </w:r>
          </w:p>
        </w:tc>
      </w:tr>
      <w:tr>
        <w:tc>
          <w:tcPr>
            <w:tcW w:type="dxa" w:w="2017"/>
          </w:tcPr>
          <w:p>
            <w:pPr>
              <w:spacing w:after="20" w:before="20" w:line="240" w:lineRule="auto"/>
            </w:pPr>
            <w:r/>
            <w:r>
              <w:rPr>
                <w:sz w:val="18"/>
              </w:rPr>
              <w:t>16–35</w:t>
            </w:r>
          </w:p>
        </w:tc>
        <w:tc>
          <w:tcPr>
            <w:tcW w:type="dxa" w:w="3026"/>
          </w:tcPr>
          <w:p>
            <w:pPr>
              <w:spacing w:after="20" w:before="20" w:line="240" w:lineRule="auto"/>
            </w:pPr>
            <w:r/>
            <w:r>
              <w:rPr>
                <w:sz w:val="18"/>
              </w:rPr>
              <w:t>LOW</w:t>
            </w:r>
          </w:p>
        </w:tc>
        <w:tc>
          <w:tcPr>
            <w:tcW w:type="dxa" w:w="4707"/>
          </w:tcPr>
          <w:p>
            <w:pPr>
              <w:spacing w:after="20" w:before="20" w:line="240" w:lineRule="auto"/>
            </w:pPr>
            <w:r/>
            <w:r>
              <w:rPr>
                <w:sz w:val="18"/>
              </w:rPr>
              <w:t>No routine attention; visible in monitoring</w:t>
            </w:r>
          </w:p>
        </w:tc>
      </w:tr>
      <w:tr>
        <w:tc>
          <w:tcPr>
            <w:tcW w:type="dxa" w:w="2017"/>
          </w:tcPr>
          <w:p>
            <w:pPr>
              <w:spacing w:after="20" w:before="20" w:line="240" w:lineRule="auto"/>
            </w:pPr>
            <w:r/>
            <w:r>
              <w:rPr>
                <w:sz w:val="18"/>
              </w:rPr>
              <w:t>36–50</w:t>
            </w:r>
          </w:p>
        </w:tc>
        <w:tc>
          <w:tcPr>
            <w:tcW w:type="dxa" w:w="3026"/>
          </w:tcPr>
          <w:p>
            <w:pPr>
              <w:spacing w:after="20" w:before="20" w:line="240" w:lineRule="auto"/>
            </w:pPr>
            <w:r/>
            <w:r>
              <w:rPr>
                <w:sz w:val="18"/>
              </w:rPr>
              <w:t>MEDIUM</w:t>
            </w:r>
          </w:p>
        </w:tc>
        <w:tc>
          <w:tcPr>
            <w:tcW w:type="dxa" w:w="4707"/>
          </w:tcPr>
          <w:p>
            <w:pPr>
              <w:spacing w:after="20" w:before="20" w:line="240" w:lineRule="auto"/>
            </w:pPr>
            <w:r/>
            <w:r>
              <w:rPr>
                <w:sz w:val="18"/>
              </w:rPr>
              <w:t>Reviewed where capacity allows</w:t>
            </w:r>
          </w:p>
        </w:tc>
      </w:tr>
      <w:tr>
        <w:tc>
          <w:tcPr>
            <w:tcW w:type="dxa" w:w="2017"/>
          </w:tcPr>
          <w:p>
            <w:pPr>
              <w:spacing w:after="20" w:before="20" w:line="240" w:lineRule="auto"/>
            </w:pPr>
            <w:r/>
            <w:r>
              <w:rPr>
                <w:sz w:val="18"/>
              </w:rPr>
              <w:t>51–80</w:t>
            </w:r>
          </w:p>
        </w:tc>
        <w:tc>
          <w:tcPr>
            <w:tcW w:type="dxa" w:w="3026"/>
          </w:tcPr>
          <w:p>
            <w:pPr>
              <w:spacing w:after="20" w:before="20" w:line="240" w:lineRule="auto"/>
            </w:pPr>
            <w:r/>
            <w:r>
              <w:rPr>
                <w:sz w:val="18"/>
              </w:rPr>
              <w:t>HIGH</w:t>
            </w:r>
          </w:p>
        </w:tc>
        <w:tc>
          <w:tcPr>
            <w:tcW w:type="dxa" w:w="4707"/>
          </w:tcPr>
          <w:p>
            <w:pPr>
              <w:spacing w:after="20" w:before="20" w:line="240" w:lineRule="auto"/>
            </w:pPr>
            <w:r/>
            <w:r>
              <w:rPr>
                <w:sz w:val="18"/>
              </w:rPr>
              <w:t>Prioritised for review</w:t>
            </w:r>
          </w:p>
        </w:tc>
      </w:tr>
      <w:tr>
        <w:tc>
          <w:tcPr>
            <w:tcW w:type="dxa" w:w="2017"/>
          </w:tcPr>
          <w:p>
            <w:pPr>
              <w:spacing w:after="20" w:before="20" w:line="240" w:lineRule="auto"/>
            </w:pPr>
            <w:r/>
            <w:r>
              <w:rPr>
                <w:sz w:val="18"/>
              </w:rPr>
              <w:t>81–100</w:t>
            </w:r>
          </w:p>
        </w:tc>
        <w:tc>
          <w:tcPr>
            <w:tcW w:type="dxa" w:w="3026"/>
          </w:tcPr>
          <w:p>
            <w:pPr>
              <w:spacing w:after="20" w:before="20" w:line="240" w:lineRule="auto"/>
            </w:pPr>
            <w:r/>
            <w:r>
              <w:rPr>
                <w:sz w:val="18"/>
              </w:rPr>
              <w:t>VERY HIGH</w:t>
            </w:r>
          </w:p>
        </w:tc>
        <w:tc>
          <w:tcPr>
            <w:tcW w:type="dxa" w:w="4707"/>
          </w:tcPr>
          <w:p>
            <w:pPr>
              <w:spacing w:after="20" w:before="20" w:line="240" w:lineRule="auto"/>
            </w:pPr>
            <w:r/>
            <w:r>
              <w:rPr>
                <w:sz w:val="18"/>
              </w:rPr>
              <w:t>Prioritised for review and escalation</w:t>
            </w:r>
          </w:p>
        </w:tc>
      </w:tr>
    </w:tbl>
    <w:p>
      <w:pPr>
        <w:spacing w:after="40"/>
      </w:pPr>
    </w:p>
    <w:p>
      <w:pPr>
        <w:spacing w:after="120"/>
      </w:pPr>
      <w:r>
        <w:t>Every company also gets up to three reasons, written as fixed sentences. Two companies with the same facts get exactly the same words, so it's fair.</w:t>
      </w:r>
    </w:p>
    <w:p>
      <w:pPr>
        <w:pStyle w:val="Heading3"/>
      </w:pPr>
      <w:r>
        <w:t>Technical version</w:t>
      </w:r>
    </w:p>
    <w:p>
      <w:pPr>
        <w:spacing w:after="120"/>
      </w:pPr>
      <w:r>
        <w:rPr>
          <w:rFonts w:ascii="Consolas" w:hAnsi="Consolas"/>
        </w:rPr>
        <w:t>core.BANDS</w:t>
      </w:r>
      <w:r>
        <w:t xml:space="preserve">, </w:t>
      </w:r>
      <w:r>
        <w:rPr>
          <w:rFonts w:ascii="Consolas" w:hAnsi="Consolas"/>
        </w:rPr>
        <w:t>build_reasons()</w:t>
      </w:r>
      <w:r>
        <w:t xml:space="preserve">, </w:t>
      </w:r>
      <w:r>
        <w:rPr>
          <w:rFonts w:ascii="Consolas" w:hAnsi="Consolas"/>
        </w:rPr>
        <w:t>build_notes()</w:t>
      </w:r>
      <w:r>
        <w:t xml:space="preserve">. Reasons are ordered by points, then by code, and the template is filled with the </w:t>
      </w:r>
      <w:r>
        <w:rPr>
          <w:b/>
        </w:rPr>
        <w:t>raw</w:t>
      </w:r>
      <w:r>
        <w:t xml:space="preserve"> value. Notes carry no points:</w:t>
      </w:r>
    </w:p>
    <w:p>
      <w:pPr>
        <w:pStyle w:val="Caption"/>
      </w:pPr>
      <w:r>
        <w:t xml:space="preserve">Table </w:t>
      </w:r>
      <w:r>
        <w:fldChar w:fldCharType="begin"/>
      </w:r>
      <w:r>
        <w:instrText xml:space="preserve"> SEQ Table \* ARABIC </w:instrText>
      </w:r>
      <w:r>
        <w:fldChar w:fldCharType="separate"/>
      </w:r>
      <w:r>
        <w:t>7</w:t>
      </w:r>
      <w:r>
        <w:fldChar w:fldCharType="end"/>
      </w:r>
      <w:r>
        <w:t>: Bands, reasons and notes (Layer 4)</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167"/>
            <w:shd w:val="clear" w:color="auto" w:fill="D9E2F3"/>
          </w:tcPr>
          <w:p>
            <w:pPr>
              <w:spacing w:after="20" w:before="20" w:line="240" w:lineRule="auto"/>
            </w:pPr>
            <w:r/>
            <w:r>
              <w:rPr>
                <w:b/>
                <w:sz w:val="18"/>
              </w:rPr>
              <w:t>Note</w:t>
            </w:r>
          </w:p>
        </w:tc>
        <w:tc>
          <w:tcPr>
            <w:tcW w:type="dxa" w:w="7584"/>
            <w:shd w:val="clear" w:color="auto" w:fill="D9E2F3"/>
          </w:tcPr>
          <w:p>
            <w:pPr>
              <w:spacing w:after="20" w:before="20" w:line="240" w:lineRule="auto"/>
            </w:pPr>
            <w:r/>
            <w:r>
              <w:rPr>
                <w:b/>
                <w:sz w:val="18"/>
              </w:rPr>
              <w:t>Meaning</w:t>
            </w:r>
          </w:p>
        </w:tc>
      </w:tr>
      <w:tr>
        <w:tc>
          <w:tcPr>
            <w:tcW w:type="dxa" w:w="2167"/>
          </w:tcPr>
          <w:p>
            <w:pPr>
              <w:spacing w:after="20" w:before="20" w:line="240" w:lineRule="auto"/>
            </w:pPr>
            <w:r/>
            <w:r>
              <w:rPr>
                <w:sz w:val="18"/>
              </w:rPr>
              <w:t>PAT</w:t>
            </w:r>
          </w:p>
        </w:tc>
        <w:tc>
          <w:tcPr>
            <w:tcW w:type="dxa" w:w="7584"/>
          </w:tcPr>
          <w:p>
            <w:pPr>
              <w:spacing w:after="20" w:before="20" w:line="240" w:lineRule="auto"/>
            </w:pPr>
            <w:r/>
            <w:r>
              <w:rPr>
                <w:sz w:val="18"/>
              </w:rPr>
              <w:t>Unusual pattern</w:t>
            </w:r>
          </w:p>
        </w:tc>
      </w:tr>
      <w:tr>
        <w:tc>
          <w:tcPr>
            <w:tcW w:type="dxa" w:w="2167"/>
          </w:tcPr>
          <w:p>
            <w:pPr>
              <w:spacing w:after="20" w:before="20" w:line="240" w:lineRule="auto"/>
            </w:pPr>
            <w:r/>
            <w:r>
              <w:rPr>
                <w:sz w:val="18"/>
              </w:rPr>
              <w:t>LIM</w:t>
            </w:r>
          </w:p>
        </w:tc>
        <w:tc>
          <w:tcPr>
            <w:tcW w:type="dxa" w:w="7584"/>
          </w:tcPr>
          <w:p>
            <w:pPr>
              <w:spacing w:after="20" w:before="20" w:line="240" w:lineRule="auto"/>
            </w:pPr>
            <w:r/>
            <w:r>
              <w:rPr>
                <w:sz w:val="18"/>
              </w:rPr>
              <w:t>Fewer than 10 declarations</w:t>
            </w:r>
          </w:p>
        </w:tc>
      </w:tr>
      <w:tr>
        <w:tc>
          <w:tcPr>
            <w:tcW w:type="dxa" w:w="2167"/>
          </w:tcPr>
          <w:p>
            <w:pPr>
              <w:spacing w:after="20" w:before="20" w:line="240" w:lineRule="auto"/>
            </w:pPr>
            <w:r/>
            <w:r>
              <w:rPr>
                <w:sz w:val="18"/>
              </w:rPr>
              <w:t>NPE</w:t>
            </w:r>
          </w:p>
        </w:tc>
        <w:tc>
          <w:tcPr>
            <w:tcW w:type="dxa" w:w="7584"/>
          </w:tcPr>
          <w:p>
            <w:pPr>
              <w:spacing w:after="20" w:before="20" w:line="240" w:lineRule="auto"/>
            </w:pPr>
            <w:r/>
            <w:r>
              <w:rPr>
                <w:sz w:val="18"/>
              </w:rPr>
              <w:t>No close peer group</w:t>
            </w:r>
          </w:p>
        </w:tc>
      </w:tr>
      <w:tr>
        <w:tc>
          <w:tcPr>
            <w:tcW w:type="dxa" w:w="2167"/>
          </w:tcPr>
          <w:p>
            <w:pPr>
              <w:spacing w:after="20" w:before="20" w:line="240" w:lineRule="auto"/>
            </w:pPr>
            <w:r/>
            <w:r>
              <w:rPr>
                <w:sz w:val="18"/>
              </w:rPr>
              <w:t>LAG</w:t>
            </w:r>
          </w:p>
        </w:tc>
        <w:tc>
          <w:tcPr>
            <w:tcW w:type="dxa" w:w="7584"/>
          </w:tcPr>
          <w:p>
            <w:pPr>
              <w:spacing w:after="20" w:before="20" w:line="240" w:lineRule="auto"/>
            </w:pPr>
            <w:r/>
            <w:r>
              <w:rPr>
                <w:sz w:val="18"/>
              </w:rPr>
              <w:t>History and pattern disagree</w:t>
            </w:r>
          </w:p>
        </w:tc>
      </w:tr>
      <w:tr>
        <w:tc>
          <w:tcPr>
            <w:tcW w:type="dxa" w:w="2167"/>
          </w:tcPr>
          <w:p>
            <w:pPr>
              <w:spacing w:after="20" w:before="20" w:line="240" w:lineRule="auto"/>
            </w:pPr>
            <w:r/>
            <w:r>
              <w:rPr>
                <w:sz w:val="18"/>
              </w:rPr>
              <w:t>MIS</w:t>
            </w:r>
          </w:p>
        </w:tc>
        <w:tc>
          <w:tcPr>
            <w:tcW w:type="dxa" w:w="7584"/>
          </w:tcPr>
          <w:p>
            <w:pPr>
              <w:spacing w:after="20" w:before="20" w:line="240" w:lineRule="auto"/>
            </w:pPr>
            <w:r/>
            <w:r>
              <w:rPr>
                <w:sz w:val="18"/>
              </w:rPr>
              <w:t>Some parameters missing</w:t>
            </w:r>
          </w:p>
        </w:tc>
      </w:tr>
    </w:tbl>
    <w:p>
      <w:pPr>
        <w:spacing w:after="40"/>
      </w:pPr>
    </w:p>
    <w:p>
      <w:pPr>
        <w:spacing w:after="120"/>
      </w:pPr>
      <w:r>
        <w:t xml:space="preserve">Every output carries </w:t>
      </w:r>
      <w:r>
        <w:rPr>
          <w:rFonts w:ascii="Consolas" w:hAnsi="Consolas"/>
        </w:rPr>
        <w:t>MODEL_VERSION</w:t>
      </w:r>
      <w:r>
        <w:t xml:space="preserve"> and a 10-character SHA-256 </w:t>
      </w:r>
      <w:r>
        <w:rPr>
          <w:b/>
        </w:rPr>
        <w:t>fingerprint</w:t>
      </w:r>
      <w:r>
        <w:t xml:space="preserve"> of all settings. The same fingerprint means the same settings (</w:t>
      </w:r>
      <w:r>
        <w:rPr>
          <w:rFonts w:ascii="Consolas" w:hAnsi="Consolas"/>
        </w:rPr>
        <w:t>config_fingerprint</w:t>
      </w:r>
      <w:r>
        <w:t>).</w:t>
      </w:r>
    </w:p>
    <w:p>
      <w:pPr>
        <w:spacing w:after="120"/>
      </w:pPr>
      <w:r>
        <w:t>Live Sep 2026 counts (D96, before the version 3 rebuild): VERY LOW 46,838, LOW 8,264, MEDIUM 1,326, HIGH 869, VERY HIGH 204. The band cut-offs are still open (Stage 7), because they depend on officer capacity (OQ-8).</w:t>
      </w:r>
    </w:p>
    <w:p>
      <w:r>
        <w:br w:type="page"/>
      </w:r>
    </w:p>
    <w:p>
      <w:pPr>
        <w:pStyle w:val="Heading1"/>
      </w:pPr>
      <w:r>
        <w:t>Part 4. Track B: behavioural risk (discovery)</w:t>
      </w:r>
    </w:p>
    <w:p>
      <w:pPr>
        <w:pStyle w:val="Heading2"/>
      </w:pPr>
      <w:r>
        <w:t>4.1 Why Track B exists</w:t>
      </w:r>
    </w:p>
    <w:p>
      <w:pPr>
        <w:pStyle w:val="Heading3"/>
      </w:pPr>
      <w:r>
        <w:t>Simple version</w:t>
      </w:r>
    </w:p>
    <w:p>
      <w:pPr>
        <w:spacing w:after="120"/>
      </w:pPr>
      <w:r>
        <w:t xml:space="preserve">Track A has a blind spot. It only catches companies that </w:t>
      </w:r>
      <w:r>
        <w:rPr>
          <w:b/>
        </w:rPr>
        <w:t>have been caught before</w:t>
      </w:r>
      <w:r>
        <w:t>. Imagine a teacher who only watches kids who were in trouble last year. A kid who has been cheating quietly and never got caught would never be on the list.</w:t>
      </w:r>
    </w:p>
    <w:p>
      <w:pPr>
        <w:spacing w:after="120"/>
      </w:pPr>
      <w:r>
        <w:t>We checked, and that's exactly what happened. Every single company in Track A's top 5% had been caught before. Companies with a clean record made up 69% of all companies, and they caused 9% of the later problems. Track A was almost no better than guessing at finding those (D59).</w:t>
      </w:r>
    </w:p>
    <w:p>
      <w:pPr>
        <w:spacing w:after="120"/>
      </w:pPr>
      <w:r>
        <w:t xml:space="preserve">So Track B ignores "were you caught before?" completely. It only looks at </w:t>
      </w:r>
      <w:r>
        <w:rPr>
          <w:b/>
        </w:rPr>
        <w:t>how a company behaves</w:t>
      </w:r>
      <w:r>
        <w:t>. Are its prices strangely low compared with others selling the same thing? Does it keep changing its forms? Did it suddenly start importing a lot more?</w:t>
      </w:r>
    </w:p>
    <w:p>
      <w:pPr>
        <w:pStyle w:val="Heading3"/>
      </w:pPr>
      <w:r>
        <w:t>Technical version</w:t>
      </w:r>
    </w:p>
    <w:p>
      <w:pPr>
        <w:spacing w:after="120"/>
      </w:pPr>
      <w:r>
        <w:t>Rule 1 of Track B (</w:t>
      </w:r>
      <w:r>
        <w:rPr>
          <w:rFonts w:ascii="Consolas" w:hAnsi="Consolas"/>
        </w:rPr>
        <w:t>discovery.py</w:t>
      </w:r>
      <w:r>
        <w:t xml:space="preserve"> header): </w:t>
      </w:r>
      <w:r>
        <w:rPr>
          <w:b/>
        </w:rPr>
        <w:t>no input that records what customs did</w:t>
      </w:r>
      <w:r>
        <w:t xml:space="preserve">. That means no top-ups, no tax reductions and no lanes. Otherwise Track B would just copy the current selection process. Track B is judged on taxpayers with </w:t>
      </w:r>
      <w:r>
        <w:rPr>
          <w:b/>
        </w:rPr>
        <w:t>no top-up history</w:t>
      </w:r>
      <w:r>
        <w:t xml:space="preserve"> (</w:t>
      </w:r>
      <w:r>
        <w:rPr>
          <w:rFonts w:ascii="Consolas" w:hAnsi="Consolas"/>
        </w:rPr>
        <w:t>no_history()</w:t>
      </w:r>
      <w:r>
        <w:t>), split into two segments: regular (10 or more declarations) and small (under 10).</w:t>
      </w:r>
    </w:p>
    <w:p>
      <w:pPr>
        <w:pStyle w:val="Heading2"/>
      </w:pPr>
      <w:r>
        <w:t>4.2 The behaviour features</w:t>
      </w:r>
    </w:p>
    <w:p>
      <w:pPr>
        <w:spacing w:after="120"/>
      </w:pPr>
      <w:r>
        <w:rPr>
          <w:rFonts w:ascii="Consolas" w:hAnsi="Consolas"/>
        </w:rPr>
        <w:t>discovery.FEATURES</w:t>
      </w:r>
      <w:r>
        <w:t>. Each feature has a direction (+1 = higher is riskier):</w:t>
      </w:r>
    </w:p>
    <w:p>
      <w:pPr>
        <w:pStyle w:val="Caption"/>
      </w:pPr>
      <w:r>
        <w:t xml:space="preserve">Table </w:t>
      </w:r>
      <w:r>
        <w:fldChar w:fldCharType="begin"/>
      </w:r>
      <w:r>
        <w:instrText xml:space="preserve"> SEQ Table \* ARABIC </w:instrText>
      </w:r>
      <w:r>
        <w:fldChar w:fldCharType="separate"/>
      </w:r>
      <w:r>
        <w:t>8</w:t>
      </w:r>
      <w:r>
        <w:fldChar w:fldCharType="end"/>
      </w:r>
      <w:r>
        <w:t>: The behaviour features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4876"/>
            <w:shd w:val="clear" w:color="auto" w:fill="D9E2F3"/>
          </w:tcPr>
          <w:p>
            <w:pPr>
              <w:spacing w:after="20" w:before="20" w:line="240" w:lineRule="auto"/>
            </w:pPr>
            <w:r/>
            <w:r>
              <w:rPr>
                <w:b/>
                <w:sz w:val="18"/>
              </w:rPr>
              <w:t>Group</w:t>
            </w:r>
          </w:p>
        </w:tc>
        <w:tc>
          <w:tcPr>
            <w:tcW w:type="dxa" w:w="4876"/>
            <w:shd w:val="clear" w:color="auto" w:fill="D9E2F3"/>
          </w:tcPr>
          <w:p>
            <w:pPr>
              <w:spacing w:after="20" w:before="20" w:line="240" w:lineRule="auto"/>
            </w:pPr>
            <w:r/>
            <w:r>
              <w:rPr>
                <w:b/>
                <w:sz w:val="18"/>
              </w:rPr>
              <w:t>Features</w:t>
            </w:r>
          </w:p>
        </w:tc>
      </w:tr>
      <w:tr>
        <w:tc>
          <w:tcPr>
            <w:tcW w:type="dxa" w:w="4876"/>
          </w:tcPr>
          <w:p>
            <w:pPr>
              <w:spacing w:after="20" w:before="20" w:line="240" w:lineRule="auto"/>
            </w:pPr>
            <w:r/>
            <w:r>
              <w:rPr>
                <w:sz w:val="18"/>
              </w:rPr>
              <w:t>Declaration behaviour</w:t>
            </w:r>
          </w:p>
        </w:tc>
        <w:tc>
          <w:tcPr>
            <w:tcW w:type="dxa" w:w="4876"/>
          </w:tcPr>
          <w:p>
            <w:pPr>
              <w:spacing w:after="20" w:before="20" w:line="240" w:lineRule="auto"/>
            </w:pPr>
            <w:r/>
            <w:r>
              <w:rPr>
                <w:sz w:val="18"/>
              </w:rPr>
              <w:t>amended rate, unpaid tax rate, implausibly low (keying-error) price rate</w:t>
            </w:r>
          </w:p>
        </w:tc>
      </w:tr>
      <w:tr>
        <w:tc>
          <w:tcPr>
            <w:tcW w:type="dxa" w:w="4876"/>
          </w:tcPr>
          <w:p>
            <w:pPr>
              <w:spacing w:after="20" w:before="20" w:line="240" w:lineRule="auto"/>
            </w:pPr>
            <w:r/>
            <w:r>
              <w:rPr>
                <w:sz w:val="18"/>
              </w:rPr>
              <w:t>Valuation</w:t>
            </w:r>
          </w:p>
        </w:tc>
        <w:tc>
          <w:tcPr>
            <w:tcW w:type="dxa" w:w="4876"/>
          </w:tcPr>
          <w:p>
            <w:pPr>
              <w:spacing w:after="20" w:before="20" w:line="240" w:lineRule="auto"/>
            </w:pPr>
            <w:r/>
            <w:r>
              <w:rPr>
                <w:sz w:val="18"/>
              </w:rPr>
              <w:t>shortfall vs HS benchmark, items priced below half the benchmark, price deviation from other importers, price drop vs own history</w:t>
            </w:r>
          </w:p>
        </w:tc>
      </w:tr>
      <w:tr>
        <w:tc>
          <w:tcPr>
            <w:tcW w:type="dxa" w:w="4876"/>
          </w:tcPr>
          <w:p>
            <w:pPr>
              <w:spacing w:after="20" w:before="20" w:line="240" w:lineRule="auto"/>
            </w:pPr>
            <w:r/>
            <w:r>
              <w:rPr>
                <w:sz w:val="18"/>
              </w:rPr>
              <w:t>Classification and duty</w:t>
            </w:r>
          </w:p>
        </w:tc>
        <w:tc>
          <w:tcPr>
            <w:tcW w:type="dxa" w:w="4876"/>
          </w:tcPr>
          <w:p>
            <w:pPr>
              <w:spacing w:after="20" w:before="20" w:line="240" w:lineRule="auto"/>
            </w:pPr>
            <w:r/>
            <w:r>
              <w:rPr>
                <w:sz w:val="18"/>
              </w:rPr>
              <w:t>duty rate below HS peers, duty gap, value under exemption APCs, value under watch-list APCs, preferential treatment claimed</w:t>
            </w:r>
          </w:p>
        </w:tc>
      </w:tr>
      <w:tr>
        <w:tc>
          <w:tcPr>
            <w:tcW w:type="dxa" w:w="4876"/>
          </w:tcPr>
          <w:p>
            <w:pPr>
              <w:spacing w:after="20" w:before="20" w:line="240" w:lineRule="auto"/>
            </w:pPr>
            <w:r/>
            <w:r>
              <w:rPr>
                <w:sz w:val="18"/>
              </w:rPr>
              <w:t>Trading pattern</w:t>
            </w:r>
          </w:p>
        </w:tc>
        <w:tc>
          <w:tcPr>
            <w:tcW w:type="dxa" w:w="4876"/>
          </w:tcPr>
          <w:p>
            <w:pPr>
              <w:spacing w:after="20" w:before="20" w:line="240" w:lineRule="auto"/>
            </w:pPr>
            <w:r/>
            <w:r>
              <w:rPr>
                <w:sz w:val="18"/>
              </w:rPr>
              <w:t>sudden surge in declarations, station spread, same-day splitting above the norm (bulk goods excluded, D38), newness</w:t>
            </w:r>
          </w:p>
        </w:tc>
      </w:tr>
    </w:tbl>
    <w:p>
      <w:pPr>
        <w:spacing w:after="40"/>
      </w:pPr>
    </w:p>
    <w:p>
      <w:pPr>
        <w:spacing w:after="120"/>
      </w:pPr>
      <w:r>
        <w:rPr>
          <w:rFonts w:ascii="Consolas" w:hAnsi="Consolas"/>
        </w:rPr>
        <w:t>goods_spread</w:t>
      </w:r>
      <w:r>
        <w:t xml:space="preserve"> (many kinds of goods per declaration) is computed but </w:t>
      </w:r>
      <w:r>
        <w:rPr>
          <w:b/>
        </w:rPr>
        <w:t>dropped</w:t>
      </w:r>
      <w:r>
        <w:t xml:space="preserve"> from the model. It described general merchants, not risk, and at one point it drove 506 of 510 flags (D99, </w:t>
      </w:r>
      <w:r>
        <w:rPr>
          <w:rFonts w:ascii="Consolas" w:hAnsi="Consolas"/>
        </w:rPr>
        <w:t>DROPPED</w:t>
      </w:r>
      <w:r>
        <w:t>).</w:t>
      </w:r>
    </w:p>
    <w:p>
      <w:pPr>
        <w:spacing w:after="120"/>
      </w:pPr>
      <w:r>
        <w:t>Rates get the same one-way credibility weighting as Track A, with K = 10.</w:t>
      </w:r>
    </w:p>
    <w:p>
      <w:pPr>
        <w:pStyle w:val="Heading2"/>
      </w:pPr>
      <w:r>
        <w:t>4.3 Peer percentiles</w:t>
      </w:r>
    </w:p>
    <w:p>
      <w:pPr>
        <w:pStyle w:val="Heading3"/>
      </w:pPr>
      <w:r>
        <w:t>Simple version</w:t>
      </w:r>
    </w:p>
    <w:p>
      <w:pPr>
        <w:spacing w:after="120"/>
      </w:pPr>
      <w:r>
        <w:t>For each behaviour, we line up all the similar companies and ask: "Where does this one stand?" If its prices are lower than 97 out of 100 similar companies, it's at the 97th percentile. That's easy to explain. "Your prices are lower than 97% of companies like you" is a sentence anyone understands.</w:t>
      </w:r>
    </w:p>
    <w:p>
      <w:pPr>
        <w:pStyle w:val="Heading3"/>
      </w:pPr>
      <w:r>
        <w:t>Technical version</w:t>
      </w:r>
    </w:p>
    <w:p>
      <w:pPr>
        <w:spacing w:after="120"/>
      </w:pPr>
      <w:r>
        <w:rPr>
          <w:rFonts w:ascii="Consolas" w:hAnsi="Consolas"/>
        </w:rPr>
        <w:t>peer_percentiles()</w:t>
      </w:r>
      <w:r>
        <w:t xml:space="preserve">. Each feature is multiplied by its direction, then ranked as a percentile within the </w:t>
      </w:r>
      <w:r>
        <w:rPr>
          <w:b/>
        </w:rPr>
        <w:t>HS section × size tier</w:t>
      </w:r>
      <w:r>
        <w:t xml:space="preserve"> group (</w:t>
      </w:r>
      <w:r>
        <w:rPr>
          <w:rFonts w:ascii="Consolas" w:hAnsi="Consolas"/>
        </w:rPr>
        <w:t>section_size_groups()</w:t>
      </w:r>
      <w:r>
        <w:t>, all taxpayers, not just regular ones). Missing values are set to 0.5, meaning no evidence either way. Percentiles make features with very different units comparable, and they are robust to outliers.</w:t>
      </w:r>
    </w:p>
    <w:p>
      <w:pPr>
        <w:pStyle w:val="Heading2"/>
      </w:pPr>
      <w:r>
        <w:t>4.4 The model: monotone, additive gradient boosting</w:t>
      </w:r>
    </w:p>
    <w:p>
      <w:pPr>
        <w:pStyle w:val="Heading3"/>
      </w:pPr>
      <w:r>
        <w:t>Simple version</w:t>
      </w:r>
    </w:p>
    <w:p>
      <w:pPr>
        <w:spacing w:after="120"/>
      </w:pPr>
      <w:r>
        <w:t>Now a computer learns from the past. We show it old snapshots: "Here's how companies behaved in 2023, and here's who got caught in the next 6 months." It learns which behaviours matter most.</w:t>
      </w:r>
    </w:p>
    <w:p>
      <w:pPr>
        <w:spacing w:after="120"/>
      </w:pPr>
      <w:r>
        <w:t>We gave it two strict rules so it can't do anything silly:</w:t>
      </w:r>
    </w:p>
    <w:p>
      <w:pPr>
        <w:pStyle w:val="ListParagraph"/>
        <w:numPr>
          <w:ilvl w:val="0"/>
          <w:numId w:val="903"/>
        </w:numPr>
        <w:spacing w:after="60"/>
      </w:pPr>
      <w:r>
        <w:rPr>
          <w:b/>
        </w:rPr>
        <w:t>Only upwards.</w:t>
      </w:r>
      <w:r>
        <w:t xml:space="preserve"> If a company's behaviour gets more suspicious, its score can only go up, never down. The computer is not allowed to learn "very low prices mean safe."</w:t>
      </w:r>
    </w:p>
    <w:p>
      <w:pPr>
        <w:pStyle w:val="ListParagraph"/>
        <w:numPr>
          <w:ilvl w:val="0"/>
          <w:numId w:val="903"/>
        </w:numPr>
        <w:spacing w:after="60"/>
      </w:pPr>
      <w:r>
        <w:rPr>
          <w:b/>
        </w:rPr>
        <w:t>One at a time.</w:t>
      </w:r>
      <w:r>
        <w:t xml:space="preserve"> The computer learns a separate curve for each behaviour and adds them up. So we can always say exactly how much each behaviour added. It's like a receipt: shirts 5,000, shoes 3,000, total 8,000.</w:t>
      </w:r>
    </w:p>
    <w:p>
      <w:pPr>
        <w:pStyle w:val="Heading3"/>
      </w:pPr>
      <w:r>
        <w:t>Technical version</w:t>
      </w:r>
    </w:p>
    <w:p>
      <w:pPr>
        <w:spacing w:after="120"/>
      </w:pPr>
      <w:r>
        <w:rPr>
          <w:rFonts w:ascii="Consolas" w:hAnsi="Consolas"/>
        </w:rPr>
        <w:t>discovery._boosting_model()</w:t>
      </w:r>
      <w:r>
        <w: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HistGradientBoostingClassifier(max_iter=200, learning_rate=0.05, min_samples_leaf=300,</w:t>
            </w:r>
          </w:p>
          <w:p>
            <w:pPr>
              <w:spacing w:after="0" w:line="240" w:lineRule="auto"/>
            </w:pPr>
            <w:r>
              <w:rPr>
                <w:rFonts w:ascii="Consolas" w:hAnsi="Consolas"/>
                <w:sz w:val="14"/>
              </w:rPr>
              <w:t xml:space="preserve">                               random_state=42,</w:t>
            </w:r>
          </w:p>
          <w:p>
            <w:pPr>
              <w:spacing w:after="0" w:line="240" w:lineRule="auto"/>
            </w:pPr>
            <w:r>
              <w:rPr>
                <w:rFonts w:ascii="Consolas" w:hAnsi="Consolas"/>
                <w:sz w:val="14"/>
              </w:rPr>
              <w:t xml:space="preserve">                               monotonic_cst=[1]*n,                  # rule 1: risk only rises</w:t>
            </w:r>
          </w:p>
          <w:p>
            <w:pPr>
              <w:spacing w:after="0" w:line="240" w:lineRule="auto"/>
            </w:pPr>
            <w:r>
              <w:rPr>
                <w:rFonts w:ascii="Consolas" w:hAnsi="Consolas"/>
                <w:sz w:val="14"/>
              </w:rPr>
              <w:t xml:space="preserve">                               interaction_cst=[[i] for i in range(n)])  # rule 2: no interactions</w:t>
            </w:r>
          </w:p>
        </w:tc>
      </w:tr>
    </w:tbl>
    <w:p>
      <w:pPr>
        <w:spacing w:after="40"/>
      </w:pPr>
    </w:p>
    <w:p>
      <w:pPr>
        <w:spacing w:after="120"/>
      </w:pPr>
      <w:r>
        <w:rPr>
          <w:b/>
        </w:rPr>
        <w:t>Gradient boosting</w:t>
      </w:r>
      <w:r>
        <w:t xml:space="preserve"> builds many small decision trees one after another. Each new tree corrects the errors of the ones before it. With </w:t>
      </w:r>
      <w:r>
        <w:rPr>
          <w:rFonts w:ascii="Consolas" w:hAnsi="Consolas"/>
        </w:rPr>
        <w:t>interaction_cst</w:t>
      </w:r>
      <w:r>
        <w:t xml:space="preserve"> putting every feature in its own group, each tree uses one feature only. The model is therefore a </w:t>
      </w:r>
      <w:r>
        <w:rPr>
          <w:b/>
        </w:rPr>
        <w:t>generalised additive model</w:t>
      </w:r>
      <w:r>
        <w:t>:</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logit(P(hit)) = f1(x1) + f2(x2) + … + fn(xn)</w:t>
            </w:r>
          </w:p>
        </w:tc>
      </w:tr>
    </w:tbl>
    <w:p>
      <w:pPr>
        <w:spacing w:after="40"/>
      </w:pPr>
    </w:p>
    <w:p>
      <w:pPr>
        <w:spacing w:after="120"/>
      </w:pPr>
      <w:r>
        <w:t>Each fi is non-decreasing (</w:t>
      </w:r>
      <w:r>
        <w:rPr>
          <w:rFonts w:ascii="Consolas" w:hAnsi="Consolas"/>
        </w:rPr>
        <w:t>monotonic_cst</w:t>
      </w:r>
      <w:r>
        <w:t xml:space="preserve">). </w:t>
      </w:r>
      <w:r>
        <w:rPr>
          <w:rFonts w:ascii="Consolas" w:hAnsi="Consolas"/>
        </w:rPr>
        <w:t>min_samples_leaf=300</w:t>
      </w:r>
      <w:r>
        <w:t xml:space="preserve"> stops the model fitting tiny noisy pockets.</w:t>
      </w:r>
    </w:p>
    <w:p>
      <w:pPr>
        <w:spacing w:after="120"/>
      </w:pPr>
      <w:r>
        <w:rPr>
          <w:b/>
        </w:rPr>
        <w:t>Training target, hits per check.</w:t>
      </w:r>
      <w:r>
        <w:t xml:space="preserve"> </w:t>
      </w:r>
      <w:r>
        <w:rPr>
          <w:rFonts w:ascii="Consolas" w:hAnsi="Consolas"/>
        </w:rPr>
        <w:t>_rows()</w:t>
      </w:r>
      <w:r>
        <w:t xml:space="preserve"> turns each checked taxpayer into two weighted rows: a "hit" row with weight = hits, and a "no hit" row with weight = checks − hits. The model then learns *P(a check finds a top-up)*. A taxpayer checked 50 times does not count 50 times more by accident.</w:t>
      </w:r>
    </w:p>
    <w:p>
      <w:pPr>
        <w:spacing w:after="120"/>
      </w:pPr>
      <w:r>
        <w:rPr>
          <w:b/>
        </w:rPr>
        <w:t>No look-ahead.</w:t>
      </w:r>
      <w:r>
        <w:t xml:space="preserve"> One model is trained per segment (regular and small), only on earlier snapshots whose 6-month outcome window had closed (</w:t>
      </w:r>
      <w:r>
        <w:rPr>
          <w:rFonts w:ascii="Consolas" w:hAnsi="Consolas"/>
        </w:rPr>
        <w:t>pipeline.training_extracts()</w:t>
      </w:r>
      <w:r>
        <w:t>: snapshot ≤ scoring date − 6 months), and only on no-history taxpayers.</w:t>
      </w:r>
    </w:p>
    <w:p>
      <w:pPr>
        <w:pStyle w:val="Heading2"/>
      </w:pPr>
      <w:r>
        <w:t>4.5 Reasons, the flag and the Overall Risk Band</w:t>
      </w:r>
    </w:p>
    <w:p>
      <w:pPr>
        <w:pStyle w:val="Heading3"/>
      </w:pPr>
      <w:r>
        <w:t>Simple version</w:t>
      </w:r>
    </w:p>
    <w:p>
      <w:pPr>
        <w:spacing w:after="120"/>
      </w:pPr>
      <w:r>
        <w:t xml:space="preserve">Each company gets a behaviour percentile and two reasons, such as "Value below the HS benchmark: higher than 96% of similar importers." The top 5% of clean-record regular companies, and the top 1% of clean-record small ones, get a </w:t>
      </w:r>
      <w:r>
        <w:rPr>
          <w:b/>
        </w:rPr>
        <w:t>Risky Behaviour Flag</w:t>
      </w:r>
      <w:r>
        <w:t>.</w:t>
      </w:r>
    </w:p>
    <w:p>
      <w:pPr>
        <w:spacing w:after="120"/>
      </w:pPr>
      <w:r>
        <w:t xml:space="preserve">Then the two tracks are combined. The final colour, the </w:t>
      </w:r>
      <w:r>
        <w:rPr>
          <w:b/>
        </w:rPr>
        <w:t>Overall Risk Band</w:t>
      </w:r>
      <w:r>
        <w:t>, takes whichever track says "riskier." This does not mean Track B is the worse track. It means a clean history can't hide worrying behaviour. There is one safety rule. Because Track B is new and hasn't been checked by officers yet, it can push a company up to HIGH but never to VERY HIGH.</w:t>
      </w:r>
    </w:p>
    <w:p>
      <w:pPr>
        <w:pStyle w:val="Heading3"/>
      </w:pPr>
      <w:r>
        <w:t>Technical version</w:t>
      </w:r>
    </w:p>
    <w:p>
      <w:pPr>
        <w:spacing w:after="120"/>
      </w:pPr>
      <w:r>
        <w:t>Contributions (</w:t>
      </w:r>
      <w:r>
        <w:rPr>
          <w:rFonts w:ascii="Consolas" w:hAnsi="Consolas"/>
        </w:rPr>
        <w:t>score_snapshot_b</w:t>
      </w:r>
      <w:r>
        <w:t>): for each feature c,</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contribution_c = decision_function(x) − decision_function(x with c set to 0.5)</w:t>
            </w:r>
          </w:p>
        </w:tc>
      </w:tr>
    </w:tbl>
    <w:p>
      <w:pPr>
        <w:spacing w:after="40"/>
      </w:pPr>
    </w:p>
    <w:p>
      <w:pPr>
        <w:spacing w:after="120"/>
      </w:pPr>
      <w:r>
        <w:t>Because the model is additive, this is exact. It is the gap between feature c's curve at the taxpayer's percentile and its curve at the peer median. The two largest positive contributions become the reasons.</w:t>
      </w:r>
    </w:p>
    <w:p>
      <w:pPr>
        <w:spacing w:after="120"/>
      </w:pPr>
      <w:r>
        <w:rPr>
          <w:rFonts w:ascii="Consolas" w:hAnsi="Consolas"/>
        </w:rPr>
        <w:t>DISCOVERY_SHARE = {'regular': 0.05, 'small': 0.01}</w:t>
      </w:r>
      <w:r>
        <w:t xml:space="preserve"> are working values until the officers give their capacity. </w:t>
      </w:r>
      <w:r>
        <w:rPr>
          <w:rFonts w:ascii="Consolas" w:hAnsi="Consolas"/>
        </w:rPr>
        <w:t>report.two_tracks()</w:t>
      </w:r>
      <w:r>
        <w:t xml:space="preserve"> sets </w:t>
      </w:r>
      <w:r>
        <w:rPr>
          <w:rFonts w:ascii="Consolas" w:hAnsi="Consolas"/>
        </w:rPr>
        <w:t>overall_band</w:t>
      </w:r>
      <w:r>
        <w:t xml:space="preserve"> and </w:t>
      </w:r>
      <w:r>
        <w:rPr>
          <w:rFonts w:ascii="Consolas" w:hAnsi="Consolas"/>
        </w:rPr>
        <w:t>driven_by</w:t>
      </w:r>
      <w:r>
        <w:t xml:space="preserve"> ("Compliance history" or "Trading behaviour"). Live Sep 2026: 510 flagged (120 regular, 390 small) (D74).</w:t>
      </w:r>
    </w:p>
    <w:p>
      <w:pPr>
        <w:pStyle w:val="Heading2"/>
      </w:pPr>
      <w:r>
        <w:t>4.6 How good is Track B?</w:t>
      </w:r>
    </w:p>
    <w:p>
      <w:pPr>
        <w:pStyle w:val="Heading3"/>
      </w:pPr>
      <w:r>
        <w:t>Simple version</w:t>
      </w:r>
    </w:p>
    <w:p>
      <w:pPr>
        <w:spacing w:after="120"/>
      </w:pPr>
      <w:r>
        <w:t xml:space="preserve">It's better than guessing and better than Track A at finding these "never caught" companies, but only modestly. There's a deeper problem. If a company undervalues goods and customs never catches it, our data never records a "hit." So we can't fully grade Track B using past catches. That's why officers will do a </w:t>
      </w:r>
      <w:r>
        <w:rPr>
          <w:b/>
        </w:rPr>
        <w:t>blind test</w:t>
      </w:r>
      <w:r>
        <w:t>. They'll look at 50 companies without knowing which 25 the model picked, and we'll see if they find more problems in the model's 25.</w:t>
      </w:r>
    </w:p>
    <w:p>
      <w:pPr>
        <w:pStyle w:val="Heading3"/>
      </w:pPr>
      <w:r>
        <w:t>Technical version</w:t>
      </w:r>
    </w:p>
    <w:p>
      <w:pPr>
        <w:spacing w:after="120"/>
      </w:pPr>
      <w:r>
        <w:t>AUC per check within no-history taxpayers, 5 test dates (D95, D99):</w:t>
      </w:r>
    </w:p>
    <w:p>
      <w:pPr>
        <w:pStyle w:val="Caption"/>
      </w:pPr>
      <w:r>
        <w:t xml:space="preserve">Table </w:t>
      </w:r>
      <w:r>
        <w:fldChar w:fldCharType="begin"/>
      </w:r>
      <w:r>
        <w:instrText xml:space="preserve"> SEQ Table \* ARABIC </w:instrText>
      </w:r>
      <w:r>
        <w:fldChar w:fldCharType="separate"/>
      </w:r>
      <w:r>
        <w:t>9</w:t>
      </w:r>
      <w:r>
        <w:fldChar w:fldCharType="end"/>
      </w:r>
      <w:r>
        <w:t>: How good is Track B?</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1665"/>
            <w:shd w:val="clear" w:color="auto" w:fill="D9E2F3"/>
          </w:tcPr>
          <w:p>
            <w:pPr>
              <w:spacing w:after="20" w:before="20" w:line="240" w:lineRule="auto"/>
            </w:pPr>
            <w:r/>
            <w:r>
              <w:rPr>
                <w:b/>
                <w:sz w:val="18"/>
              </w:rPr>
              <w:t>Segment</w:t>
            </w:r>
          </w:p>
        </w:tc>
        <w:tc>
          <w:tcPr>
            <w:tcW w:type="dxa" w:w="3330"/>
            <w:shd w:val="clear" w:color="auto" w:fill="D9E2F3"/>
          </w:tcPr>
          <w:p>
            <w:pPr>
              <w:spacing w:after="20" w:before="20" w:line="240" w:lineRule="auto"/>
            </w:pPr>
            <w:r/>
            <w:r>
              <w:rPr>
                <w:b/>
                <w:sz w:val="18"/>
              </w:rPr>
              <w:t>Track B (boosting)</w:t>
            </w:r>
          </w:p>
        </w:tc>
        <w:tc>
          <w:tcPr>
            <w:tcW w:type="dxa" w:w="3330"/>
            <w:shd w:val="clear" w:color="auto" w:fill="D9E2F3"/>
          </w:tcPr>
          <w:p>
            <w:pPr>
              <w:spacing w:after="20" w:before="20" w:line="240" w:lineRule="auto"/>
            </w:pPr>
            <w:r/>
            <w:r>
              <w:rPr>
                <w:b/>
                <w:sz w:val="18"/>
              </w:rPr>
              <w:t>Track A on the same group</w:t>
            </w:r>
          </w:p>
        </w:tc>
        <w:tc>
          <w:tcPr>
            <w:tcW w:type="dxa" w:w="1427"/>
            <w:shd w:val="clear" w:color="auto" w:fill="D9E2F3"/>
          </w:tcPr>
          <w:p>
            <w:pPr>
              <w:spacing w:after="20" w:before="20" w:line="240" w:lineRule="auto"/>
            </w:pPr>
            <w:r/>
            <w:r>
              <w:rPr>
                <w:b/>
                <w:sz w:val="18"/>
              </w:rPr>
              <w:t>Chance</w:t>
            </w:r>
          </w:p>
        </w:tc>
      </w:tr>
      <w:tr>
        <w:tc>
          <w:tcPr>
            <w:tcW w:type="dxa" w:w="1665"/>
          </w:tcPr>
          <w:p>
            <w:pPr>
              <w:spacing w:after="20" w:before="20" w:line="240" w:lineRule="auto"/>
            </w:pPr>
            <w:r/>
            <w:r>
              <w:rPr>
                <w:sz w:val="18"/>
              </w:rPr>
              <w:t>Regular</w:t>
            </w:r>
          </w:p>
        </w:tc>
        <w:tc>
          <w:tcPr>
            <w:tcW w:type="dxa" w:w="3330"/>
          </w:tcPr>
          <w:p>
            <w:pPr>
              <w:spacing w:after="20" w:before="20" w:line="240" w:lineRule="auto"/>
            </w:pPr>
            <w:r/>
            <w:r>
              <w:rPr>
                <w:sz w:val="18"/>
              </w:rPr>
              <w:t>0.605</w:t>
            </w:r>
          </w:p>
        </w:tc>
        <w:tc>
          <w:tcPr>
            <w:tcW w:type="dxa" w:w="3330"/>
          </w:tcPr>
          <w:p>
            <w:pPr>
              <w:spacing w:after="20" w:before="20" w:line="240" w:lineRule="auto"/>
            </w:pPr>
            <w:r/>
            <w:r>
              <w:rPr>
                <w:sz w:val="18"/>
              </w:rPr>
              <w:t>0.557</w:t>
            </w:r>
          </w:p>
        </w:tc>
        <w:tc>
          <w:tcPr>
            <w:tcW w:type="dxa" w:w="1427"/>
          </w:tcPr>
          <w:p>
            <w:pPr>
              <w:spacing w:after="20" w:before="20" w:line="240" w:lineRule="auto"/>
            </w:pPr>
            <w:r/>
            <w:r>
              <w:rPr>
                <w:sz w:val="18"/>
              </w:rPr>
              <w:t>0.50</w:t>
            </w:r>
          </w:p>
        </w:tc>
      </w:tr>
      <w:tr>
        <w:tc>
          <w:tcPr>
            <w:tcW w:type="dxa" w:w="1665"/>
          </w:tcPr>
          <w:p>
            <w:pPr>
              <w:spacing w:after="20" w:before="20" w:line="240" w:lineRule="auto"/>
            </w:pPr>
            <w:r/>
            <w:r>
              <w:rPr>
                <w:sz w:val="18"/>
              </w:rPr>
              <w:t>Small</w:t>
            </w:r>
          </w:p>
        </w:tc>
        <w:tc>
          <w:tcPr>
            <w:tcW w:type="dxa" w:w="3330"/>
          </w:tcPr>
          <w:p>
            <w:pPr>
              <w:spacing w:after="20" w:before="20" w:line="240" w:lineRule="auto"/>
            </w:pPr>
            <w:r/>
            <w:r>
              <w:rPr>
                <w:sz w:val="18"/>
              </w:rPr>
              <w:t>0.583</w:t>
            </w:r>
          </w:p>
        </w:tc>
        <w:tc>
          <w:tcPr>
            <w:tcW w:type="dxa" w:w="3330"/>
          </w:tcPr>
          <w:p>
            <w:pPr>
              <w:spacing w:after="20" w:before="20" w:line="240" w:lineRule="auto"/>
            </w:pPr>
            <w:r/>
            <w:r>
              <w:rPr>
                <w:sz w:val="18"/>
              </w:rPr>
              <w:t>0.536</w:t>
            </w:r>
          </w:p>
        </w:tc>
        <w:tc>
          <w:tcPr>
            <w:tcW w:type="dxa" w:w="1427"/>
          </w:tcPr>
          <w:p>
            <w:pPr>
              <w:spacing w:after="20" w:before="20" w:line="240" w:lineRule="auto"/>
            </w:pPr>
            <w:r/>
            <w:r>
              <w:rPr>
                <w:sz w:val="18"/>
              </w:rPr>
              <w:t>0.50</w:t>
            </w:r>
          </w:p>
        </w:tc>
      </w:tr>
    </w:tbl>
    <w:p>
      <w:pPr>
        <w:spacing w:after="40"/>
      </w:pPr>
    </w:p>
    <w:p>
      <w:pPr>
        <w:spacing w:after="120"/>
      </w:pPr>
      <w:r>
        <w:t xml:space="preserve">The blind review design: 25 flagged and 25 random unflagged no-history taxpayers, shuffled under codes R01–R50, with the key kept by Data Science (D86, </w:t>
      </w:r>
      <w:r>
        <w:rPr>
          <w:rFonts w:ascii="Consolas" w:hAnsi="Consolas"/>
        </w:rPr>
        <w:t>main.py blind-pack</w:t>
      </w:r>
      <w:r>
        <w:t xml:space="preserve">). Track B passes if the flagged group draws clearly more "Act" verdicts. </w:t>
      </w:r>
      <w:r>
        <w:rPr>
          <w:b/>
        </w:rPr>
        <w:t>It has not yet been run</w:t>
      </w:r>
      <w:r>
        <w:t>, and that is why the HIGH cap exists.</w:t>
      </w:r>
    </w:p>
    <w:p>
      <w:r>
        <w:br w:type="page"/>
      </w:r>
    </w:p>
    <w:p>
      <w:pPr>
        <w:pStyle w:val="Heading1"/>
      </w:pPr>
      <w:r>
        <w:t>Part 5. How we measured performance, and why these measures</w:t>
      </w:r>
    </w:p>
    <w:p>
      <w:pPr>
        <w:pStyle w:val="Heading2"/>
      </w:pPr>
      <w:r>
        <w:t>Simple version</w:t>
      </w:r>
    </w:p>
    <w:p>
      <w:pPr>
        <w:spacing w:after="120"/>
      </w:pPr>
      <w:r>
        <w:t>To grade a "who to check" list, we use the back-test from Part 0. We pretend it's an old date, make the list, then peek at what happened in the next 6 months. A good list puts the companies that really got caught near the top.</w:t>
      </w:r>
    </w:p>
    <w:p>
      <w:pPr>
        <w:spacing w:after="120"/>
      </w:pPr>
      <w:r>
        <w:t>We used several grades, because any single grade can trick you:</w:t>
      </w:r>
    </w:p>
    <w:p>
      <w:pPr>
        <w:pStyle w:val="ListParagraph"/>
        <w:numPr>
          <w:ilvl w:val="0"/>
          <w:numId w:val="904"/>
        </w:numPr>
        <w:spacing w:after="60"/>
      </w:pPr>
      <w:r>
        <w:rPr>
          <w:b/>
        </w:rPr>
        <w:t>Hit rate</w:t>
      </w:r>
      <w:r>
        <w:t>: of the checks done on companies at the top of our list, how many found a problem?</w:t>
      </w:r>
    </w:p>
    <w:p>
      <w:pPr>
        <w:pStyle w:val="ListParagraph"/>
        <w:numPr>
          <w:ilvl w:val="0"/>
          <w:numId w:val="904"/>
        </w:numPr>
        <w:spacing w:after="60"/>
      </w:pPr>
      <w:r>
        <w:rPr>
          <w:b/>
        </w:rPr>
        <w:t>Lift</w:t>
      </w:r>
      <w:r>
        <w:t>: how much better is our top group than average? A lift of 4 means "4 times better than picking at random."</w:t>
      </w:r>
    </w:p>
    <w:p>
      <w:pPr>
        <w:pStyle w:val="ListParagraph"/>
        <w:numPr>
          <w:ilvl w:val="0"/>
          <w:numId w:val="904"/>
        </w:numPr>
        <w:spacing w:after="60"/>
      </w:pPr>
      <w:r>
        <w:rPr>
          <w:b/>
        </w:rPr>
        <w:t>AUC</w:t>
      </w:r>
      <w:r>
        <w:t>: pick one check that found a problem and one that didn't. How often did the problem one have the higher score? 50% is coin-flipping. 100% is perfect.</w:t>
      </w:r>
    </w:p>
    <w:p>
      <w:pPr>
        <w:pStyle w:val="ListParagraph"/>
        <w:numPr>
          <w:ilvl w:val="0"/>
          <w:numId w:val="904"/>
        </w:numPr>
        <w:spacing w:after="60"/>
      </w:pPr>
      <w:r>
        <w:rPr>
          <w:b/>
        </w:rPr>
        <w:t>Money found</w:t>
      </w:r>
      <w:r>
        <w:t>: how much of the extra tax was found among the companies we flagged?</w:t>
      </w:r>
    </w:p>
    <w:p>
      <w:pPr>
        <w:spacing w:after="120"/>
      </w:pPr>
      <w:r>
        <w:t xml:space="preserve">We </w:t>
      </w:r>
      <w:r>
        <w:rPr>
          <w:b/>
        </w:rPr>
        <w:t>didn't</w:t>
      </w:r>
      <w:r>
        <w:t xml:space="preserve"> trust "accuracy" (how many we got right). Here's why. If only 8 in 100 checks find a problem, a lazy list that says "nobody is a problem" is 92% accurate and completely useless.</w:t>
      </w:r>
    </w:p>
    <w:p>
      <w:pPr>
        <w:pStyle w:val="Heading2"/>
      </w:pPr>
      <w:r>
        <w:t>Technical version</w:t>
      </w:r>
    </w:p>
    <w:p>
      <w:pPr>
        <w:pStyle w:val="Caption"/>
      </w:pPr>
      <w:r>
        <w:t xml:space="preserve">Table </w:t>
      </w:r>
      <w:r>
        <w:fldChar w:fldCharType="begin"/>
      </w:r>
      <w:r>
        <w:instrText xml:space="preserve"> SEQ Table \* ARABIC </w:instrText>
      </w:r>
      <w:r>
        <w:fldChar w:fldCharType="separate"/>
      </w:r>
      <w:r>
        <w:t>10</w:t>
      </w:r>
      <w:r>
        <w:fldChar w:fldCharType="end"/>
      </w:r>
      <w:r>
        <w:t>: Technical version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250"/>
            <w:shd w:val="clear" w:color="auto" w:fill="D9E2F3"/>
          </w:tcPr>
          <w:p>
            <w:pPr>
              <w:spacing w:after="20" w:before="20" w:line="240" w:lineRule="auto"/>
            </w:pPr>
            <w:r/>
            <w:r>
              <w:rPr>
                <w:b/>
                <w:sz w:val="18"/>
              </w:rPr>
              <w:t>Measure</w:t>
            </w:r>
          </w:p>
        </w:tc>
        <w:tc>
          <w:tcPr>
            <w:tcW w:type="dxa" w:w="3250"/>
            <w:shd w:val="clear" w:color="auto" w:fill="D9E2F3"/>
          </w:tcPr>
          <w:p>
            <w:pPr>
              <w:spacing w:after="20" w:before="20" w:line="240" w:lineRule="auto"/>
            </w:pPr>
            <w:r/>
            <w:r>
              <w:rPr>
                <w:b/>
                <w:sz w:val="18"/>
              </w:rPr>
              <w:t>Definition</w:t>
            </w:r>
          </w:p>
        </w:tc>
        <w:tc>
          <w:tcPr>
            <w:tcW w:type="dxa" w:w="3250"/>
            <w:shd w:val="clear" w:color="auto" w:fill="D9E2F3"/>
          </w:tcPr>
          <w:p>
            <w:pPr>
              <w:spacing w:after="20" w:before="20" w:line="240" w:lineRule="auto"/>
            </w:pPr>
            <w:r/>
            <w:r>
              <w:rPr>
                <w:b/>
                <w:sz w:val="18"/>
              </w:rPr>
              <w:t>Why we use it</w:t>
            </w:r>
          </w:p>
        </w:tc>
      </w:tr>
      <w:tr>
        <w:tc>
          <w:tcPr>
            <w:tcW w:type="dxa" w:w="3250"/>
          </w:tcPr>
          <w:p>
            <w:pPr>
              <w:spacing w:after="20" w:before="20" w:line="240" w:lineRule="auto"/>
            </w:pPr>
            <w:r/>
            <w:r>
              <w:rPr>
                <w:b/>
                <w:sz w:val="18"/>
              </w:rPr>
              <w:t>AUC per check</w:t>
            </w:r>
            <w:r>
              <w:rPr>
                <w:sz w:val="18"/>
              </w:rPr>
              <w:t xml:space="preserve"> (headline, D84, D88)</w:t>
            </w:r>
          </w:p>
        </w:tc>
        <w:tc>
          <w:tcPr>
            <w:tcW w:type="dxa" w:w="3250"/>
          </w:tcPr>
          <w:p>
            <w:pPr>
              <w:spacing w:after="20" w:before="20" w:line="240" w:lineRule="auto"/>
            </w:pPr>
            <w:r/>
            <w:r>
              <w:rPr>
                <w:sz w:val="18"/>
              </w:rPr>
              <w:t>ROC AUC where every red or yellow check is a case (hit or not) carrying its taxpayer's score. Implemented by duplicating each taxpayer into a hit row and a miss row, weighted by counts (</w:t>
            </w:r>
            <w:r>
              <w:rPr>
                <w:rFonts w:ascii="Consolas" w:hAnsi="Consolas"/>
                <w:sz w:val="18"/>
              </w:rPr>
              <w:t>performance.per_check</w:t>
            </w:r>
            <w:r>
              <w:rPr>
                <w:sz w:val="18"/>
              </w:rPr>
              <w:t>).</w:t>
            </w:r>
          </w:p>
        </w:tc>
        <w:tc>
          <w:tcPr>
            <w:tcW w:type="dxa" w:w="3250"/>
          </w:tcPr>
          <w:p>
            <w:pPr>
              <w:spacing w:after="20" w:before="20" w:line="240" w:lineRule="auto"/>
            </w:pPr>
            <w:r/>
            <w:r>
              <w:rPr>
                <w:sz w:val="18"/>
              </w:rPr>
              <w:t>Matches how officers judge selectivity (hits per check). A per-taxpayer label "≥1 top-up" rewards being checked often, so it partly measures how often customs looked. AUC is threshold-free and insensitive to the base rate.</w:t>
            </w:r>
          </w:p>
        </w:tc>
      </w:tr>
      <w:tr>
        <w:tc>
          <w:tcPr>
            <w:tcW w:type="dxa" w:w="3250"/>
          </w:tcPr>
          <w:p>
            <w:pPr>
              <w:spacing w:after="20" w:before="20" w:line="240" w:lineRule="auto"/>
            </w:pPr>
            <w:r/>
            <w:r>
              <w:rPr>
                <w:sz w:val="18"/>
              </w:rPr>
              <w:t>Precision and recall at a line</w:t>
            </w:r>
          </w:p>
        </w:tc>
        <w:tc>
          <w:tcPr>
            <w:tcW w:type="dxa" w:w="3250"/>
          </w:tcPr>
          <w:p>
            <w:pPr>
              <w:spacing w:after="20" w:before="20" w:line="240" w:lineRule="auto"/>
            </w:pPr>
            <w:r/>
            <w:r>
              <w:rPr>
                <w:sz w:val="18"/>
              </w:rPr>
              <w:t>Above a line (top 1/5/10/20%, VERY HIGH, HIGH+, MEDIUM+): hits ÷ checks, and share of all hits</w:t>
            </w:r>
          </w:p>
        </w:tc>
        <w:tc>
          <w:tcPr>
            <w:tcW w:type="dxa" w:w="3250"/>
          </w:tcPr>
          <w:p>
            <w:pPr>
              <w:spacing w:after="20" w:before="20" w:line="240" w:lineRule="auto"/>
            </w:pPr>
            <w:r/>
            <w:r>
              <w:rPr>
                <w:sz w:val="18"/>
              </w:rPr>
              <w:t>Precision and recall only mean something once you fix who gets checked. HIGH+ is the line to quote once capacity is confirmed (D88).</w:t>
            </w:r>
          </w:p>
        </w:tc>
      </w:tr>
      <w:tr>
        <w:tc>
          <w:tcPr>
            <w:tcW w:type="dxa" w:w="3250"/>
          </w:tcPr>
          <w:p>
            <w:pPr>
              <w:spacing w:after="20" w:before="20" w:line="240" w:lineRule="auto"/>
            </w:pPr>
            <w:r/>
            <w:r>
              <w:rPr>
                <w:sz w:val="18"/>
              </w:rPr>
              <w:t>Lift at top x%</w:t>
            </w:r>
          </w:p>
        </w:tc>
        <w:tc>
          <w:tcPr>
            <w:tcW w:type="dxa" w:w="3250"/>
          </w:tcPr>
          <w:p>
            <w:pPr>
              <w:spacing w:after="20" w:before="20" w:line="240" w:lineRule="auto"/>
            </w:pPr>
            <w:r/>
            <w:r>
              <w:rPr>
                <w:sz w:val="18"/>
              </w:rPr>
              <w:t>hit rate of the top x% ÷ hit rate of everyone in that snapshot</w:t>
            </w:r>
          </w:p>
        </w:tc>
        <w:tc>
          <w:tcPr>
            <w:tcW w:type="dxa" w:w="3250"/>
          </w:tcPr>
          <w:p>
            <w:pPr>
              <w:spacing w:after="20" w:before="20" w:line="240" w:lineRule="auto"/>
            </w:pPr>
            <w:r/>
            <w:r>
              <w:rPr>
                <w:sz w:val="18"/>
              </w:rPr>
              <w:t>Officer-friendly. Measured against each snapshot's own base rate, because the base rate fell from ~12% to ~7% after Mar 2024 (D21, D22).</w:t>
            </w:r>
          </w:p>
        </w:tc>
      </w:tr>
      <w:tr>
        <w:tc>
          <w:tcPr>
            <w:tcW w:type="dxa" w:w="3250"/>
          </w:tcPr>
          <w:p>
            <w:pPr>
              <w:spacing w:after="20" w:before="20" w:line="240" w:lineRule="auto"/>
            </w:pPr>
            <w:r/>
            <w:r>
              <w:rPr>
                <w:sz w:val="18"/>
              </w:rPr>
              <w:t>Share of top-up money, revenue per check</w:t>
            </w:r>
          </w:p>
        </w:tc>
        <w:tc>
          <w:tcPr>
            <w:tcW w:type="dxa" w:w="3250"/>
          </w:tcPr>
          <w:p>
            <w:pPr>
              <w:spacing w:after="20" w:before="20" w:line="240" w:lineRule="auto"/>
            </w:pPr>
            <w:r/>
            <w:r>
              <w:rPr>
                <w:sz w:val="18"/>
              </w:rPr>
              <w:t>top-up UGX caught above the line; UGX per check</w:t>
            </w:r>
          </w:p>
        </w:tc>
        <w:tc>
          <w:tcPr>
            <w:tcW w:type="dxa" w:w="3250"/>
          </w:tcPr>
          <w:p>
            <w:pPr>
              <w:spacing w:after="20" w:before="20" w:line="240" w:lineRule="auto"/>
            </w:pPr>
            <w:r/>
            <w:r>
              <w:rPr>
                <w:sz w:val="18"/>
              </w:rPr>
              <w:t>Lift alone can be gamed (see "boosting + size" below). Revenue alone just rewards size: "largest importers" catch 53% of money at lift 0.52 (D56).</w:t>
            </w:r>
          </w:p>
        </w:tc>
      </w:tr>
      <w:tr>
        <w:tc>
          <w:tcPr>
            <w:tcW w:type="dxa" w:w="3250"/>
          </w:tcPr>
          <w:p>
            <w:pPr>
              <w:spacing w:after="20" w:before="20" w:line="240" w:lineRule="auto"/>
            </w:pPr>
            <w:r/>
            <w:r>
              <w:rPr>
                <w:sz w:val="18"/>
              </w:rPr>
              <w:t>Small-trader share in the top group</w:t>
            </w:r>
          </w:p>
        </w:tc>
        <w:tc>
          <w:tcPr>
            <w:tcW w:type="dxa" w:w="3250"/>
          </w:tcPr>
          <w:p>
            <w:pPr>
              <w:spacing w:after="20" w:before="20" w:line="240" w:lineRule="auto"/>
            </w:pPr>
            <w:r/>
            <w:r>
              <w:rPr>
                <w:sz w:val="18"/>
              </w:rPr>
              <w:t>% of the top 5% with under 10 declarations</w:t>
            </w:r>
          </w:p>
        </w:tc>
        <w:tc>
          <w:tcPr>
            <w:tcW w:type="dxa" w:w="3250"/>
          </w:tcPr>
          <w:p>
            <w:pPr>
              <w:spacing w:after="20" w:before="20" w:line="240" w:lineRule="auto"/>
            </w:pPr>
            <w:r/>
            <w:r>
              <w:rPr>
                <w:sz w:val="18"/>
              </w:rPr>
              <w:t>Guards against filling the list with one-off importers (D48).</w:t>
            </w:r>
          </w:p>
        </w:tc>
      </w:tr>
      <w:tr>
        <w:tc>
          <w:tcPr>
            <w:tcW w:type="dxa" w:w="3250"/>
          </w:tcPr>
          <w:p>
            <w:pPr>
              <w:spacing w:after="20" w:before="20" w:line="240" w:lineRule="auto"/>
            </w:pPr>
            <w:r/>
            <w:r>
              <w:rPr>
                <w:sz w:val="18"/>
              </w:rPr>
              <w:t>Paired bootstrap CI</w:t>
            </w:r>
          </w:p>
        </w:tc>
        <w:tc>
          <w:tcPr>
            <w:tcW w:type="dxa" w:w="3250"/>
          </w:tcPr>
          <w:p>
            <w:pPr>
              <w:spacing w:after="20" w:before="20" w:line="240" w:lineRule="auto"/>
            </w:pPr>
            <w:r/>
            <w:r>
              <w:rPr>
                <w:sz w:val="18"/>
              </w:rPr>
              <w:t>300 resamples of the difference in top-5% lift vs the scorecard, 90% interval</w:t>
            </w:r>
          </w:p>
        </w:tc>
        <w:tc>
          <w:tcPr>
            <w:tcW w:type="dxa" w:w="3250"/>
          </w:tcPr>
          <w:p>
            <w:pPr>
              <w:spacing w:after="20" w:before="20" w:line="240" w:lineRule="auto"/>
            </w:pPr>
            <w:r/>
            <w:r>
              <w:rPr>
                <w:sz w:val="18"/>
              </w:rPr>
              <w:t>"Better" only counts when the interval excludes zero (</w:t>
            </w:r>
            <w:r>
              <w:rPr>
                <w:rFonts w:ascii="Consolas" w:hAnsi="Consolas"/>
                <w:sz w:val="18"/>
              </w:rPr>
              <w:t>utils.paired_diff_ci</w:t>
            </w:r>
            <w:r>
              <w:rPr>
                <w:sz w:val="18"/>
              </w:rPr>
              <w:t>).</w:t>
            </w:r>
          </w:p>
        </w:tc>
      </w:tr>
      <w:tr>
        <w:tc>
          <w:tcPr>
            <w:tcW w:type="dxa" w:w="3250"/>
          </w:tcPr>
          <w:p>
            <w:pPr>
              <w:spacing w:after="20" w:before="20" w:line="240" w:lineRule="auto"/>
            </w:pPr>
            <w:r/>
            <w:r>
              <w:rPr>
                <w:sz w:val="18"/>
              </w:rPr>
              <w:t>Hit rate by band</w:t>
            </w:r>
          </w:p>
        </w:tc>
        <w:tc>
          <w:tcPr>
            <w:tcW w:type="dxa" w:w="3250"/>
          </w:tcPr>
          <w:p>
            <w:pPr>
              <w:spacing w:after="20" w:before="20" w:line="240" w:lineRule="auto"/>
            </w:pPr>
            <w:r/>
            <w:r>
              <w:rPr>
                <w:sz w:val="18"/>
              </w:rPr>
              <w:t>per band</w:t>
            </w:r>
          </w:p>
        </w:tc>
        <w:tc>
          <w:tcPr>
            <w:tcW w:type="dxa" w:w="3250"/>
          </w:tcPr>
          <w:p>
            <w:pPr>
              <w:spacing w:after="20" w:before="20" w:line="240" w:lineRule="auto"/>
            </w:pPr>
            <w:r/>
            <w:r>
              <w:rPr>
                <w:sz w:val="18"/>
              </w:rPr>
              <w:t>Bands must be ordered: VERY HIGH 73% of checked taxpayers with a top-up vs VERY LOW 25% (D83).</w:t>
            </w:r>
          </w:p>
        </w:tc>
      </w:tr>
    </w:tbl>
    <w:p>
      <w:pPr>
        <w:spacing w:after="40"/>
      </w:pPr>
    </w:p>
    <w:p>
      <w:pPr>
        <w:spacing w:after="120"/>
      </w:pPr>
      <w:r>
        <w:rPr>
          <w:b/>
        </w:rPr>
        <w:t>Validation protocol (no cheating).</w:t>
      </w:r>
    </w:p>
    <w:p>
      <w:pPr>
        <w:pStyle w:val="ListParagraph"/>
        <w:numPr>
          <w:ilvl w:val="0"/>
          <w:numId w:val="905"/>
        </w:numPr>
        <w:spacing w:after="60"/>
      </w:pPr>
      <w:r>
        <w:rPr>
          <w:b/>
        </w:rPr>
        <w:t>Out-of-time testing.</w:t>
      </w:r>
      <w:r>
        <w:t xml:space="preserve"> Supervised challengers train only on snapshots whose outcomes closed before the test date (forward chaining). Tests: Sep 2024, Mar 2025, Sep 2025, Mar 2026.</w:t>
      </w:r>
    </w:p>
    <w:p>
      <w:pPr>
        <w:pStyle w:val="ListParagraph"/>
        <w:numPr>
          <w:ilvl w:val="0"/>
          <w:numId w:val="905"/>
        </w:numPr>
        <w:spacing w:after="60"/>
      </w:pPr>
      <w:r>
        <w:rPr>
          <w:b/>
        </w:rPr>
        <w:t>18 test dates since Sep 2017</w:t>
      </w:r>
      <w:r>
        <w:t xml:space="preserve"> for Track A, using the long-run extract (D87, D91).</w:t>
      </w:r>
    </w:p>
    <w:p>
      <w:pPr>
        <w:pStyle w:val="ListParagraph"/>
        <w:numPr>
          <w:ilvl w:val="0"/>
          <w:numId w:val="905"/>
        </w:numPr>
        <w:spacing w:after="60"/>
      </w:pPr>
      <w:r>
        <w:rPr>
          <w:b/>
        </w:rPr>
        <w:t>The same population, measures and splits for every model</w:t>
      </w:r>
      <w:r>
        <w:t xml:space="preserve"> (</w:t>
      </w:r>
      <w:r>
        <w:rPr>
          <w:rFonts w:ascii="Consolas" w:hAnsi="Consolas"/>
        </w:rPr>
        <w:t>models/challengers.compare</w:t>
      </w:r>
      <w:r>
        <w:t>).</w:t>
      </w:r>
    </w:p>
    <w:p>
      <w:pPr>
        <w:spacing w:after="120"/>
      </w:pPr>
      <w:r>
        <w:rPr>
          <w:b/>
        </w:rPr>
        <w:t>Selection bias, the honest caveat.</w:t>
      </w:r>
      <w:r>
        <w:t xml:space="preserve"> A hit can only happen where customs checked, and customs chose whom to check. Outcomes therefore reflect past selectivity. This favours top-up-history features by construction, and it cannot see undervaluation that was never caught (D33, D77). Random checks would fix this, but the view has no field for why a declaration went red or yellow (D97).</w:t>
      </w:r>
    </w:p>
    <w:p>
      <w:pPr>
        <w:pStyle w:val="Heading2"/>
      </w:pPr>
      <w:r>
        <w:t>Track A results</w:t>
      </w:r>
    </w:p>
    <w:p>
      <w:pPr>
        <w:pStyle w:val="ListParagraph"/>
        <w:numPr>
          <w:ilvl w:val="0"/>
          <w:numId w:val="906"/>
        </w:numPr>
        <w:spacing w:after="60"/>
      </w:pPr>
      <w:r>
        <w:rPr>
          <w:b/>
        </w:rPr>
        <w:t>AUC per check, 18 dates (Sep 2017 to Mar 2026): 0.74–0.86</w:t>
      </w:r>
      <w:r>
        <w:t>, at or above 0.80 on 15 of 18. The one dip is Mar 2025 (0.74), when the hit rate per check halved (D91).</w:t>
      </w:r>
    </w:p>
    <w:p>
      <w:pPr>
        <w:pStyle w:val="ListParagraph"/>
        <w:numPr>
          <w:ilvl w:val="0"/>
          <w:numId w:val="906"/>
        </w:numPr>
        <w:spacing w:after="60"/>
      </w:pPr>
      <w:r>
        <w:rPr>
          <w:b/>
        </w:rPr>
        <w:t>Version 3 data</w:t>
      </w:r>
      <w:r>
        <w:t xml:space="preserve"> (no motor vehicles, entry key, no APC 483): 0.780 / 0.797 / 0.837 on Mar 2025 / Sep 2025 / Mar 2026 (D115).</w:t>
      </w:r>
    </w:p>
    <w:p>
      <w:pPr>
        <w:pStyle w:val="ListParagraph"/>
        <w:numPr>
          <w:ilvl w:val="0"/>
          <w:numId w:val="906"/>
        </w:numPr>
        <w:spacing w:after="60"/>
      </w:pPr>
      <w:r>
        <w:rPr>
          <w:b/>
        </w:rPr>
        <w:t>HIGH and above</w:t>
      </w:r>
      <w:r>
        <w:t>: precision 50–63% up to Mar 2024, 27–30% in 2024–25, 42% in Mar 2026 (D91).</w:t>
      </w:r>
    </w:p>
    <w:p>
      <w:pPr>
        <w:pStyle w:val="ListParagraph"/>
        <w:numPr>
          <w:ilvl w:val="0"/>
          <w:numId w:val="906"/>
        </w:numPr>
        <w:spacing w:after="60"/>
      </w:pPr>
      <w:r>
        <w:rPr>
          <w:b/>
        </w:rPr>
        <w:t>Feature contribution</w:t>
      </w:r>
      <w:r>
        <w:t xml:space="preserve"> (D99): alone, PAR_045T has AUC 0.81 and PAR_045 0.80. PAR_045T is the backbone. Dropping it costs 0.019 AUC. The small five add little against top-ups, but they cover risks that top-ups cannot see.</w:t>
      </w:r>
    </w:p>
    <w:p>
      <w:pPr>
        <w:pStyle w:val="ListParagraph"/>
        <w:numPr>
          <w:ilvl w:val="0"/>
          <w:numId w:val="906"/>
        </w:numPr>
        <w:spacing w:after="60"/>
      </w:pPr>
      <w:r>
        <w:rPr>
          <w:b/>
        </w:rPr>
        <w:t>Stability</w:t>
      </w:r>
      <w:r>
        <w:t xml:space="preserve"> (D68): moving any main weight by ±50% keeps 95–98% of the same top 5%.</w:t>
      </w:r>
    </w:p>
    <w:p>
      <w:pPr>
        <w:pStyle w:val="ListParagraph"/>
        <w:numPr>
          <w:ilvl w:val="0"/>
          <w:numId w:val="906"/>
        </w:numPr>
        <w:spacing w:after="60"/>
      </w:pPr>
      <w:r>
        <w:rPr>
          <w:b/>
        </w:rPr>
        <w:t>Sanity check</w:t>
      </w:r>
      <w:r>
        <w:t xml:space="preserve"> (D98): 87% of Authorised Economic Operators (AEOs, traders customs already trusts) sit in VERY LOW and only 1 in HIGH. The model agrees with the AEO programme.</w:t>
      </w:r>
    </w:p>
    <w:p>
      <w:r>
        <w:br w:type="page"/>
      </w:r>
    </w:p>
    <w:p>
      <w:pPr>
        <w:pStyle w:val="Heading1"/>
      </w:pPr>
      <w:r>
        <w:t>Part 6. The other models we tried (challengers)</w:t>
      </w:r>
    </w:p>
    <w:p>
      <w:pPr>
        <w:pStyle w:val="Heading2"/>
      </w:pPr>
      <w:r>
        <w:t>Simple version</w:t>
      </w:r>
    </w:p>
    <w:p>
      <w:pPr>
        <w:spacing w:after="120"/>
      </w:pPr>
      <w:r>
        <w:t>We didn't just build one model and hope. We held a competition. About ten other ways of making the list each got the same test. Some were "smart" computer methods. Some were very simple rules. A few were a little better at some things, but none was clearly and reliably better and also easy to explain. So the scorecard stayed the champion. The best runners-up are being watched in a "shadow run," which means running quietly in the background to see if they keep winning.</w:t>
      </w:r>
    </w:p>
    <w:p>
      <w:pPr>
        <w:pStyle w:val="Heading2"/>
      </w:pPr>
      <w:r>
        <w:t>Technical version</w:t>
      </w:r>
    </w:p>
    <w:p>
      <w:pPr>
        <w:spacing w:after="120"/>
      </w:pPr>
      <w:r>
        <w:t>Round 1 averages over 4 out-of-time tests (D47–D54). "vs SC" = number of tests where the 90% CI showed better or worse at the top 5%.</w:t>
      </w:r>
    </w:p>
    <w:p>
      <w:pPr>
        <w:pStyle w:val="Caption"/>
      </w:pPr>
      <w:r>
        <w:t xml:space="preserve">Table </w:t>
      </w:r>
      <w:r>
        <w:fldChar w:fldCharType="begin"/>
      </w:r>
      <w:r>
        <w:instrText xml:space="preserve"> SEQ Table \* ARABIC </w:instrText>
      </w:r>
      <w:r>
        <w:fldChar w:fldCharType="separate"/>
      </w:r>
      <w:r>
        <w:t>11</w:t>
      </w:r>
      <w:r>
        <w:fldChar w:fldCharType="end"/>
      </w:r>
      <w:r>
        <w:t>: Technical version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393"/>
        <w:gridCol w:w="1393"/>
        <w:gridCol w:w="1393"/>
        <w:gridCol w:w="1393"/>
        <w:gridCol w:w="1393"/>
        <w:gridCol w:w="1393"/>
        <w:gridCol w:w="1393"/>
      </w:tblGrid>
      <w:tr>
        <w:trPr>
          <w:tblHeader w:val="true"/>
        </w:trPr>
        <w:tc>
          <w:tcPr>
            <w:tcW w:type="dxa" w:w="1468"/>
            <w:shd w:val="clear" w:color="auto" w:fill="D9E2F3"/>
          </w:tcPr>
          <w:p>
            <w:pPr>
              <w:spacing w:after="20" w:before="20" w:line="240" w:lineRule="auto"/>
            </w:pPr>
            <w:r/>
            <w:r>
              <w:rPr>
                <w:b/>
                <w:sz w:val="16"/>
              </w:rPr>
              <w:t>Model</w:t>
            </w:r>
          </w:p>
        </w:tc>
        <w:tc>
          <w:tcPr>
            <w:tcW w:type="dxa" w:w="1468"/>
            <w:shd w:val="clear" w:color="auto" w:fill="D9E2F3"/>
          </w:tcPr>
          <w:p>
            <w:pPr>
              <w:spacing w:after="20" w:before="20" w:line="240" w:lineRule="auto"/>
            </w:pPr>
            <w:r/>
            <w:r>
              <w:rPr>
                <w:b/>
                <w:sz w:val="16"/>
              </w:rPr>
              <w:t>What it is</w:t>
            </w:r>
          </w:p>
        </w:tc>
        <w:tc>
          <w:tcPr>
            <w:tcW w:type="dxa" w:w="1468"/>
            <w:shd w:val="clear" w:color="auto" w:fill="D9E2F3"/>
          </w:tcPr>
          <w:p>
            <w:pPr>
              <w:spacing w:after="20" w:before="20" w:line="240" w:lineRule="auto"/>
            </w:pPr>
            <w:r/>
            <w:r>
              <w:rPr>
                <w:b/>
                <w:sz w:val="16"/>
              </w:rPr>
              <w:t>Lift 1/5/10%</w:t>
            </w:r>
          </w:p>
        </w:tc>
        <w:tc>
          <w:tcPr>
            <w:tcW w:type="dxa" w:w="1153"/>
            <w:shd w:val="clear" w:color="auto" w:fill="D9E2F3"/>
          </w:tcPr>
          <w:p>
            <w:pPr>
              <w:spacing w:after="20" w:before="20" w:line="240" w:lineRule="auto"/>
            </w:pPr>
            <w:r/>
            <w:r>
              <w:rPr>
                <w:b/>
                <w:sz w:val="16"/>
              </w:rPr>
              <w:t>Hits top 5%</w:t>
            </w:r>
          </w:p>
        </w:tc>
        <w:tc>
          <w:tcPr>
            <w:tcW w:type="dxa" w:w="1258"/>
            <w:shd w:val="clear" w:color="auto" w:fill="D9E2F3"/>
          </w:tcPr>
          <w:p>
            <w:pPr>
              <w:spacing w:after="20" w:before="20" w:line="240" w:lineRule="auto"/>
            </w:pPr>
            <w:r/>
            <w:r>
              <w:rPr>
                <w:b/>
                <w:sz w:val="16"/>
              </w:rPr>
              <w:t>Money top 5%</w:t>
            </w:r>
          </w:p>
        </w:tc>
        <w:tc>
          <w:tcPr>
            <w:tcW w:type="dxa" w:w="1468"/>
            <w:shd w:val="clear" w:color="auto" w:fill="D9E2F3"/>
          </w:tcPr>
          <w:p>
            <w:pPr>
              <w:spacing w:after="20" w:before="20" w:line="240" w:lineRule="auto"/>
            </w:pPr>
            <w:r/>
            <w:r>
              <w:rPr>
                <w:b/>
                <w:sz w:val="16"/>
              </w:rPr>
              <w:t>Small in top 5%</w:t>
            </w:r>
          </w:p>
        </w:tc>
        <w:tc>
          <w:tcPr>
            <w:tcW w:type="dxa" w:w="1468"/>
            <w:shd w:val="clear" w:color="auto" w:fill="D9E2F3"/>
          </w:tcPr>
          <w:p>
            <w:pPr>
              <w:spacing w:after="20" w:before="20" w:line="240" w:lineRule="auto"/>
            </w:pPr>
            <w:r/>
            <w:r>
              <w:rPr>
                <w:b/>
                <w:sz w:val="16"/>
              </w:rPr>
              <w:t>vs SC</w:t>
            </w:r>
          </w:p>
        </w:tc>
      </w:tr>
      <w:tr>
        <w:tc>
          <w:tcPr>
            <w:tcW w:type="dxa" w:w="1468"/>
          </w:tcPr>
          <w:p>
            <w:pPr>
              <w:spacing w:after="20" w:before="20" w:line="240" w:lineRule="auto"/>
            </w:pPr>
            <w:r/>
            <w:r>
              <w:rPr>
                <w:sz w:val="16"/>
              </w:rPr>
              <w:t>Baseline</w:t>
            </w:r>
          </w:p>
        </w:tc>
        <w:tc>
          <w:tcPr>
            <w:tcW w:type="dxa" w:w="1468"/>
          </w:tcPr>
          <w:p>
            <w:pPr>
              <w:spacing w:after="20" w:before="20" w:line="240" w:lineRule="auto"/>
            </w:pPr>
            <w:r/>
            <w:r>
              <w:rPr>
                <w:sz w:val="16"/>
              </w:rPr>
              <w:t>Rank on past top-up ratio</w:t>
            </w:r>
          </w:p>
        </w:tc>
        <w:tc>
          <w:tcPr>
            <w:tcW w:type="dxa" w:w="1468"/>
          </w:tcPr>
          <w:p>
            <w:pPr>
              <w:spacing w:after="20" w:before="20" w:line="240" w:lineRule="auto"/>
            </w:pPr>
            <w:r/>
            <w:r>
              <w:rPr>
                <w:sz w:val="16"/>
              </w:rPr>
              <w:t>1.93 / 2.58 / 2.71</w:t>
            </w:r>
          </w:p>
        </w:tc>
        <w:tc>
          <w:tcPr>
            <w:tcW w:type="dxa" w:w="1153"/>
          </w:tcPr>
          <w:p>
            <w:pPr>
              <w:spacing w:after="20" w:before="20" w:line="240" w:lineRule="auto"/>
            </w:pPr>
            <w:r/>
            <w:r>
              <w:rPr>
                <w:sz w:val="16"/>
              </w:rPr>
              <w:t>807</w:t>
            </w:r>
          </w:p>
        </w:tc>
        <w:tc>
          <w:tcPr>
            <w:tcW w:type="dxa" w:w="1258"/>
          </w:tcPr>
          <w:p>
            <w:pPr>
              <w:spacing w:after="20" w:before="20" w:line="240" w:lineRule="auto"/>
            </w:pPr>
            <w:r/>
            <w:r>
              <w:rPr>
                <w:sz w:val="16"/>
              </w:rPr>
              <w:t>13%</w:t>
            </w:r>
          </w:p>
        </w:tc>
        <w:tc>
          <w:tcPr>
            <w:tcW w:type="dxa" w:w="1468"/>
          </w:tcPr>
          <w:p>
            <w:pPr>
              <w:spacing w:after="20" w:before="20" w:line="240" w:lineRule="auto"/>
            </w:pPr>
            <w:r/>
            <w:r>
              <w:rPr>
                <w:sz w:val="16"/>
              </w:rPr>
              <w:t>94%</w:t>
            </w:r>
          </w:p>
        </w:tc>
        <w:tc>
          <w:tcPr>
            <w:tcW w:type="dxa" w:w="1468"/>
          </w:tcPr>
          <w:p>
            <w:pPr>
              <w:spacing w:after="20" w:before="20" w:line="240" w:lineRule="auto"/>
            </w:pPr>
            <w:r/>
            <w:r>
              <w:rPr>
                <w:sz w:val="16"/>
              </w:rPr>
              <w:t>0 better / 2 worse</w:t>
            </w:r>
          </w:p>
        </w:tc>
      </w:tr>
      <w:tr>
        <w:tc>
          <w:tcPr>
            <w:tcW w:type="dxa" w:w="1468"/>
          </w:tcPr>
          <w:p>
            <w:pPr>
              <w:spacing w:after="20" w:before="20" w:line="240" w:lineRule="auto"/>
            </w:pPr>
            <w:r/>
            <w:r>
              <w:rPr>
                <w:b/>
                <w:sz w:val="16"/>
              </w:rPr>
              <w:t>Scorecard (champion)</w:t>
            </w:r>
          </w:p>
        </w:tc>
        <w:tc>
          <w:tcPr>
            <w:tcW w:type="dxa" w:w="1468"/>
          </w:tcPr>
          <w:p>
            <w:pPr>
              <w:spacing w:after="20" w:before="20" w:line="240" w:lineRule="auto"/>
            </w:pPr>
            <w:r/>
            <w:r>
              <w:rPr>
                <w:sz w:val="16"/>
              </w:rPr>
              <w:t>Part 3</w:t>
            </w:r>
          </w:p>
        </w:tc>
        <w:tc>
          <w:tcPr>
            <w:tcW w:type="dxa" w:w="1468"/>
          </w:tcPr>
          <w:p>
            <w:pPr>
              <w:spacing w:after="20" w:before="20" w:line="240" w:lineRule="auto"/>
            </w:pPr>
            <w:r/>
            <w:r>
              <w:rPr>
                <w:b/>
                <w:sz w:val="16"/>
              </w:rPr>
              <w:t>4.30 / 4.37 / 3.86</w:t>
            </w:r>
          </w:p>
        </w:tc>
        <w:tc>
          <w:tcPr>
            <w:tcW w:type="dxa" w:w="1153"/>
          </w:tcPr>
          <w:p>
            <w:pPr>
              <w:spacing w:after="20" w:before="20" w:line="240" w:lineRule="auto"/>
            </w:pPr>
            <w:r/>
            <w:r>
              <w:rPr>
                <w:b/>
                <w:sz w:val="16"/>
              </w:rPr>
              <w:t>5,522</w:t>
            </w:r>
          </w:p>
        </w:tc>
        <w:tc>
          <w:tcPr>
            <w:tcW w:type="dxa" w:w="1258"/>
          </w:tcPr>
          <w:p>
            <w:pPr>
              <w:spacing w:after="20" w:before="20" w:line="240" w:lineRule="auto"/>
            </w:pPr>
            <w:r/>
            <w:r>
              <w:rPr>
                <w:b/>
                <w:sz w:val="16"/>
              </w:rPr>
              <w:t>45%</w:t>
            </w:r>
          </w:p>
        </w:tc>
        <w:tc>
          <w:tcPr>
            <w:tcW w:type="dxa" w:w="1468"/>
          </w:tcPr>
          <w:p>
            <w:pPr>
              <w:spacing w:after="20" w:before="20" w:line="240" w:lineRule="auto"/>
            </w:pPr>
            <w:r/>
            <w:r>
              <w:rPr>
                <w:sz w:val="16"/>
              </w:rPr>
              <w:t>53%</w:t>
            </w:r>
          </w:p>
        </w:tc>
        <w:tc>
          <w:tcPr>
            <w:tcW w:type="dxa" w:w="1468"/>
          </w:tcPr>
          <w:p>
            <w:pPr>
              <w:spacing w:after="20" w:before="20" w:line="240" w:lineRule="auto"/>
            </w:pPr>
            <w:r/>
            <w:r>
              <w:rPr>
                <w:sz w:val="16"/>
              </w:rPr>
              <w:t>—</w:t>
            </w:r>
          </w:p>
        </w:tc>
      </w:tr>
      <w:tr>
        <w:tc>
          <w:tcPr>
            <w:tcW w:type="dxa" w:w="1468"/>
          </w:tcPr>
          <w:p>
            <w:pPr>
              <w:spacing w:after="20" w:before="20" w:line="240" w:lineRule="auto"/>
            </w:pPr>
            <w:r/>
            <w:r>
              <w:rPr>
                <w:sz w:val="16"/>
              </w:rPr>
              <w:t>Learned weights</w:t>
            </w:r>
          </w:p>
        </w:tc>
        <w:tc>
          <w:tcPr>
            <w:tcW w:type="dxa" w:w="1468"/>
          </w:tcPr>
          <w:p>
            <w:pPr>
              <w:spacing w:after="20" w:before="20" w:line="240" w:lineRule="auto"/>
            </w:pPr>
            <w:r/>
            <w:r>
              <w:rPr>
                <w:sz w:val="16"/>
              </w:rPr>
              <w:t>Logistic regression on the 8 scaled parameters</w:t>
            </w:r>
          </w:p>
        </w:tc>
        <w:tc>
          <w:tcPr>
            <w:tcW w:type="dxa" w:w="1468"/>
          </w:tcPr>
          <w:p>
            <w:pPr>
              <w:spacing w:after="20" w:before="20" w:line="240" w:lineRule="auto"/>
            </w:pPr>
            <w:r/>
            <w:r>
              <w:rPr>
                <w:sz w:val="16"/>
              </w:rPr>
              <w:t>4.11 / 5.00 / 4.49</w:t>
            </w:r>
          </w:p>
        </w:tc>
        <w:tc>
          <w:tcPr>
            <w:tcW w:type="dxa" w:w="1153"/>
          </w:tcPr>
          <w:p>
            <w:pPr>
              <w:spacing w:after="20" w:before="20" w:line="240" w:lineRule="auto"/>
            </w:pPr>
            <w:r/>
            <w:r>
              <w:rPr>
                <w:sz w:val="16"/>
              </w:rPr>
              <w:t>5,070</w:t>
            </w:r>
          </w:p>
        </w:tc>
        <w:tc>
          <w:tcPr>
            <w:tcW w:type="dxa" w:w="1258"/>
          </w:tcPr>
          <w:p>
            <w:pPr>
              <w:spacing w:after="20" w:before="20" w:line="240" w:lineRule="auto"/>
            </w:pPr>
            <w:r/>
            <w:r>
              <w:rPr>
                <w:sz w:val="16"/>
              </w:rPr>
              <w:t>38%</w:t>
            </w:r>
          </w:p>
        </w:tc>
        <w:tc>
          <w:tcPr>
            <w:tcW w:type="dxa" w:w="1468"/>
          </w:tcPr>
          <w:p>
            <w:pPr>
              <w:spacing w:after="20" w:before="20" w:line="240" w:lineRule="auto"/>
            </w:pPr>
            <w:r/>
            <w:r>
              <w:rPr>
                <w:sz w:val="16"/>
              </w:rPr>
              <w:t>59%</w:t>
            </w:r>
          </w:p>
        </w:tc>
        <w:tc>
          <w:tcPr>
            <w:tcW w:type="dxa" w:w="1468"/>
          </w:tcPr>
          <w:p>
            <w:pPr>
              <w:spacing w:after="20" w:before="20" w:line="240" w:lineRule="auto"/>
            </w:pPr>
            <w:r/>
            <w:r>
              <w:rPr>
                <w:sz w:val="16"/>
              </w:rPr>
              <w:t>3 / 0</w:t>
            </w:r>
          </w:p>
        </w:tc>
      </w:tr>
      <w:tr>
        <w:tc>
          <w:tcPr>
            <w:tcW w:type="dxa" w:w="1468"/>
          </w:tcPr>
          <w:p>
            <w:pPr>
              <w:spacing w:after="20" w:before="20" w:line="240" w:lineRule="auto"/>
            </w:pPr>
            <w:r/>
            <w:r>
              <w:rPr>
                <w:sz w:val="16"/>
              </w:rPr>
              <w:t>Data-set shrinkage</w:t>
            </w:r>
          </w:p>
        </w:tc>
        <w:tc>
          <w:tcPr>
            <w:tcW w:type="dxa" w:w="1468"/>
          </w:tcPr>
          <w:p>
            <w:pPr>
              <w:spacing w:after="20" w:before="20" w:line="240" w:lineRule="auto"/>
            </w:pPr>
            <w:r/>
            <w:r>
              <w:rPr>
                <w:sz w:val="16"/>
              </w:rPr>
              <w:t>Empirical-Bayes beta-binomial K</w:t>
            </w:r>
          </w:p>
        </w:tc>
        <w:tc>
          <w:tcPr>
            <w:tcW w:type="dxa" w:w="1468"/>
          </w:tcPr>
          <w:p>
            <w:pPr>
              <w:spacing w:after="20" w:before="20" w:line="240" w:lineRule="auto"/>
            </w:pPr>
            <w:r/>
            <w:r>
              <w:rPr>
                <w:sz w:val="16"/>
              </w:rPr>
              <w:t>4.88 / 3.97 / 3.50</w:t>
            </w:r>
          </w:p>
        </w:tc>
        <w:tc>
          <w:tcPr>
            <w:tcW w:type="dxa" w:w="1153"/>
          </w:tcPr>
          <w:p>
            <w:pPr>
              <w:spacing w:after="20" w:before="20" w:line="240" w:lineRule="auto"/>
            </w:pPr>
            <w:r/>
            <w:r>
              <w:rPr>
                <w:sz w:val="16"/>
              </w:rPr>
              <w:t>2,238</w:t>
            </w:r>
          </w:p>
        </w:tc>
        <w:tc>
          <w:tcPr>
            <w:tcW w:type="dxa" w:w="1258"/>
          </w:tcPr>
          <w:p>
            <w:pPr>
              <w:spacing w:after="20" w:before="20" w:line="240" w:lineRule="auto"/>
            </w:pPr>
            <w:r/>
            <w:r>
              <w:rPr>
                <w:sz w:val="16"/>
              </w:rPr>
              <w:t>35%</w:t>
            </w:r>
          </w:p>
        </w:tc>
        <w:tc>
          <w:tcPr>
            <w:tcW w:type="dxa" w:w="1468"/>
          </w:tcPr>
          <w:p>
            <w:pPr>
              <w:spacing w:after="20" w:before="20" w:line="240" w:lineRule="auto"/>
            </w:pPr>
            <w:r/>
            <w:r>
              <w:rPr>
                <w:sz w:val="16"/>
              </w:rPr>
              <w:t>78%</w:t>
            </w:r>
          </w:p>
        </w:tc>
        <w:tc>
          <w:tcPr>
            <w:tcW w:type="dxa" w:w="1468"/>
          </w:tcPr>
          <w:p>
            <w:pPr>
              <w:spacing w:after="20" w:before="20" w:line="240" w:lineRule="auto"/>
            </w:pPr>
            <w:r/>
            <w:r>
              <w:rPr>
                <w:sz w:val="16"/>
              </w:rPr>
              <w:t>0 / 1</w:t>
            </w:r>
          </w:p>
        </w:tc>
      </w:tr>
      <w:tr>
        <w:tc>
          <w:tcPr>
            <w:tcW w:type="dxa" w:w="1468"/>
          </w:tcPr>
          <w:p>
            <w:pPr>
              <w:spacing w:after="20" w:before="20" w:line="240" w:lineRule="auto"/>
            </w:pPr>
            <w:r/>
            <w:r>
              <w:rPr>
                <w:sz w:val="16"/>
              </w:rPr>
              <w:t>Monotone boosting</w:t>
            </w:r>
          </w:p>
        </w:tc>
        <w:tc>
          <w:tcPr>
            <w:tcW w:type="dxa" w:w="1468"/>
          </w:tcPr>
          <w:p>
            <w:pPr>
              <w:spacing w:after="20" w:before="20" w:line="240" w:lineRule="auto"/>
            </w:pPr>
            <w:r/>
            <w:r>
              <w:rPr>
                <w:sz w:val="16"/>
              </w:rPr>
              <w:t>Same 8 inputs, monotone GBM</w:t>
            </w:r>
          </w:p>
        </w:tc>
        <w:tc>
          <w:tcPr>
            <w:tcW w:type="dxa" w:w="1468"/>
          </w:tcPr>
          <w:p>
            <w:pPr>
              <w:spacing w:after="20" w:before="20" w:line="240" w:lineRule="auto"/>
            </w:pPr>
            <w:r/>
            <w:r>
              <w:rPr>
                <w:sz w:val="16"/>
              </w:rPr>
              <w:t>5.71 / 4.75 / 4.13</w:t>
            </w:r>
          </w:p>
        </w:tc>
        <w:tc>
          <w:tcPr>
            <w:tcW w:type="dxa" w:w="1153"/>
          </w:tcPr>
          <w:p>
            <w:pPr>
              <w:spacing w:after="20" w:before="20" w:line="240" w:lineRule="auto"/>
            </w:pPr>
            <w:r/>
            <w:r>
              <w:rPr>
                <w:sz w:val="16"/>
              </w:rPr>
              <w:t>5,809</w:t>
            </w:r>
          </w:p>
        </w:tc>
        <w:tc>
          <w:tcPr>
            <w:tcW w:type="dxa" w:w="1258"/>
          </w:tcPr>
          <w:p>
            <w:pPr>
              <w:spacing w:after="20" w:before="20" w:line="240" w:lineRule="auto"/>
            </w:pPr>
            <w:r/>
            <w:r>
              <w:rPr>
                <w:sz w:val="16"/>
              </w:rPr>
              <w:t>43%</w:t>
            </w:r>
          </w:p>
        </w:tc>
        <w:tc>
          <w:tcPr>
            <w:tcW w:type="dxa" w:w="1468"/>
          </w:tcPr>
          <w:p>
            <w:pPr>
              <w:spacing w:after="20" w:before="20" w:line="240" w:lineRule="auto"/>
            </w:pPr>
            <w:r/>
            <w:r>
              <w:rPr>
                <w:sz w:val="16"/>
              </w:rPr>
              <w:t>53%</w:t>
            </w:r>
          </w:p>
        </w:tc>
        <w:tc>
          <w:tcPr>
            <w:tcW w:type="dxa" w:w="1468"/>
          </w:tcPr>
          <w:p>
            <w:pPr>
              <w:spacing w:after="20" w:before="20" w:line="240" w:lineRule="auto"/>
            </w:pPr>
            <w:r/>
            <w:r>
              <w:rPr>
                <w:sz w:val="16"/>
              </w:rPr>
              <w:t>3 / 1</w:t>
            </w:r>
          </w:p>
        </w:tc>
      </w:tr>
      <w:tr>
        <w:tc>
          <w:tcPr>
            <w:tcW w:type="dxa" w:w="1468"/>
          </w:tcPr>
          <w:p>
            <w:pPr>
              <w:spacing w:after="20" w:before="20" w:line="240" w:lineRule="auto"/>
            </w:pPr>
            <w:r/>
            <w:r>
              <w:rPr>
                <w:sz w:val="16"/>
              </w:rPr>
              <w:t>Boosting + size</w:t>
            </w:r>
          </w:p>
        </w:tc>
        <w:tc>
          <w:tcPr>
            <w:tcW w:type="dxa" w:w="1468"/>
          </w:tcPr>
          <w:p>
            <w:pPr>
              <w:spacing w:after="20" w:before="20" w:line="240" w:lineRule="auto"/>
            </w:pPr>
            <w:r/>
            <w:r>
              <w:rPr>
                <w:sz w:val="16"/>
              </w:rPr>
              <w:t>Adds size features (warning case)</w:t>
            </w:r>
          </w:p>
        </w:tc>
        <w:tc>
          <w:tcPr>
            <w:tcW w:type="dxa" w:w="1468"/>
          </w:tcPr>
          <w:p>
            <w:pPr>
              <w:spacing w:after="20" w:before="20" w:line="240" w:lineRule="auto"/>
            </w:pPr>
            <w:r/>
            <w:r>
              <w:rPr>
                <w:sz w:val="16"/>
              </w:rPr>
              <w:t>7.33 / 6.30 / 5.85</w:t>
            </w:r>
          </w:p>
        </w:tc>
        <w:tc>
          <w:tcPr>
            <w:tcW w:type="dxa" w:w="1153"/>
          </w:tcPr>
          <w:p>
            <w:pPr>
              <w:spacing w:after="20" w:before="20" w:line="240" w:lineRule="auto"/>
            </w:pPr>
            <w:r/>
            <w:r>
              <w:rPr>
                <w:sz w:val="16"/>
              </w:rPr>
              <w:t>3,508</w:t>
            </w:r>
          </w:p>
        </w:tc>
        <w:tc>
          <w:tcPr>
            <w:tcW w:type="dxa" w:w="1258"/>
          </w:tcPr>
          <w:p>
            <w:pPr>
              <w:spacing w:after="20" w:before="20" w:line="240" w:lineRule="auto"/>
            </w:pPr>
            <w:r/>
            <w:r>
              <w:rPr>
                <w:sz w:val="16"/>
              </w:rPr>
              <w:t>19%</w:t>
            </w:r>
          </w:p>
        </w:tc>
        <w:tc>
          <w:tcPr>
            <w:tcW w:type="dxa" w:w="1468"/>
          </w:tcPr>
          <w:p>
            <w:pPr>
              <w:spacing w:after="20" w:before="20" w:line="240" w:lineRule="auto"/>
            </w:pPr>
            <w:r/>
            <w:r>
              <w:rPr>
                <w:sz w:val="16"/>
              </w:rPr>
              <w:t>83%</w:t>
            </w:r>
          </w:p>
        </w:tc>
        <w:tc>
          <w:tcPr>
            <w:tcW w:type="dxa" w:w="1468"/>
          </w:tcPr>
          <w:p>
            <w:pPr>
              <w:spacing w:after="20" w:before="20" w:line="240" w:lineRule="auto"/>
            </w:pPr>
            <w:r/>
            <w:r>
              <w:rPr>
                <w:sz w:val="16"/>
              </w:rPr>
              <w:t>4 / 0</w:t>
            </w:r>
          </w:p>
        </w:tc>
      </w:tr>
      <w:tr>
        <w:tc>
          <w:tcPr>
            <w:tcW w:type="dxa" w:w="1468"/>
          </w:tcPr>
          <w:p>
            <w:pPr>
              <w:spacing w:after="20" w:before="20" w:line="240" w:lineRule="auto"/>
            </w:pPr>
            <w:r/>
            <w:r>
              <w:rPr>
                <w:sz w:val="16"/>
              </w:rPr>
              <w:t>Peer percentile</w:t>
            </w:r>
          </w:p>
        </w:tc>
        <w:tc>
          <w:tcPr>
            <w:tcW w:type="dxa" w:w="1468"/>
          </w:tcPr>
          <w:p>
            <w:pPr>
              <w:spacing w:after="20" w:before="20" w:line="240" w:lineRule="auto"/>
            </w:pPr>
            <w:r/>
            <w:r>
              <w:rPr>
                <w:sz w:val="16"/>
              </w:rPr>
              <w:t>Unsupervised, one-sided</w:t>
            </w:r>
          </w:p>
        </w:tc>
        <w:tc>
          <w:tcPr>
            <w:tcW w:type="dxa" w:w="1468"/>
          </w:tcPr>
          <w:p>
            <w:pPr>
              <w:spacing w:after="20" w:before="20" w:line="240" w:lineRule="auto"/>
            </w:pPr>
            <w:r/>
            <w:r>
              <w:rPr>
                <w:sz w:val="16"/>
              </w:rPr>
              <w:t>3.65 / 3.48 / 2.62</w:t>
            </w:r>
          </w:p>
        </w:tc>
        <w:tc>
          <w:tcPr>
            <w:tcW w:type="dxa" w:w="1153"/>
          </w:tcPr>
          <w:p>
            <w:pPr>
              <w:spacing w:after="20" w:before="20" w:line="240" w:lineRule="auto"/>
            </w:pPr>
            <w:r/>
            <w:r>
              <w:rPr>
                <w:sz w:val="16"/>
              </w:rPr>
              <w:t>4,228</w:t>
            </w:r>
          </w:p>
        </w:tc>
        <w:tc>
          <w:tcPr>
            <w:tcW w:type="dxa" w:w="1258"/>
          </w:tcPr>
          <w:p>
            <w:pPr>
              <w:spacing w:after="20" w:before="20" w:line="240" w:lineRule="auto"/>
            </w:pPr>
            <w:r/>
            <w:r>
              <w:rPr>
                <w:sz w:val="16"/>
              </w:rPr>
              <w:t>45%</w:t>
            </w:r>
          </w:p>
        </w:tc>
        <w:tc>
          <w:tcPr>
            <w:tcW w:type="dxa" w:w="1468"/>
          </w:tcPr>
          <w:p>
            <w:pPr>
              <w:spacing w:after="20" w:before="20" w:line="240" w:lineRule="auto"/>
            </w:pPr>
            <w:r/>
            <w:r>
              <w:rPr>
                <w:sz w:val="16"/>
              </w:rPr>
              <w:t>53%</w:t>
            </w:r>
          </w:p>
        </w:tc>
        <w:tc>
          <w:tcPr>
            <w:tcW w:type="dxa" w:w="1468"/>
          </w:tcPr>
          <w:p>
            <w:pPr>
              <w:spacing w:after="20" w:before="20" w:line="240" w:lineRule="auto"/>
            </w:pPr>
            <w:r/>
            <w:r>
              <w:rPr>
                <w:sz w:val="16"/>
              </w:rPr>
              <w:t>0 / 4</w:t>
            </w:r>
          </w:p>
        </w:tc>
      </w:tr>
      <w:tr>
        <w:tc>
          <w:tcPr>
            <w:tcW w:type="dxa" w:w="1468"/>
          </w:tcPr>
          <w:p>
            <w:pPr>
              <w:spacing w:after="20" w:before="20" w:line="240" w:lineRule="auto"/>
            </w:pPr>
            <w:r/>
            <w:r>
              <w:rPr>
                <w:sz w:val="16"/>
              </w:rPr>
              <w:t>IF + PCA ensemble</w:t>
            </w:r>
          </w:p>
        </w:tc>
        <w:tc>
          <w:tcPr>
            <w:tcW w:type="dxa" w:w="1468"/>
          </w:tcPr>
          <w:p>
            <w:pPr>
              <w:spacing w:after="20" w:before="20" w:line="240" w:lineRule="auto"/>
            </w:pPr>
            <w:r/>
            <w:r>
              <w:rPr>
                <w:sz w:val="16"/>
              </w:rPr>
              <w:t>Isolation Forest + PCA reconstruction error</w:t>
            </w:r>
          </w:p>
        </w:tc>
        <w:tc>
          <w:tcPr>
            <w:tcW w:type="dxa" w:w="1468"/>
          </w:tcPr>
          <w:p>
            <w:pPr>
              <w:spacing w:after="20" w:before="20" w:line="240" w:lineRule="auto"/>
            </w:pPr>
            <w:r/>
            <w:r>
              <w:rPr>
                <w:sz w:val="16"/>
              </w:rPr>
              <w:t>3.49 / 2.13 / 1.26</w:t>
            </w:r>
          </w:p>
        </w:tc>
        <w:tc>
          <w:tcPr>
            <w:tcW w:type="dxa" w:w="1153"/>
          </w:tcPr>
          <w:p>
            <w:pPr>
              <w:spacing w:after="20" w:before="20" w:line="240" w:lineRule="auto"/>
            </w:pPr>
            <w:r/>
            <w:r>
              <w:rPr>
                <w:sz w:val="16"/>
              </w:rPr>
              <w:t>6,678</w:t>
            </w:r>
          </w:p>
        </w:tc>
        <w:tc>
          <w:tcPr>
            <w:tcW w:type="dxa" w:w="1258"/>
          </w:tcPr>
          <w:p>
            <w:pPr>
              <w:spacing w:after="20" w:before="20" w:line="240" w:lineRule="auto"/>
            </w:pPr>
            <w:r/>
            <w:r>
              <w:rPr>
                <w:sz w:val="16"/>
              </w:rPr>
              <w:t>50%</w:t>
            </w:r>
          </w:p>
        </w:tc>
        <w:tc>
          <w:tcPr>
            <w:tcW w:type="dxa" w:w="1468"/>
          </w:tcPr>
          <w:p>
            <w:pPr>
              <w:spacing w:after="20" w:before="20" w:line="240" w:lineRule="auto"/>
            </w:pPr>
            <w:r/>
            <w:r>
              <w:rPr>
                <w:sz w:val="16"/>
              </w:rPr>
              <w:t>42%</w:t>
            </w:r>
          </w:p>
        </w:tc>
        <w:tc>
          <w:tcPr>
            <w:tcW w:type="dxa" w:w="1468"/>
          </w:tcPr>
          <w:p>
            <w:pPr>
              <w:spacing w:after="20" w:before="20" w:line="240" w:lineRule="auto"/>
            </w:pPr>
            <w:r/>
            <w:r>
              <w:rPr>
                <w:sz w:val="16"/>
              </w:rPr>
              <w:t>0 / 4</w:t>
            </w:r>
          </w:p>
        </w:tc>
      </w:tr>
      <w:tr>
        <w:tc>
          <w:tcPr>
            <w:tcW w:type="dxa" w:w="1468"/>
          </w:tcPr>
          <w:p>
            <w:pPr>
              <w:spacing w:after="20" w:before="20" w:line="240" w:lineRule="auto"/>
            </w:pPr>
            <w:r/>
            <w:r>
              <w:rPr>
                <w:sz w:val="16"/>
              </w:rPr>
              <w:t>K-Means distance</w:t>
            </w:r>
          </w:p>
        </w:tc>
        <w:tc>
          <w:tcPr>
            <w:tcW w:type="dxa" w:w="1468"/>
          </w:tcPr>
          <w:p>
            <w:pPr>
              <w:spacing w:after="20" w:before="20" w:line="240" w:lineRule="auto"/>
            </w:pPr>
            <w:r/>
            <w:r>
              <w:rPr>
                <w:sz w:val="16"/>
              </w:rPr>
              <w:t>Distance to nearest centroid</w:t>
            </w:r>
          </w:p>
        </w:tc>
        <w:tc>
          <w:tcPr>
            <w:tcW w:type="dxa" w:w="1468"/>
          </w:tcPr>
          <w:p>
            <w:pPr>
              <w:spacing w:after="20" w:before="20" w:line="240" w:lineRule="auto"/>
            </w:pPr>
            <w:r/>
            <w:r>
              <w:rPr>
                <w:sz w:val="16"/>
              </w:rPr>
              <w:t>3.41 / 2.49 / 1.46</w:t>
            </w:r>
          </w:p>
        </w:tc>
        <w:tc>
          <w:tcPr>
            <w:tcW w:type="dxa" w:w="1153"/>
          </w:tcPr>
          <w:p>
            <w:pPr>
              <w:spacing w:after="20" w:before="20" w:line="240" w:lineRule="auto"/>
            </w:pPr>
            <w:r/>
            <w:r>
              <w:rPr>
                <w:sz w:val="16"/>
              </w:rPr>
              <w:t>6,424</w:t>
            </w:r>
          </w:p>
        </w:tc>
        <w:tc>
          <w:tcPr>
            <w:tcW w:type="dxa" w:w="1258"/>
          </w:tcPr>
          <w:p>
            <w:pPr>
              <w:spacing w:after="20" w:before="20" w:line="240" w:lineRule="auto"/>
            </w:pPr>
            <w:r/>
            <w:r>
              <w:rPr>
                <w:sz w:val="16"/>
              </w:rPr>
              <w:t>45%</w:t>
            </w:r>
          </w:p>
        </w:tc>
        <w:tc>
          <w:tcPr>
            <w:tcW w:type="dxa" w:w="1468"/>
          </w:tcPr>
          <w:p>
            <w:pPr>
              <w:spacing w:after="20" w:before="20" w:line="240" w:lineRule="auto"/>
            </w:pPr>
            <w:r/>
            <w:r>
              <w:rPr>
                <w:sz w:val="16"/>
              </w:rPr>
              <w:t>37%</w:t>
            </w:r>
          </w:p>
        </w:tc>
        <w:tc>
          <w:tcPr>
            <w:tcW w:type="dxa" w:w="1468"/>
          </w:tcPr>
          <w:p>
            <w:pPr>
              <w:spacing w:after="20" w:before="20" w:line="240" w:lineRule="auto"/>
            </w:pPr>
            <w:r/>
            <w:r>
              <w:rPr>
                <w:sz w:val="16"/>
              </w:rPr>
              <w:t>0 / 4</w:t>
            </w:r>
          </w:p>
        </w:tc>
      </w:tr>
      <w:tr>
        <w:tc>
          <w:tcPr>
            <w:tcW w:type="dxa" w:w="1468"/>
          </w:tcPr>
          <w:p>
            <w:pPr>
              <w:spacing w:after="20" w:before="20" w:line="240" w:lineRule="auto"/>
            </w:pPr>
            <w:r/>
            <w:r>
              <w:rPr>
                <w:sz w:val="16"/>
              </w:rPr>
              <w:t>Gaussian mixture</w:t>
            </w:r>
          </w:p>
        </w:tc>
        <w:tc>
          <w:tcPr>
            <w:tcW w:type="dxa" w:w="1468"/>
          </w:tcPr>
          <w:p>
            <w:pPr>
              <w:spacing w:after="20" w:before="20" w:line="240" w:lineRule="auto"/>
            </w:pPr>
            <w:r/>
            <w:r>
              <w:rPr>
                <w:sz w:val="16"/>
              </w:rPr>
              <w:t>Low likelihood = risky</w:t>
            </w:r>
          </w:p>
        </w:tc>
        <w:tc>
          <w:tcPr>
            <w:tcW w:type="dxa" w:w="1468"/>
          </w:tcPr>
          <w:p>
            <w:pPr>
              <w:spacing w:after="20" w:before="20" w:line="240" w:lineRule="auto"/>
            </w:pPr>
            <w:r/>
            <w:r>
              <w:rPr>
                <w:sz w:val="16"/>
              </w:rPr>
              <w:t>3.38 / 1.20 / 1.15</w:t>
            </w:r>
          </w:p>
        </w:tc>
        <w:tc>
          <w:tcPr>
            <w:tcW w:type="dxa" w:w="1153"/>
          </w:tcPr>
          <w:p>
            <w:pPr>
              <w:spacing w:after="20" w:before="20" w:line="240" w:lineRule="auto"/>
            </w:pPr>
            <w:r/>
            <w:r>
              <w:rPr>
                <w:sz w:val="16"/>
              </w:rPr>
              <w:t>8,414</w:t>
            </w:r>
          </w:p>
        </w:tc>
        <w:tc>
          <w:tcPr>
            <w:tcW w:type="dxa" w:w="1258"/>
          </w:tcPr>
          <w:p>
            <w:pPr>
              <w:spacing w:after="20" w:before="20" w:line="240" w:lineRule="auto"/>
            </w:pPr>
            <w:r/>
            <w:r>
              <w:rPr>
                <w:sz w:val="16"/>
              </w:rPr>
              <w:t>57%</w:t>
            </w:r>
          </w:p>
        </w:tc>
        <w:tc>
          <w:tcPr>
            <w:tcW w:type="dxa" w:w="1468"/>
          </w:tcPr>
          <w:p>
            <w:pPr>
              <w:spacing w:after="20" w:before="20" w:line="240" w:lineRule="auto"/>
            </w:pPr>
            <w:r/>
            <w:r>
              <w:rPr>
                <w:sz w:val="16"/>
              </w:rPr>
              <w:t>28%</w:t>
            </w:r>
          </w:p>
        </w:tc>
        <w:tc>
          <w:tcPr>
            <w:tcW w:type="dxa" w:w="1468"/>
          </w:tcPr>
          <w:p>
            <w:pPr>
              <w:spacing w:after="20" w:before="20" w:line="240" w:lineRule="auto"/>
            </w:pPr>
            <w:r/>
            <w:r>
              <w:rPr>
                <w:sz w:val="16"/>
              </w:rPr>
              <w:t>0 / 4</w:t>
            </w:r>
          </w:p>
        </w:tc>
      </w:tr>
      <w:tr>
        <w:tc>
          <w:tcPr>
            <w:tcW w:type="dxa" w:w="1468"/>
          </w:tcPr>
          <w:p>
            <w:pPr>
              <w:spacing w:after="20" w:before="20" w:line="240" w:lineRule="auto"/>
            </w:pPr>
            <w:r/>
            <w:r>
              <w:rPr>
                <w:sz w:val="16"/>
              </w:rPr>
              <w:t>Blend: all models</w:t>
            </w:r>
          </w:p>
        </w:tc>
        <w:tc>
          <w:tcPr>
            <w:tcW w:type="dxa" w:w="1468"/>
          </w:tcPr>
          <w:p>
            <w:pPr>
              <w:spacing w:after="20" w:before="20" w:line="240" w:lineRule="auto"/>
            </w:pPr>
            <w:r/>
            <w:r>
              <w:rPr>
                <w:sz w:val="16"/>
              </w:rPr>
              <w:t>Average rank position</w:t>
            </w:r>
          </w:p>
        </w:tc>
        <w:tc>
          <w:tcPr>
            <w:tcW w:type="dxa" w:w="1468"/>
          </w:tcPr>
          <w:p>
            <w:pPr>
              <w:spacing w:after="20" w:before="20" w:line="240" w:lineRule="auto"/>
            </w:pPr>
            <w:r/>
            <w:r>
              <w:rPr>
                <w:sz w:val="16"/>
              </w:rPr>
              <w:t>4.53 / 4.57 / 3.94</w:t>
            </w:r>
          </w:p>
        </w:tc>
        <w:tc>
          <w:tcPr>
            <w:tcW w:type="dxa" w:w="1153"/>
          </w:tcPr>
          <w:p>
            <w:pPr>
              <w:spacing w:after="20" w:before="20" w:line="240" w:lineRule="auto"/>
            </w:pPr>
            <w:r/>
            <w:r>
              <w:rPr>
                <w:sz w:val="16"/>
              </w:rPr>
              <w:t>6,119</w:t>
            </w:r>
          </w:p>
        </w:tc>
        <w:tc>
          <w:tcPr>
            <w:tcW w:type="dxa" w:w="1258"/>
          </w:tcPr>
          <w:p>
            <w:pPr>
              <w:spacing w:after="20" w:before="20" w:line="240" w:lineRule="auto"/>
            </w:pPr>
            <w:r/>
            <w:r>
              <w:rPr>
                <w:sz w:val="16"/>
              </w:rPr>
              <w:t>46%</w:t>
            </w:r>
          </w:p>
        </w:tc>
        <w:tc>
          <w:tcPr>
            <w:tcW w:type="dxa" w:w="1468"/>
          </w:tcPr>
          <w:p>
            <w:pPr>
              <w:spacing w:after="20" w:before="20" w:line="240" w:lineRule="auto"/>
            </w:pPr>
            <w:r/>
            <w:r>
              <w:rPr>
                <w:sz w:val="16"/>
              </w:rPr>
              <w:t>52%</w:t>
            </w:r>
          </w:p>
        </w:tc>
        <w:tc>
          <w:tcPr>
            <w:tcW w:type="dxa" w:w="1468"/>
          </w:tcPr>
          <w:p>
            <w:pPr>
              <w:spacing w:after="20" w:before="20" w:line="240" w:lineRule="auto"/>
            </w:pPr>
            <w:r/>
            <w:r>
              <w:rPr>
                <w:sz w:val="16"/>
              </w:rPr>
              <w:t>2 / 0</w:t>
            </w:r>
          </w:p>
        </w:tc>
      </w:tr>
      <w:tr>
        <w:tc>
          <w:tcPr>
            <w:tcW w:type="dxa" w:w="1468"/>
          </w:tcPr>
          <w:p>
            <w:pPr>
              <w:spacing w:after="20" w:before="20" w:line="240" w:lineRule="auto"/>
            </w:pPr>
            <w:r/>
            <w:r>
              <w:rPr>
                <w:sz w:val="16"/>
              </w:rPr>
              <w:t>Stacked blend</w:t>
            </w:r>
          </w:p>
        </w:tc>
        <w:tc>
          <w:tcPr>
            <w:tcW w:type="dxa" w:w="1468"/>
          </w:tcPr>
          <w:p>
            <w:pPr>
              <w:spacing w:after="20" w:before="20" w:line="240" w:lineRule="auto"/>
            </w:pPr>
            <w:r/>
            <w:r>
              <w:rPr>
                <w:sz w:val="16"/>
              </w:rPr>
              <w:t>Logistic regression on member ranks</w:t>
            </w:r>
          </w:p>
        </w:tc>
        <w:tc>
          <w:tcPr>
            <w:tcW w:type="dxa" w:w="1468"/>
          </w:tcPr>
          <w:p>
            <w:pPr>
              <w:spacing w:after="20" w:before="20" w:line="240" w:lineRule="auto"/>
            </w:pPr>
            <w:r/>
            <w:r>
              <w:rPr>
                <w:sz w:val="16"/>
              </w:rPr>
              <w:t>2.17 / 3.95 / 3.92</w:t>
            </w:r>
          </w:p>
        </w:tc>
        <w:tc>
          <w:tcPr>
            <w:tcW w:type="dxa" w:w="1153"/>
          </w:tcPr>
          <w:p>
            <w:pPr>
              <w:spacing w:after="20" w:before="20" w:line="240" w:lineRule="auto"/>
            </w:pPr>
            <w:r/>
            <w:r>
              <w:rPr>
                <w:sz w:val="16"/>
              </w:rPr>
              <w:t>2,919</w:t>
            </w:r>
          </w:p>
        </w:tc>
        <w:tc>
          <w:tcPr>
            <w:tcW w:type="dxa" w:w="1258"/>
          </w:tcPr>
          <w:p>
            <w:pPr>
              <w:spacing w:after="20" w:before="20" w:line="240" w:lineRule="auto"/>
            </w:pPr>
            <w:r/>
            <w:r>
              <w:rPr>
                <w:sz w:val="16"/>
              </w:rPr>
              <w:t>21%</w:t>
            </w:r>
          </w:p>
        </w:tc>
        <w:tc>
          <w:tcPr>
            <w:tcW w:type="dxa" w:w="1468"/>
          </w:tcPr>
          <w:p>
            <w:pPr>
              <w:spacing w:after="20" w:before="20" w:line="240" w:lineRule="auto"/>
            </w:pPr>
            <w:r/>
            <w:r>
              <w:rPr>
                <w:sz w:val="16"/>
              </w:rPr>
              <w:t>72%</w:t>
            </w:r>
          </w:p>
        </w:tc>
        <w:tc>
          <w:tcPr>
            <w:tcW w:type="dxa" w:w="1468"/>
          </w:tcPr>
          <w:p>
            <w:pPr>
              <w:spacing w:after="20" w:before="20" w:line="240" w:lineRule="auto"/>
            </w:pPr>
            <w:r/>
            <w:r>
              <w:rPr>
                <w:sz w:val="16"/>
              </w:rPr>
              <w:t>1 / 1</w:t>
            </w:r>
          </w:p>
        </w:tc>
      </w:tr>
    </w:tbl>
    <w:p>
      <w:pPr>
        <w:spacing w:after="40"/>
      </w:pPr>
    </w:p>
    <w:p>
      <w:pPr>
        <w:spacing w:after="120"/>
      </w:pPr>
      <w:r>
        <w:t>Round 2 (D66, D67): tuning boosting adds almost nothing (4.84 vs 4.75). "Boosting on top of the scorecard" leads with lift 4.80 vs 4.37 and 6.5% more hits, better in 3 of 4 tests, worse in none. It goes to a shadow run and is not adopted.</w:t>
      </w:r>
    </w:p>
    <w:p>
      <w:pPr>
        <w:spacing w:after="120"/>
      </w:pPr>
      <w:r>
        <w:t>NTC's own rules (D104): the Business Risk scorecard has AUC 0.80 vs Track A 0.82, and is lower on all 18 dates.</w:t>
      </w:r>
    </w:p>
    <w:p>
      <w:pPr>
        <w:spacing w:after="120"/>
      </w:pPr>
      <w:r>
        <w:rPr>
          <w:b/>
        </w:rPr>
        <w:t>Why the scorecard won</w:t>
      </w:r>
      <w:r>
        <w:t>, even though some challengers score higher on one measure:</w:t>
      </w:r>
    </w:p>
    <w:p>
      <w:pPr>
        <w:pStyle w:val="ListParagraph"/>
        <w:numPr>
          <w:ilvl w:val="0"/>
          <w:numId w:val="907"/>
        </w:numPr>
        <w:spacing w:after="60"/>
      </w:pPr>
      <w:r>
        <w:rPr>
          <w:b/>
        </w:rPr>
        <w:t>Explainable in the officers' own language.</w:t>
      </w:r>
      <w:r>
        <w:t xml:space="preserve"> Every point traces to one parameter and one sentence, with officer-sourced thresholds.</w:t>
      </w:r>
    </w:p>
    <w:p>
      <w:pPr>
        <w:pStyle w:val="ListParagraph"/>
        <w:numPr>
          <w:ilvl w:val="0"/>
          <w:numId w:val="907"/>
        </w:numPr>
        <w:spacing w:after="60"/>
      </w:pPr>
      <w:r>
        <w:rPr>
          <w:b/>
        </w:rPr>
        <w:t>Gains elsewhere weren't consistent.</w:t>
      </w:r>
      <w:r>
        <w:t xml:space="preserve"> Boosting was better in 3 of 4 tests and worse in 1.</w:t>
      </w:r>
    </w:p>
    <w:p>
      <w:pPr>
        <w:pStyle w:val="ListParagraph"/>
        <w:numPr>
          <w:ilvl w:val="0"/>
          <w:numId w:val="907"/>
        </w:numPr>
        <w:spacing w:after="60"/>
      </w:pPr>
      <w:r>
        <w:rPr>
          <w:b/>
        </w:rPr>
        <w:t>Learned weights inherit selection bias.</w:t>
      </w:r>
      <w:r>
        <w:t xml:space="preserve"> They learn "who customs checked" as much as "who is risky" (D51).</w:t>
      </w:r>
    </w:p>
    <w:p>
      <w:pPr>
        <w:pStyle w:val="ListParagraph"/>
        <w:numPr>
          <w:ilvl w:val="0"/>
          <w:numId w:val="907"/>
        </w:numPr>
        <w:spacing w:after="60"/>
      </w:pPr>
      <w:r>
        <w:rPr>
          <w:b/>
        </w:rPr>
        <w:t>Lift can be gamed.</w:t>
      </w:r>
      <w:r>
        <w:t xml:space="preserve"> "Boosting + size" hits lift 6.3 by filling the list with one-off importers. It finds fewer hits and a third less money. That's why lift is never reported alone (D48).</w:t>
      </w:r>
    </w:p>
    <w:p>
      <w:pPr>
        <w:pStyle w:val="ListParagraph"/>
        <w:numPr>
          <w:ilvl w:val="0"/>
          <w:numId w:val="907"/>
        </w:numPr>
        <w:spacing w:after="60"/>
      </w:pPr>
      <w:r>
        <w:rPr>
          <w:b/>
        </w:rPr>
        <w:t>Unsupervised methods find big or different traders, not risky ones.</w:t>
      </w:r>
      <w:r>
        <w:t xml:space="preserve"> They catch revenue only through many more checks on large importers. The Gaussian mixture used more than half of all checks for UGX 0.25M per check, against the scorecard's UGX 1.18M (D56).</w:t>
      </w:r>
    </w:p>
    <w:p>
      <w:r>
        <w:br w:type="page"/>
      </w:r>
    </w:p>
    <w:p>
      <w:pPr>
        <w:pStyle w:val="Heading1"/>
      </w:pPr>
      <w:r>
        <w:t>Part 7. Deploying to the Data Lake, Power BI and an API by Friday</w:t>
      </w:r>
    </w:p>
    <w:p>
      <w:pPr>
        <w:pStyle w:val="Heading2"/>
      </w:pPr>
      <w:r>
        <w:t>Simple version</w:t>
      </w:r>
    </w:p>
    <w:p>
      <w:pPr>
        <w:spacing w:after="120"/>
      </w:pPr>
      <w:r>
        <w:t>Right now the model works like a recipe someone cooks by hand. Someone downloads the data, runs the program on a laptop and gets an Excel file. You want a restaurant kitchen instead, where meals come out automatically and anyone can order: Power BI, other systems through an API, and so on. Most of the cooking (the model) is ready. The kitchen (the automatic pipeline, the shared table, the ordering window) still has to be built. A few ingredients also still need the head chef's approval.</w:t>
      </w:r>
    </w:p>
    <w:p>
      <w:pPr>
        <w:pStyle w:val="Heading2"/>
      </w:pPr>
      <w:r>
        <w:t>Technical version: what exists vs what's missing</w:t>
      </w:r>
    </w:p>
    <w:p>
      <w:pPr>
        <w:spacing w:after="120"/>
      </w:pPr>
      <w:r>
        <w:rPr>
          <w:b/>
        </w:rPr>
        <w:t>Exists and works:</w:t>
      </w:r>
    </w:p>
    <w:p>
      <w:pPr>
        <w:pStyle w:val="ListParagraph"/>
        <w:numPr>
          <w:ilvl w:val="0"/>
          <w:numId w:val="908"/>
        </w:numPr>
        <w:spacing w:after="60"/>
      </w:pPr>
      <w:r>
        <w:t>The feature SQL (</w:t>
      </w:r>
      <w:r>
        <w:rPr>
          <w:rFonts w:ascii="Consolas" w:hAnsi="Consolas"/>
        </w:rPr>
        <w:t>src/ctrp/sql/features_outcomes.sql</w:t>
      </w:r>
      <w:r>
        <w:t>).</w:t>
      </w:r>
    </w:p>
    <w:p>
      <w:pPr>
        <w:pStyle w:val="ListParagraph"/>
        <w:numPr>
          <w:ilvl w:val="0"/>
          <w:numId w:val="908"/>
        </w:numPr>
        <w:spacing w:after="60"/>
      </w:pPr>
      <w:r>
        <w:t>The scoring code (</w:t>
      </w:r>
      <w:r>
        <w:rPr>
          <w:rFonts w:ascii="Consolas" w:hAnsi="Consolas"/>
        </w:rPr>
        <w:t>core.score_snapshot</w:t>
      </w:r>
      <w:r>
        <w:t xml:space="preserve">, </w:t>
      </w:r>
      <w:r>
        <w:rPr>
          <w:rFonts w:ascii="Consolas" w:hAnsi="Consolas"/>
        </w:rPr>
        <w:t>discovery.score_snapshot_b</w:t>
      </w:r>
      <w:r>
        <w:t xml:space="preserve">, </w:t>
      </w:r>
      <w:r>
        <w:rPr>
          <w:rFonts w:ascii="Consolas" w:hAnsi="Consolas"/>
        </w:rPr>
        <w:t>pipeline.score_file</w:t>
      </w:r>
      <w:r>
        <w:t>).</w:t>
      </w:r>
    </w:p>
    <w:p>
      <w:pPr>
        <w:pStyle w:val="ListParagraph"/>
        <w:numPr>
          <w:ilvl w:val="0"/>
          <w:numId w:val="908"/>
        </w:numPr>
        <w:spacing w:after="60"/>
      </w:pPr>
      <w:r>
        <w:rPr>
          <w:rFonts w:ascii="Consolas" w:hAnsi="Consolas"/>
        </w:rPr>
        <w:t>datalake.py</w:t>
      </w:r>
      <w:r>
        <w:t>, which pulls a query from the Spark Thrift Server over ODBC into a CSV (jump server only, port 2304).</w:t>
      </w:r>
    </w:p>
    <w:p>
      <w:pPr>
        <w:pStyle w:val="ListParagraph"/>
        <w:numPr>
          <w:ilvl w:val="0"/>
          <w:numId w:val="908"/>
        </w:numPr>
        <w:spacing w:after="60"/>
      </w:pPr>
      <w:r>
        <w:t>A fixed-layout Excel workbook, plus a CSV of the Track A scores.</w:t>
      </w:r>
    </w:p>
    <w:p>
      <w:pPr>
        <w:spacing w:after="120"/>
      </w:pPr>
      <w:r>
        <w:rPr>
          <w:b/>
        </w:rPr>
        <w:t>Not in the repo yet</w:t>
      </w:r>
      <w:r>
        <w:t xml:space="preserve"> (needed for your plan):</w:t>
      </w:r>
    </w:p>
    <w:p>
      <w:pPr>
        <w:pStyle w:val="ListParagraph"/>
        <w:numPr>
          <w:ilvl w:val="0"/>
          <w:numId w:val="909"/>
        </w:numPr>
        <w:spacing w:after="60"/>
      </w:pPr>
      <w:r>
        <w:rPr>
          <w:b/>
        </w:rPr>
        <w:t>No API.</w:t>
      </w:r>
      <w:r>
        <w:t xml:space="preserve"> There is no FastAPI or Flask code, and nothing in </w:t>
      </w:r>
      <w:r>
        <w:rPr>
          <w:rFonts w:ascii="Consolas" w:hAnsi="Consolas"/>
        </w:rPr>
        <w:t>requirements.txt</w:t>
      </w:r>
      <w:r>
        <w:t xml:space="preserve"> for serving.</w:t>
      </w:r>
    </w:p>
    <w:p>
      <w:pPr>
        <w:pStyle w:val="ListParagraph"/>
        <w:numPr>
          <w:ilvl w:val="0"/>
          <w:numId w:val="909"/>
        </w:numPr>
        <w:spacing w:after="60"/>
      </w:pPr>
      <w:r>
        <w:rPr>
          <w:b/>
        </w:rPr>
        <w:t>No write-back to the Data Lake.</w:t>
      </w:r>
      <w:r>
        <w:t xml:space="preserve"> Output goes to local </w:t>
      </w:r>
      <w:r>
        <w:rPr>
          <w:rFonts w:ascii="Consolas" w:hAnsi="Consolas"/>
        </w:rPr>
        <w:t>results/*.xlsx</w:t>
      </w:r>
      <w:r>
        <w:t xml:space="preserve"> and </w:t>
      </w:r>
      <w:r>
        <w:rPr>
          <w:rFonts w:ascii="Consolas" w:hAnsi="Consolas"/>
        </w:rPr>
        <w:t>*.csv</w:t>
      </w:r>
      <w:r>
        <w:t xml:space="preserve"> only.</w:t>
      </w:r>
    </w:p>
    <w:p>
      <w:pPr>
        <w:pStyle w:val="ListParagraph"/>
        <w:numPr>
          <w:ilvl w:val="0"/>
          <w:numId w:val="909"/>
        </w:numPr>
        <w:spacing w:after="60"/>
      </w:pPr>
      <w:r>
        <w:rPr>
          <w:b/>
        </w:rPr>
        <w:t>The CSV for Power BI lacks Track B and the Overall Risk Band.</w:t>
      </w:r>
      <w:r>
        <w:t xml:space="preserve"> </w:t>
      </w:r>
      <w:r>
        <w:rPr>
          <w:rFonts w:ascii="Consolas" w:hAnsi="Consolas"/>
        </w:rPr>
        <w:t>pipeline.score_file</w:t>
      </w:r>
      <w:r>
        <w:t xml:space="preserve"> writes </w:t>
      </w:r>
      <w:r>
        <w:rPr>
          <w:rFonts w:ascii="Consolas" w:hAnsi="Consolas"/>
        </w:rPr>
        <w:t>res.scores.to_csv(...)</w:t>
      </w:r>
      <w:r>
        <w:t xml:space="preserve">, which is Track A only. </w:t>
      </w:r>
      <w:r>
        <w:rPr>
          <w:rFonts w:ascii="Consolas" w:hAnsi="Consolas"/>
        </w:rPr>
        <w:t>overall_band</w:t>
      </w:r>
      <w:r>
        <w:t xml:space="preserve">, </w:t>
      </w:r>
      <w:r>
        <w:rPr>
          <w:rFonts w:ascii="Consolas" w:hAnsi="Consolas"/>
        </w:rPr>
        <w:t>discovery_percentile</w:t>
      </w:r>
      <w:r>
        <w:t>, the flag and the behaviour reasons exist only inside the workbook (</w:t>
      </w:r>
      <w:r>
        <w:rPr>
          <w:rFonts w:ascii="Consolas" w:hAnsi="Consolas"/>
        </w:rPr>
        <w:t>report.two_tracks</w:t>
      </w:r>
      <w:r>
        <w:t>).</w:t>
      </w:r>
    </w:p>
    <w:p>
      <w:pPr>
        <w:pStyle w:val="ListParagraph"/>
        <w:numPr>
          <w:ilvl w:val="0"/>
          <w:numId w:val="909"/>
        </w:numPr>
        <w:spacing w:after="60"/>
      </w:pPr>
      <w:r>
        <w:rPr>
          <w:b/>
        </w:rPr>
        <w:t>Track B retrains on every run.</w:t>
      </w:r>
      <w:r>
        <w:t xml:space="preserve"> It reads </w:t>
      </w:r>
      <w:r>
        <w:rPr>
          <w:rFonts w:ascii="Consolas" w:hAnsi="Consolas"/>
        </w:rPr>
        <w:t>data/bt_*.csv</w:t>
      </w:r>
      <w:r>
        <w:t xml:space="preserve"> from local disk at scoring time. Production needs either a saved, versioned model artefact or those training extracts available on the server.</w:t>
      </w:r>
    </w:p>
    <w:p>
      <w:pPr>
        <w:pStyle w:val="ListParagraph"/>
        <w:numPr>
          <w:ilvl w:val="0"/>
          <w:numId w:val="909"/>
        </w:numPr>
        <w:spacing w:after="60"/>
      </w:pPr>
      <w:r>
        <w:rPr>
          <w:b/>
        </w:rPr>
        <w:t>The feature query is heavy.</w:t>
      </w:r>
      <w:r>
        <w:t xml:space="preserve"> It takes about 30 minutes per date in Hue and must run as a scheduled Spark job.</w:t>
      </w:r>
    </w:p>
    <w:p>
      <w:pPr>
        <w:spacing w:after="120"/>
      </w:pPr>
      <w:r>
        <w:rPr>
          <w:b/>
        </w:rPr>
        <w:t>Recommended architecture: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Pr>
                <w:sz w:val="14"/>
              </w:rPr>
            </w:r>
            <w:r>
              <w:rPr>
                <w:rFonts w:ascii="Consolas" w:hAnsi="Consolas"/>
                <w:sz w:val="14"/>
              </w:rPr>
              <w:t>[Scheduled job, e.g. monthly]                       [Consumers]</w:t>
            </w:r>
          </w:p>
          <w:p>
            <w:pPr>
              <w:spacing w:after="0" w:line="240" w:lineRule="auto"/>
            </w:pPr>
            <w:r>
              <w:rPr>
                <w:rFonts w:ascii="Consolas" w:hAnsi="Consolas"/>
                <w:sz w:val="14"/>
              </w:rPr>
              <w:t xml:space="preserve"> Spark SQL feature query ──► features table          Power BI ──(DirectQuery/Import)──┐</w:t>
            </w:r>
          </w:p>
          <w:p>
            <w:pPr>
              <w:spacing w:after="0" w:line="240" w:lineRule="auto"/>
            </w:pPr>
            <w:r>
              <w:rPr>
                <w:rFonts w:ascii="Consolas" w:hAnsi="Consolas"/>
                <w:sz w:val="14"/>
              </w:rPr>
              <w:t xml:space="preserve">        │                                                                              │</w:t>
            </w:r>
          </w:p>
          <w:p>
            <w:pPr>
              <w:spacing w:after="0" w:line="240" w:lineRule="auto"/>
            </w:pPr>
            <w:r>
              <w:rPr>
                <w:rFonts w:ascii="Consolas" w:hAnsi="Consolas"/>
                <w:sz w:val="14"/>
              </w:rPr>
              <w:t xml:space="preserve"> Python scoring job (core + discovery)                                                 ▼</w:t>
            </w:r>
          </w:p>
          <w:p>
            <w:pPr>
              <w:spacing w:after="0" w:line="240" w:lineRule="auto"/>
            </w:pPr>
            <w:r>
              <w:rPr>
                <w:rFonts w:ascii="Consolas" w:hAnsi="Consolas"/>
                <w:sz w:val="14"/>
              </w:rPr>
              <w:t xml:space="preserve">        │                                                         ctrp.taxpayer_risk_scores  (Data Lake table)</w:t>
            </w:r>
          </w:p>
          <w:p>
            <w:pPr>
              <w:spacing w:after="0" w:line="240" w:lineRule="auto"/>
            </w:pPr>
            <w:r>
              <w:rPr>
                <w:rFonts w:ascii="Consolas" w:hAnsi="Consolas"/>
                <w:sz w:val="14"/>
              </w:rPr>
              <w:t xml:space="preserve">        └──► writes ctrp.taxpayer_risk_scores ──────────────────►  ctrp.taxpayer_risk_reasons</w:t>
            </w:r>
          </w:p>
          <w:p>
            <w:pPr>
              <w:spacing w:after="0" w:line="240" w:lineRule="auto"/>
            </w:pPr>
            <w:r>
              <w:rPr>
                <w:rFonts w:ascii="Consolas" w:hAnsi="Consolas"/>
                <w:sz w:val="14"/>
              </w:rPr>
              <w:t xml:space="preserve">             (partitioned by snapshot_date, model_version,          ▲</w:t>
            </w:r>
          </w:p>
          <w:p>
            <w:pPr>
              <w:spacing w:after="0" w:line="240" w:lineRule="auto"/>
            </w:pPr>
            <w:r>
              <w:rPr>
                <w:rFonts w:ascii="Consolas" w:hAnsi="Consolas"/>
                <w:sz w:val="14"/>
              </w:rPr>
              <w:t xml:space="preserve">              fingerprint)                                           │</w:t>
            </w:r>
          </w:p>
          <w:p>
            <w:pPr>
              <w:spacing w:after="0" w:line="240" w:lineRule="auto"/>
            </w:pPr>
            <w:r>
              <w:rPr>
                <w:rFonts w:ascii="Consolas" w:hAnsi="Consolas"/>
                <w:sz w:val="14"/>
              </w:rPr>
              <w:t xml:space="preserve">                                                      REST API (read-only): GET /taxpayers/{tin}/risk</w:t>
            </w:r>
          </w:p>
          <w:p>
            <w:pPr>
              <w:spacing w:after="0" w:line="240" w:lineRule="auto"/>
            </w:pPr>
            <w:r>
              <w:rPr>
                <w:rFonts w:ascii="Consolas" w:hAnsi="Consolas"/>
                <w:sz w:val="14"/>
              </w:rPr>
              <w:t xml:space="preserve">                                                                            GET /scores?band=HIGH&amp;snapshot=...</w:t>
            </w:r>
          </w:p>
        </w:tc>
      </w:tr>
    </w:tbl>
    <w:p>
      <w:pPr>
        <w:spacing w:after="40"/>
      </w:pPr>
    </w:p>
    <w:p>
      <w:pPr>
        <w:spacing w:after="120"/>
      </w:pPr>
      <w:r>
        <w:rPr>
          <w:b/>
        </w:rPr>
        <w:t>Score in batch and serve by lookup.</w:t>
      </w:r>
      <w:r>
        <w:t xml:space="preserve"> Don't score on each API request. A score depends on peer groups, percentiles and population averages computed across </w:t>
      </w:r>
      <w:r>
        <w:rPr>
          <w:b/>
        </w:rPr>
        <w:t>all</w:t>
      </w:r>
      <w:r>
        <w:t xml:space="preserve"> taxpayers at once. Scoring one taxpayer on its own gives a different, inconsistent answer. The API should read the stored table, so Power BI and the API always show the same number.</w:t>
      </w:r>
    </w:p>
    <w:p>
      <w:pPr>
        <w:spacing w:after="120"/>
      </w:pPr>
      <w:r>
        <w:rPr>
          <w:b/>
        </w:rPr>
        <w:t>Suggested flat table for Power BI and the API</w:t>
      </w:r>
      <w:r>
        <w:t xml:space="preserve"> (one row per TIN per snapshot): </w:t>
      </w:r>
      <w:r>
        <w:rPr>
          <w:rFonts w:ascii="Consolas" w:hAnsi="Consolas"/>
        </w:rPr>
        <w:t>snapshot_date</w:t>
      </w:r>
      <w:r>
        <w:t xml:space="preserve">, </w:t>
      </w:r>
      <w:r>
        <w:rPr>
          <w:rFonts w:ascii="Consolas" w:hAnsi="Consolas"/>
        </w:rPr>
        <w:t>taxpayer_tin</w:t>
      </w:r>
      <w:r>
        <w:t xml:space="preserve">, </w:t>
      </w:r>
      <w:r>
        <w:rPr>
          <w:rFonts w:ascii="Consolas" w:hAnsi="Consolas"/>
        </w:rPr>
        <w:t>rank</w:t>
      </w:r>
      <w:r>
        <w:t xml:space="preserve">, </w:t>
      </w:r>
      <w:r>
        <w:rPr>
          <w:rFonts w:ascii="Consolas" w:hAnsi="Consolas"/>
        </w:rPr>
        <w:t>history_risk_score</w:t>
      </w:r>
      <w:r>
        <w:t xml:space="preserve">, </w:t>
      </w:r>
      <w:r>
        <w:rPr>
          <w:rFonts w:ascii="Consolas" w:hAnsi="Consolas"/>
        </w:rPr>
        <w:t>history_risk_band</w:t>
      </w:r>
      <w:r>
        <w:t xml:space="preserve">, </w:t>
      </w:r>
      <w:r>
        <w:rPr>
          <w:rFonts w:ascii="Consolas" w:hAnsi="Consolas"/>
        </w:rPr>
        <w:t>overall_risk_band</w:t>
      </w:r>
      <w:r>
        <w:t xml:space="preserve">, </w:t>
      </w:r>
      <w:r>
        <w:rPr>
          <w:rFonts w:ascii="Consolas" w:hAnsi="Consolas"/>
        </w:rPr>
        <w:t>overall_band_set_by</w:t>
      </w:r>
      <w:r>
        <w:t xml:space="preserve">, </w:t>
      </w:r>
      <w:r>
        <w:rPr>
          <w:rFonts w:ascii="Consolas" w:hAnsi="Consolas"/>
        </w:rPr>
        <w:t>behaviour_percentile</w:t>
      </w:r>
      <w:r>
        <w:t xml:space="preserve">, </w:t>
      </w:r>
      <w:r>
        <w:rPr>
          <w:rFonts w:ascii="Consolas" w:hAnsi="Consolas"/>
        </w:rPr>
        <w:t>risky_behaviour_flag</w:t>
      </w:r>
      <w:r>
        <w:t xml:space="preserve">, </w:t>
      </w:r>
      <w:r>
        <w:rPr>
          <w:rFonts w:ascii="Consolas" w:hAnsi="Consolas"/>
        </w:rPr>
        <w:t>segment</w:t>
      </w:r>
      <w:r>
        <w:t xml:space="preserve">, </w:t>
      </w:r>
      <w:r>
        <w:rPr>
          <w:rFonts w:ascii="Consolas" w:hAnsi="Consolas"/>
        </w:rPr>
        <w:t>reason_1..3</w:t>
      </w:r>
      <w:r>
        <w:t xml:space="preserve">, </w:t>
      </w:r>
      <w:r>
        <w:rPr>
          <w:rFonts w:ascii="Consolas" w:hAnsi="Consolas"/>
        </w:rPr>
        <w:t>behaviour_reason_1..2</w:t>
      </w:r>
      <w:r>
        <w:t xml:space="preserve">, </w:t>
      </w:r>
      <w:r>
        <w:rPr>
          <w:rFonts w:ascii="Consolas" w:hAnsi="Consolas"/>
        </w:rPr>
        <w:t>notes</w:t>
      </w:r>
      <w:r>
        <w:t xml:space="preserve">, </w:t>
      </w:r>
      <w:r>
        <w:rPr>
          <w:rFonts w:ascii="Consolas" w:hAnsi="Consolas"/>
        </w:rPr>
        <w:t>note_codes</w:t>
      </w:r>
      <w:r>
        <w:t xml:space="preserve">, </w:t>
      </w:r>
      <w:r>
        <w:rPr>
          <w:rFonts w:ascii="Consolas" w:hAnsi="Consolas"/>
        </w:rPr>
        <w:t>peer_group_name</w:t>
      </w:r>
      <w:r>
        <w:t xml:space="preserve">, the flags (limited history, no close peers, unusual pattern, disagree), </w:t>
      </w:r>
      <w:r>
        <w:rPr>
          <w:rFonts w:ascii="Consolas" w:hAnsi="Consolas"/>
        </w:rPr>
        <w:t>declarations_24m</w:t>
      </w:r>
      <w:r>
        <w:t xml:space="preserve">, </w:t>
      </w:r>
      <w:r>
        <w:rPr>
          <w:rFonts w:ascii="Consolas" w:hAnsi="Consolas"/>
        </w:rPr>
        <w:t>customs_value_24m</w:t>
      </w:r>
      <w:r>
        <w:t xml:space="preserve">, </w:t>
      </w:r>
      <w:r>
        <w:rPr>
          <w:rFonts w:ascii="Consolas" w:hAnsi="Consolas"/>
        </w:rPr>
        <w:t>points_PAR_*</w:t>
      </w:r>
      <w:r>
        <w:t xml:space="preserve">, </w:t>
      </w:r>
      <w:r>
        <w:rPr>
          <w:rFonts w:ascii="Consolas" w:hAnsi="Consolas"/>
        </w:rPr>
        <w:t>model_version</w:t>
      </w:r>
      <w:r>
        <w:t xml:space="preserve">, </w:t>
      </w:r>
      <w:r>
        <w:rPr>
          <w:rFonts w:ascii="Consolas" w:hAnsi="Consolas"/>
        </w:rPr>
        <w:t>settings_fingerprint</w:t>
      </w:r>
      <w:r>
        <w:t>. A second long table holds the reasons. Keep the column names stable, as D64 already requires.</w:t>
      </w:r>
    </w:p>
    <w:p>
      <w:pPr>
        <w:spacing w:after="120"/>
      </w:pPr>
      <w:r>
        <w:rPr>
          <w:b/>
        </w:rPr>
        <w:t>Risks to raise before Friday:</w:t>
      </w:r>
    </w:p>
    <w:p>
      <w:pPr>
        <w:pStyle w:val="Caption"/>
      </w:pPr>
      <w:r>
        <w:t xml:space="preserve">Table </w:t>
      </w:r>
      <w:r>
        <w:fldChar w:fldCharType="begin"/>
      </w:r>
      <w:r>
        <w:instrText xml:space="preserve"> SEQ Table \* ARABIC </w:instrText>
      </w:r>
      <w:r>
        <w:fldChar w:fldCharType="separate"/>
      </w:r>
      <w:r>
        <w:t>12</w:t>
      </w:r>
      <w:r>
        <w:fldChar w:fldCharType="end"/>
      </w:r>
      <w:r>
        <w:t>: Technical version: what exists vs what's missing</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3250"/>
            <w:shd w:val="clear" w:color="auto" w:fill="D9E2F3"/>
          </w:tcPr>
          <w:p>
            <w:pPr>
              <w:spacing w:after="20" w:before="20" w:line="240" w:lineRule="auto"/>
            </w:pPr>
            <w:r/>
            <w:r>
              <w:rPr>
                <w:b/>
                <w:sz w:val="18"/>
              </w:rPr>
              <w:t>Item</w:t>
            </w:r>
          </w:p>
        </w:tc>
        <w:tc>
          <w:tcPr>
            <w:tcW w:type="dxa" w:w="3250"/>
            <w:shd w:val="clear" w:color="auto" w:fill="D9E2F3"/>
          </w:tcPr>
          <w:p>
            <w:pPr>
              <w:spacing w:after="20" w:before="20" w:line="240" w:lineRule="auto"/>
            </w:pPr>
            <w:r/>
            <w:r>
              <w:rPr>
                <w:b/>
                <w:sz w:val="18"/>
              </w:rPr>
              <w:t>Status</w:t>
            </w:r>
          </w:p>
        </w:tc>
        <w:tc>
          <w:tcPr>
            <w:tcW w:type="dxa" w:w="3250"/>
            <w:shd w:val="clear" w:color="auto" w:fill="D9E2F3"/>
          </w:tcPr>
          <w:p>
            <w:pPr>
              <w:spacing w:after="20" w:before="20" w:line="240" w:lineRule="auto"/>
            </w:pPr>
            <w:r/>
            <w:r>
              <w:rPr>
                <w:b/>
                <w:sz w:val="18"/>
              </w:rPr>
              <w:t>Source</w:t>
            </w:r>
          </w:p>
        </w:tc>
      </w:tr>
      <w:tr>
        <w:tc>
          <w:tcPr>
            <w:tcW w:type="dxa" w:w="3250"/>
          </w:tcPr>
          <w:p>
            <w:pPr>
              <w:spacing w:after="20" w:before="20" w:line="240" w:lineRule="auto"/>
            </w:pPr>
            <w:r/>
            <w:r>
              <w:rPr>
                <w:sz w:val="18"/>
              </w:rPr>
              <w:t>Weights and thresholds</w:t>
            </w:r>
          </w:p>
        </w:tc>
        <w:tc>
          <w:tcPr>
            <w:tcW w:type="dxa" w:w="3250"/>
          </w:tcPr>
          <w:p>
            <w:pPr>
              <w:spacing w:after="20" w:before="20" w:line="240" w:lineRule="auto"/>
            </w:pPr>
            <w:r/>
            <w:r>
              <w:rPr>
                <w:b/>
                <w:sz w:val="18"/>
              </w:rPr>
              <w:t>Provisional</w:t>
            </w:r>
            <w:r>
              <w:rPr>
                <w:sz w:val="18"/>
              </w:rPr>
              <w:t>, pending Risk Officers</w:t>
            </w:r>
          </w:p>
        </w:tc>
        <w:tc>
          <w:tcPr>
            <w:tcW w:type="dxa" w:w="3250"/>
          </w:tcPr>
          <w:p>
            <w:pPr>
              <w:spacing w:after="20" w:before="20" w:line="240" w:lineRule="auto"/>
            </w:pPr>
            <w:r/>
            <w:r>
              <w:rPr>
                <w:rFonts w:ascii="Consolas" w:hAnsi="Consolas"/>
                <w:sz w:val="18"/>
              </w:rPr>
              <w:t>core.py</w:t>
            </w:r>
            <w:r>
              <w:rPr>
                <w:sz w:val="18"/>
              </w:rPr>
              <w:t xml:space="preserve"> SETTINGS header, D41</w:t>
            </w:r>
          </w:p>
        </w:tc>
      </w:tr>
      <w:tr>
        <w:tc>
          <w:tcPr>
            <w:tcW w:type="dxa" w:w="3250"/>
          </w:tcPr>
          <w:p>
            <w:pPr>
              <w:spacing w:after="20" w:before="20" w:line="240" w:lineRule="auto"/>
            </w:pPr>
            <w:r/>
            <w:r>
              <w:rPr>
                <w:sz w:val="18"/>
              </w:rPr>
              <w:t>Version 3 rebuild</w:t>
            </w:r>
          </w:p>
        </w:tc>
        <w:tc>
          <w:tcPr>
            <w:tcW w:type="dxa" w:w="3250"/>
          </w:tcPr>
          <w:p>
            <w:pPr>
              <w:spacing w:after="20" w:before="20" w:line="240" w:lineRule="auto"/>
            </w:pPr>
            <w:r/>
            <w:r>
              <w:rPr>
                <w:sz w:val="18"/>
              </w:rPr>
              <w:t>Only 3 of 7 full extracts redone</w:t>
            </w:r>
          </w:p>
        </w:tc>
        <w:tc>
          <w:tcPr>
            <w:tcW w:type="dxa" w:w="3250"/>
          </w:tcPr>
          <w:p>
            <w:pPr>
              <w:spacing w:after="20" w:before="20" w:line="240" w:lineRule="auto"/>
            </w:pPr>
            <w:r/>
            <w:r>
              <w:rPr>
                <w:sz w:val="18"/>
              </w:rPr>
              <w:t>D114, D115</w:t>
            </w:r>
          </w:p>
        </w:tc>
      </w:tr>
      <w:tr>
        <w:tc>
          <w:tcPr>
            <w:tcW w:type="dxa" w:w="3250"/>
          </w:tcPr>
          <w:p>
            <w:pPr>
              <w:spacing w:after="20" w:before="20" w:line="240" w:lineRule="auto"/>
            </w:pPr>
            <w:r/>
            <w:r>
              <w:rPr>
                <w:sz w:val="18"/>
              </w:rPr>
              <w:t>Band cut-offs and list sizes</w:t>
            </w:r>
          </w:p>
        </w:tc>
        <w:tc>
          <w:tcPr>
            <w:tcW w:type="dxa" w:w="3250"/>
          </w:tcPr>
          <w:p>
            <w:pPr>
              <w:spacing w:after="20" w:before="20" w:line="240" w:lineRule="auto"/>
            </w:pPr>
            <w:r/>
            <w:r>
              <w:rPr>
                <w:sz w:val="18"/>
              </w:rPr>
              <w:t>Open, waiting on officer capacity</w:t>
            </w:r>
          </w:p>
        </w:tc>
        <w:tc>
          <w:tcPr>
            <w:tcW w:type="dxa" w:w="3250"/>
          </w:tcPr>
          <w:p>
            <w:pPr>
              <w:spacing w:after="20" w:before="20" w:line="240" w:lineRule="auto"/>
            </w:pPr>
            <w:r/>
            <w:r>
              <w:rPr>
                <w:sz w:val="18"/>
              </w:rPr>
              <w:t xml:space="preserve">Stage 7, OQ-8, </w:t>
            </w:r>
            <w:r>
              <w:rPr>
                <w:rFonts w:ascii="Consolas" w:hAnsi="Consolas"/>
                <w:sz w:val="18"/>
              </w:rPr>
              <w:t>DISCOVERY_SHARE</w:t>
            </w:r>
          </w:p>
        </w:tc>
      </w:tr>
      <w:tr>
        <w:tc>
          <w:tcPr>
            <w:tcW w:type="dxa" w:w="3250"/>
          </w:tcPr>
          <w:p>
            <w:pPr>
              <w:spacing w:after="20" w:before="20" w:line="240" w:lineRule="auto"/>
            </w:pPr>
            <w:r/>
            <w:r>
              <w:rPr>
                <w:sz w:val="18"/>
              </w:rPr>
              <w:t>Track B</w:t>
            </w:r>
          </w:p>
        </w:tc>
        <w:tc>
          <w:tcPr>
            <w:tcW w:type="dxa" w:w="3250"/>
          </w:tcPr>
          <w:p>
            <w:pPr>
              <w:spacing w:after="20" w:before="20" w:line="240" w:lineRule="auto"/>
            </w:pPr>
            <w:r/>
            <w:r>
              <w:rPr>
                <w:sz w:val="18"/>
              </w:rPr>
              <w:t>Blind review not yet run; capped at HIGH</w:t>
            </w:r>
          </w:p>
        </w:tc>
        <w:tc>
          <w:tcPr>
            <w:tcW w:type="dxa" w:w="3250"/>
          </w:tcPr>
          <w:p>
            <w:pPr>
              <w:spacing w:after="20" w:before="20" w:line="240" w:lineRule="auto"/>
            </w:pPr>
            <w:r/>
            <w:r>
              <w:rPr>
                <w:sz w:val="18"/>
              </w:rPr>
              <w:t>D86, D74</w:t>
            </w:r>
          </w:p>
        </w:tc>
      </w:tr>
      <w:tr>
        <w:tc>
          <w:tcPr>
            <w:tcW w:type="dxa" w:w="3250"/>
          </w:tcPr>
          <w:p>
            <w:pPr>
              <w:spacing w:after="20" w:before="20" w:line="240" w:lineRule="auto"/>
            </w:pPr>
            <w:r/>
            <w:r>
              <w:rPr>
                <w:sz w:val="18"/>
              </w:rPr>
              <w:t>Cleaning rule R14</w:t>
            </w:r>
          </w:p>
        </w:tc>
        <w:tc>
          <w:tcPr>
            <w:tcW w:type="dxa" w:w="3250"/>
          </w:tcPr>
          <w:p>
            <w:pPr>
              <w:spacing w:after="20" w:before="20" w:line="240" w:lineRule="auto"/>
            </w:pPr>
            <w:r/>
            <w:r>
              <w:rPr>
                <w:sz w:val="18"/>
              </w:rPr>
              <w:t>"Highest ID = latest" still to be confirmed by officers</w:t>
            </w:r>
          </w:p>
        </w:tc>
        <w:tc>
          <w:tcPr>
            <w:tcW w:type="dxa" w:w="3250"/>
          </w:tcPr>
          <w:p>
            <w:pPr>
              <w:spacing w:after="20" w:before="20" w:line="240" w:lineRule="auto"/>
            </w:pPr>
            <w:r/>
            <w:r>
              <w:rPr>
                <w:sz w:val="18"/>
              </w:rPr>
              <w:t>D109, E01</w:t>
            </w:r>
          </w:p>
        </w:tc>
      </w:tr>
      <w:tr>
        <w:tc>
          <w:tcPr>
            <w:tcW w:type="dxa" w:w="3250"/>
          </w:tcPr>
          <w:p>
            <w:pPr>
              <w:spacing w:after="20" w:before="20" w:line="240" w:lineRule="auto"/>
            </w:pPr>
            <w:r/>
            <w:r>
              <w:rPr>
                <w:sz w:val="18"/>
              </w:rPr>
              <w:t>Data protection</w:t>
            </w:r>
          </w:p>
        </w:tc>
        <w:tc>
          <w:tcPr>
            <w:tcW w:type="dxa" w:w="3250"/>
          </w:tcPr>
          <w:p>
            <w:pPr>
              <w:spacing w:after="20" w:before="20" w:line="240" w:lineRule="auto"/>
            </w:pPr>
            <w:r/>
            <w:r>
              <w:rPr>
                <w:sz w:val="18"/>
              </w:rPr>
              <w:t>Outputs hold TINs. The table and API need access control and audit logging.</w:t>
            </w:r>
          </w:p>
        </w:tc>
        <w:tc>
          <w:tcPr>
            <w:tcW w:type="dxa" w:w="3250"/>
          </w:tcPr>
          <w:p>
            <w:pPr>
              <w:spacing w:after="20" w:before="20" w:line="240" w:lineRule="auto"/>
            </w:pPr>
            <w:r/>
            <w:r>
              <w:rPr>
                <w:sz w:val="18"/>
              </w:rPr>
              <w:t>README rule 5</w:t>
            </w:r>
          </w:p>
        </w:tc>
      </w:tr>
      <w:tr>
        <w:tc>
          <w:tcPr>
            <w:tcW w:type="dxa" w:w="3250"/>
          </w:tcPr>
          <w:p>
            <w:pPr>
              <w:spacing w:after="20" w:before="20" w:line="240" w:lineRule="auto"/>
            </w:pPr>
            <w:r/>
            <w:r>
              <w:rPr>
                <w:sz w:val="18"/>
              </w:rPr>
              <w:t>Version label</w:t>
            </w:r>
          </w:p>
        </w:tc>
        <w:tc>
          <w:tcPr>
            <w:tcW w:type="dxa" w:w="3250"/>
          </w:tcPr>
          <w:p>
            <w:pPr>
              <w:spacing w:after="20" w:before="20" w:line="240" w:lineRule="auto"/>
            </w:pPr>
            <w:r/>
            <w:r>
              <w:rPr>
                <w:sz w:val="18"/>
              </w:rPr>
              <w:t xml:space="preserve">README says </w:t>
            </w:r>
            <w:r>
              <w:rPr>
                <w:rFonts w:ascii="Consolas" w:hAnsi="Consolas"/>
                <w:sz w:val="18"/>
              </w:rPr>
              <w:t>1.0.0-dev4</w:t>
            </w:r>
            <w:r>
              <w:rPr>
                <w:sz w:val="18"/>
              </w:rPr>
              <w:t xml:space="preserve">, code says </w:t>
            </w:r>
            <w:r>
              <w:rPr>
                <w:rFonts w:ascii="Consolas" w:hAnsi="Consolas"/>
                <w:sz w:val="18"/>
              </w:rPr>
              <w:t>1.0.0-dev5</w:t>
            </w:r>
          </w:p>
        </w:tc>
        <w:tc>
          <w:tcPr>
            <w:tcW w:type="dxa" w:w="3250"/>
          </w:tcPr>
          <w:p>
            <w:pPr>
              <w:spacing w:after="20" w:before="20" w:line="240" w:lineRule="auto"/>
            </w:pPr>
            <w:r/>
            <w:r>
              <w:rPr>
                <w:rFonts w:ascii="Consolas" w:hAnsi="Consolas"/>
                <w:sz w:val="18"/>
              </w:rPr>
              <w:t>README.md</w:t>
            </w:r>
            <w:r>
              <w:rPr>
                <w:sz w:val="18"/>
              </w:rPr>
              <w:t xml:space="preserve">, </w:t>
            </w:r>
            <w:r>
              <w:rPr>
                <w:rFonts w:ascii="Consolas" w:hAnsi="Consolas"/>
                <w:sz w:val="18"/>
              </w:rPr>
              <w:t>core.MODEL_VERSION</w:t>
            </w:r>
          </w:p>
        </w:tc>
      </w:tr>
    </w:tbl>
    <w:p>
      <w:pPr>
        <w:spacing w:after="40"/>
      </w:pPr>
    </w:p>
    <w:p>
      <w:pPr>
        <w:spacing w:after="120"/>
      </w:pPr>
      <w:r>
        <w:t xml:space="preserve">A realistic Friday target: a </w:t>
      </w:r>
      <w:r>
        <w:rPr>
          <w:b/>
        </w:rPr>
        <w:t>pilot</w:t>
      </w:r>
      <w:r>
        <w:t xml:space="preserve"> release. Track A drives the dashboard. Track B is shown as "Risky Behaviour Flag: for review." Both are labelled with the model version and fingerprint, and the dashboard carries a note that the settings are provisional.</w:t>
      </w:r>
    </w:p>
    <w:p>
      <w:r>
        <w:br w:type="page"/>
      </w:r>
    </w:p>
    <w:p>
      <w:pPr>
        <w:pStyle w:val="Heading1"/>
      </w:pPr>
      <w:r>
        <w:t>Part 8. One-page recap</w:t>
      </w:r>
    </w:p>
    <w:p>
      <w:pPr>
        <w:pStyle w:val="Heading2"/>
      </w:pPr>
      <w:r>
        <w:t>Simple version</w:t>
      </w:r>
    </w:p>
    <w:p>
      <w:pPr>
        <w:spacing w:after="120"/>
      </w:pPr>
      <w:r>
        <w:t>We clean the data. For each company, we count how often it was caught paying too little, how often it changed its forms, and a few other things, with recent years counting more and tiny records nudged towards average. Those become points out of 100 and a coloured band, with reasons in plain words. Separately, Track B looks only at behaviour, to find companies that were never caught but act strangely. The final band takes whichever track says "riskier." We graded everything by pretending it was the past and checking what really happened. We held a competition against about ten other methods. The scorecard won because it is nearly as good as the best and anyone can understand it.</w:t>
      </w:r>
    </w:p>
    <w:p>
      <w:pPr>
        <w:pStyle w:val="Heading2"/>
      </w:pPr>
      <w:r>
        <w:t>Technical version</w:t>
      </w:r>
    </w:p>
    <w:p>
      <w:pPr>
        <w:spacing w:after="120"/>
      </w:pPr>
      <w:r>
        <w:t>A transparent, expert-weighted, piecewise-linear scorecard over recency-weighted and one-way credibility-shrunk behavioural rates. It is complemented by an anomaly note (Isolation Forest per HS section × size peer group) and a discovery track: monotone, interaction-free gradient boosting on peer percentiles, trained out-of-time on hits per check among taxpayers with no top-up history. Evaluation uses AUC per check as the headline, with precision and recall at operational lines, money captured, revenue per check and small-trader share. It is tested out-of-time on 18 dates (Track A) and 5 dates (Track B) with paired bootstrap comparisons. The known limitation is selection-biased outcomes, to be addressed by the blind officer review and, later, by random-check or audit outcomes.</w:t>
      </w:r>
    </w:p>
    <w:sectPr w:rsidR="00AF3E2F" w:rsidRPr="00F7156B" w:rsidSect="0098200B">
      <w:footerReference w:type="default" r:id="rId25"/>
      <w:headerReference w:type="default" r:id="rId26"/>
      <w:pgSz w:w="11906" w:h="16838" w:code="9"/>
      <w:pgMar w:top="1440" w:right="1077" w:bottom="1440" w:left="1077" w:header="706" w:footer="70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86F" w:rsidRDefault="008A586F">
      <w:r>
        <w:separator/>
      </w:r>
    </w:p>
    <w:p w:rsidR="008A586F" w:rsidRDefault="008A586F"/>
    <w:p w:rsidR="008A586F" w:rsidRDefault="008A586F" w:rsidP="004E1DE7"/>
    <w:p w:rsidR="008A586F" w:rsidRDefault="008A586F" w:rsidP="00646C6E"/>
  </w:endnote>
  <w:endnote w:type="continuationSeparator" w:id="0">
    <w:p w:rsidR="008A586F" w:rsidRDefault="008A586F">
      <w:r>
        <w:continuationSeparator/>
      </w:r>
    </w:p>
    <w:p w:rsidR="008A586F" w:rsidRDefault="008A586F"/>
    <w:p w:rsidR="008A586F" w:rsidRDefault="008A586F" w:rsidP="004E1DE7"/>
    <w:p w:rsidR="008A586F" w:rsidRDefault="008A586F" w:rsidP="00646C6E"/>
  </w:endnote>
  <w:endnote w:type="continuationNotice" w:id="1">
    <w:p w:rsidR="008A586F" w:rsidRDefault="008A586F"/>
    <w:p w:rsidR="008A586F" w:rsidRDefault="008A586F"/>
    <w:p w:rsidR="008A586F" w:rsidRDefault="008A586F" w:rsidP="004E1DE7"/>
    <w:p w:rsidR="008A586F" w:rsidRDefault="008A586F" w:rsidP="00646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0865677"/>
      <w:docPartObj>
        <w:docPartGallery w:val="Page Numbers (Bottom of Page)"/>
        <w:docPartUnique/>
      </w:docPartObj>
    </w:sdtPr>
    <w:sdtEndPr>
      <w:rPr>
        <w:rStyle w:val="PageNumber"/>
      </w:rPr>
    </w:sdtEndPr>
    <w:sdtContent>
      <w:p w:rsidR="009D7C80" w:rsidRDefault="009D7C80" w:rsidP="00DF23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1090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D7C80" w:rsidRDefault="009D7C80" w:rsidP="003E5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4012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1DFA84F2">
      <w:trPr>
        <w:trHeight w:val="300"/>
      </w:trPr>
      <w:tc>
        <w:tcPr>
          <w:tcW w:w="4065" w:type="dxa"/>
        </w:tcPr>
        <w:p w:rsidR="009D7C80" w:rsidRDefault="009D7C80" w:rsidP="1DFA84F2">
          <w:pPr>
            <w:ind w:left="-115"/>
          </w:pPr>
        </w:p>
      </w:tc>
      <w:tc>
        <w:tcPr>
          <w:tcW w:w="4065" w:type="dxa"/>
        </w:tcPr>
        <w:p w:rsidR="009D7C80" w:rsidRDefault="009D7C80" w:rsidP="1DFA84F2">
          <w:pPr>
            <w:jc w:val="center"/>
          </w:pPr>
        </w:p>
      </w:tc>
      <w:tc>
        <w:tcPr>
          <w:tcW w:w="4065" w:type="dxa"/>
        </w:tcPr>
        <w:p w:rsidR="009D7C80" w:rsidRDefault="009D7C80" w:rsidP="1DFA84F2">
          <w:pPr>
            <w:ind w:right="-115"/>
            <w:jc w:val="right"/>
          </w:pP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6666510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D7C80" w:rsidRDefault="009D7C80" w:rsidP="00F7156B"/>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86F" w:rsidRDefault="008A586F">
      <w:r>
        <w:separator/>
      </w:r>
    </w:p>
    <w:p w:rsidR="008A586F" w:rsidRDefault="008A586F"/>
    <w:p w:rsidR="008A586F" w:rsidRDefault="008A586F" w:rsidP="004E1DE7"/>
    <w:p w:rsidR="008A586F" w:rsidRDefault="008A586F" w:rsidP="00646C6E"/>
  </w:footnote>
  <w:footnote w:type="continuationSeparator" w:id="0">
    <w:p w:rsidR="008A586F" w:rsidRDefault="008A586F">
      <w:r>
        <w:continuationSeparator/>
      </w:r>
    </w:p>
    <w:p w:rsidR="008A586F" w:rsidRDefault="008A586F"/>
    <w:p w:rsidR="008A586F" w:rsidRDefault="008A586F" w:rsidP="004E1DE7"/>
    <w:p w:rsidR="008A586F" w:rsidRDefault="008A586F" w:rsidP="00646C6E"/>
  </w:footnote>
  <w:footnote w:type="continuationNotice" w:id="1">
    <w:p w:rsidR="008A586F" w:rsidRDefault="008A586F"/>
    <w:p w:rsidR="008A586F" w:rsidRDefault="008A586F"/>
    <w:p w:rsidR="008A586F" w:rsidRDefault="008A586F" w:rsidP="004E1DE7"/>
    <w:p w:rsidR="008A586F" w:rsidRDefault="008A586F" w:rsidP="00646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7D3BB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009D7C8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EA2"/>
    <w:multiLevelType w:val="hybridMultilevel"/>
    <w:tmpl w:val="2A4C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30E9B"/>
    <w:multiLevelType w:val="hybridMultilevel"/>
    <w:tmpl w:val="63FA0408"/>
    <w:lvl w:ilvl="0" w:tplc="E2243F7E">
      <w:start w:val="1"/>
      <w:numFmt w:val="bullet"/>
      <w:lvlText w:val=""/>
      <w:lvlJc w:val="left"/>
      <w:pPr>
        <w:ind w:left="360" w:hanging="360"/>
      </w:pPr>
      <w:rPr>
        <w:rFonts w:ascii="Symbol" w:hAnsi="Symbol" w:hint="default"/>
      </w:rPr>
    </w:lvl>
    <w:lvl w:ilvl="1" w:tplc="2C8C6B6C">
      <w:start w:val="1"/>
      <w:numFmt w:val="bullet"/>
      <w:lvlText w:val="o"/>
      <w:lvlJc w:val="left"/>
      <w:pPr>
        <w:ind w:left="1080" w:hanging="360"/>
      </w:pPr>
      <w:rPr>
        <w:rFonts w:ascii="Courier New" w:hAnsi="Courier New" w:hint="default"/>
      </w:rPr>
    </w:lvl>
    <w:lvl w:ilvl="2" w:tplc="83F841E6">
      <w:start w:val="1"/>
      <w:numFmt w:val="bullet"/>
      <w:lvlText w:val=""/>
      <w:lvlJc w:val="left"/>
      <w:pPr>
        <w:ind w:left="1800" w:hanging="360"/>
      </w:pPr>
      <w:rPr>
        <w:rFonts w:ascii="Wingdings" w:hAnsi="Wingdings" w:hint="default"/>
      </w:rPr>
    </w:lvl>
    <w:lvl w:ilvl="3" w:tplc="9392C1AC">
      <w:start w:val="1"/>
      <w:numFmt w:val="bullet"/>
      <w:lvlText w:val=""/>
      <w:lvlJc w:val="left"/>
      <w:pPr>
        <w:ind w:left="2520" w:hanging="360"/>
      </w:pPr>
      <w:rPr>
        <w:rFonts w:ascii="Symbol" w:hAnsi="Symbol" w:hint="default"/>
      </w:rPr>
    </w:lvl>
    <w:lvl w:ilvl="4" w:tplc="83667E06">
      <w:start w:val="1"/>
      <w:numFmt w:val="bullet"/>
      <w:lvlText w:val="o"/>
      <w:lvlJc w:val="left"/>
      <w:pPr>
        <w:ind w:left="3240" w:hanging="360"/>
      </w:pPr>
      <w:rPr>
        <w:rFonts w:ascii="Courier New" w:hAnsi="Courier New" w:hint="default"/>
      </w:rPr>
    </w:lvl>
    <w:lvl w:ilvl="5" w:tplc="3A2C255A">
      <w:start w:val="1"/>
      <w:numFmt w:val="bullet"/>
      <w:lvlText w:val=""/>
      <w:lvlJc w:val="left"/>
      <w:pPr>
        <w:ind w:left="3960" w:hanging="360"/>
      </w:pPr>
      <w:rPr>
        <w:rFonts w:ascii="Wingdings" w:hAnsi="Wingdings" w:hint="default"/>
      </w:rPr>
    </w:lvl>
    <w:lvl w:ilvl="6" w:tplc="78BE9F88">
      <w:start w:val="1"/>
      <w:numFmt w:val="bullet"/>
      <w:lvlText w:val=""/>
      <w:lvlJc w:val="left"/>
      <w:pPr>
        <w:ind w:left="4680" w:hanging="360"/>
      </w:pPr>
      <w:rPr>
        <w:rFonts w:ascii="Symbol" w:hAnsi="Symbol" w:hint="default"/>
      </w:rPr>
    </w:lvl>
    <w:lvl w:ilvl="7" w:tplc="B0F65DFE">
      <w:start w:val="1"/>
      <w:numFmt w:val="bullet"/>
      <w:lvlText w:val="o"/>
      <w:lvlJc w:val="left"/>
      <w:pPr>
        <w:ind w:left="5400" w:hanging="360"/>
      </w:pPr>
      <w:rPr>
        <w:rFonts w:ascii="Courier New" w:hAnsi="Courier New" w:hint="default"/>
      </w:rPr>
    </w:lvl>
    <w:lvl w:ilvl="8" w:tplc="460482AA">
      <w:start w:val="1"/>
      <w:numFmt w:val="bullet"/>
      <w:lvlText w:val=""/>
      <w:lvlJc w:val="left"/>
      <w:pPr>
        <w:ind w:left="6120" w:hanging="360"/>
      </w:pPr>
      <w:rPr>
        <w:rFonts w:ascii="Wingdings" w:hAnsi="Wingdings" w:hint="default"/>
      </w:rPr>
    </w:lvl>
  </w:abstractNum>
  <w:abstractNum w:abstractNumId="2" w15:restartNumberingAfterBreak="0">
    <w:nsid w:val="08E44867"/>
    <w:multiLevelType w:val="hybridMultilevel"/>
    <w:tmpl w:val="993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26F72"/>
    <w:multiLevelType w:val="hybridMultilevel"/>
    <w:tmpl w:val="4080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3006"/>
    <w:multiLevelType w:val="hybridMultilevel"/>
    <w:tmpl w:val="16DA14F2"/>
    <w:lvl w:ilvl="0" w:tplc="EEACD134">
      <w:start w:val="1"/>
      <w:numFmt w:val="bullet"/>
      <w:lvlText w:val=""/>
      <w:lvlJc w:val="left"/>
      <w:pPr>
        <w:ind w:left="720" w:hanging="360"/>
      </w:pPr>
      <w:rPr>
        <w:rFonts w:ascii="Symbol" w:hAnsi="Symbol" w:hint="default"/>
      </w:rPr>
    </w:lvl>
    <w:lvl w:ilvl="1" w:tplc="4CC6BD6C">
      <w:start w:val="1"/>
      <w:numFmt w:val="bullet"/>
      <w:lvlText w:val="o"/>
      <w:lvlJc w:val="left"/>
      <w:pPr>
        <w:ind w:left="1440" w:hanging="360"/>
      </w:pPr>
      <w:rPr>
        <w:rFonts w:ascii="Courier New" w:hAnsi="Courier New" w:hint="default"/>
      </w:rPr>
    </w:lvl>
    <w:lvl w:ilvl="2" w:tplc="7AA0D4C0">
      <w:start w:val="1"/>
      <w:numFmt w:val="bullet"/>
      <w:lvlText w:val=""/>
      <w:lvlJc w:val="left"/>
      <w:pPr>
        <w:ind w:left="2160" w:hanging="360"/>
      </w:pPr>
      <w:rPr>
        <w:rFonts w:ascii="Wingdings" w:hAnsi="Wingdings" w:hint="default"/>
      </w:rPr>
    </w:lvl>
    <w:lvl w:ilvl="3" w:tplc="71CC0DAE">
      <w:start w:val="1"/>
      <w:numFmt w:val="bullet"/>
      <w:lvlText w:val=""/>
      <w:lvlJc w:val="left"/>
      <w:pPr>
        <w:ind w:left="2880" w:hanging="360"/>
      </w:pPr>
      <w:rPr>
        <w:rFonts w:ascii="Symbol" w:hAnsi="Symbol" w:hint="default"/>
      </w:rPr>
    </w:lvl>
    <w:lvl w:ilvl="4" w:tplc="11B83AC4">
      <w:start w:val="1"/>
      <w:numFmt w:val="bullet"/>
      <w:lvlText w:val="o"/>
      <w:lvlJc w:val="left"/>
      <w:pPr>
        <w:ind w:left="3600" w:hanging="360"/>
      </w:pPr>
      <w:rPr>
        <w:rFonts w:ascii="Courier New" w:hAnsi="Courier New" w:hint="default"/>
      </w:rPr>
    </w:lvl>
    <w:lvl w:ilvl="5" w:tplc="D9505A42">
      <w:start w:val="1"/>
      <w:numFmt w:val="bullet"/>
      <w:lvlText w:val=""/>
      <w:lvlJc w:val="left"/>
      <w:pPr>
        <w:ind w:left="4320" w:hanging="360"/>
      </w:pPr>
      <w:rPr>
        <w:rFonts w:ascii="Wingdings" w:hAnsi="Wingdings" w:hint="default"/>
      </w:rPr>
    </w:lvl>
    <w:lvl w:ilvl="6" w:tplc="FF7A86F0">
      <w:start w:val="1"/>
      <w:numFmt w:val="bullet"/>
      <w:lvlText w:val=""/>
      <w:lvlJc w:val="left"/>
      <w:pPr>
        <w:ind w:left="5040" w:hanging="360"/>
      </w:pPr>
      <w:rPr>
        <w:rFonts w:ascii="Symbol" w:hAnsi="Symbol" w:hint="default"/>
      </w:rPr>
    </w:lvl>
    <w:lvl w:ilvl="7" w:tplc="4ED22F12">
      <w:start w:val="1"/>
      <w:numFmt w:val="bullet"/>
      <w:lvlText w:val="o"/>
      <w:lvlJc w:val="left"/>
      <w:pPr>
        <w:ind w:left="5760" w:hanging="360"/>
      </w:pPr>
      <w:rPr>
        <w:rFonts w:ascii="Courier New" w:hAnsi="Courier New" w:hint="default"/>
      </w:rPr>
    </w:lvl>
    <w:lvl w:ilvl="8" w:tplc="2C46FEA6">
      <w:start w:val="1"/>
      <w:numFmt w:val="bullet"/>
      <w:lvlText w:val=""/>
      <w:lvlJc w:val="left"/>
      <w:pPr>
        <w:ind w:left="6480" w:hanging="360"/>
      </w:pPr>
      <w:rPr>
        <w:rFonts w:ascii="Wingdings" w:hAnsi="Wingdings" w:hint="default"/>
      </w:rPr>
    </w:lvl>
  </w:abstractNum>
  <w:abstractNum w:abstractNumId="5" w15:restartNumberingAfterBreak="0">
    <w:nsid w:val="13FEF0E7"/>
    <w:multiLevelType w:val="hybridMultilevel"/>
    <w:tmpl w:val="061CA94E"/>
    <w:lvl w:ilvl="0" w:tplc="881C414E">
      <w:start w:val="1"/>
      <w:numFmt w:val="bullet"/>
      <w:lvlText w:val=""/>
      <w:lvlJc w:val="left"/>
      <w:pPr>
        <w:ind w:left="720" w:hanging="360"/>
      </w:pPr>
      <w:rPr>
        <w:rFonts w:ascii="Symbol" w:hAnsi="Symbol" w:hint="default"/>
      </w:rPr>
    </w:lvl>
    <w:lvl w:ilvl="1" w:tplc="A65EFA46">
      <w:start w:val="1"/>
      <w:numFmt w:val="bullet"/>
      <w:lvlText w:val="o"/>
      <w:lvlJc w:val="left"/>
      <w:pPr>
        <w:ind w:left="1440" w:hanging="360"/>
      </w:pPr>
      <w:rPr>
        <w:rFonts w:ascii="Courier New" w:hAnsi="Courier New" w:hint="default"/>
      </w:rPr>
    </w:lvl>
    <w:lvl w:ilvl="2" w:tplc="0DE8C39C">
      <w:start w:val="1"/>
      <w:numFmt w:val="bullet"/>
      <w:lvlText w:val=""/>
      <w:lvlJc w:val="left"/>
      <w:pPr>
        <w:ind w:left="2160" w:hanging="360"/>
      </w:pPr>
      <w:rPr>
        <w:rFonts w:ascii="Wingdings" w:hAnsi="Wingdings" w:hint="default"/>
      </w:rPr>
    </w:lvl>
    <w:lvl w:ilvl="3" w:tplc="CF7E994C">
      <w:start w:val="1"/>
      <w:numFmt w:val="bullet"/>
      <w:lvlText w:val=""/>
      <w:lvlJc w:val="left"/>
      <w:pPr>
        <w:ind w:left="2880" w:hanging="360"/>
      </w:pPr>
      <w:rPr>
        <w:rFonts w:ascii="Symbol" w:hAnsi="Symbol" w:hint="default"/>
      </w:rPr>
    </w:lvl>
    <w:lvl w:ilvl="4" w:tplc="8CA068FC">
      <w:start w:val="1"/>
      <w:numFmt w:val="bullet"/>
      <w:lvlText w:val="o"/>
      <w:lvlJc w:val="left"/>
      <w:pPr>
        <w:ind w:left="3600" w:hanging="360"/>
      </w:pPr>
      <w:rPr>
        <w:rFonts w:ascii="Courier New" w:hAnsi="Courier New" w:hint="default"/>
      </w:rPr>
    </w:lvl>
    <w:lvl w:ilvl="5" w:tplc="1E96D268">
      <w:start w:val="1"/>
      <w:numFmt w:val="bullet"/>
      <w:lvlText w:val=""/>
      <w:lvlJc w:val="left"/>
      <w:pPr>
        <w:ind w:left="4320" w:hanging="360"/>
      </w:pPr>
      <w:rPr>
        <w:rFonts w:ascii="Wingdings" w:hAnsi="Wingdings" w:hint="default"/>
      </w:rPr>
    </w:lvl>
    <w:lvl w:ilvl="6" w:tplc="85463564">
      <w:start w:val="1"/>
      <w:numFmt w:val="bullet"/>
      <w:lvlText w:val=""/>
      <w:lvlJc w:val="left"/>
      <w:pPr>
        <w:ind w:left="5040" w:hanging="360"/>
      </w:pPr>
      <w:rPr>
        <w:rFonts w:ascii="Symbol" w:hAnsi="Symbol" w:hint="default"/>
      </w:rPr>
    </w:lvl>
    <w:lvl w:ilvl="7" w:tplc="A5183C2A">
      <w:start w:val="1"/>
      <w:numFmt w:val="bullet"/>
      <w:lvlText w:val="o"/>
      <w:lvlJc w:val="left"/>
      <w:pPr>
        <w:ind w:left="5760" w:hanging="360"/>
      </w:pPr>
      <w:rPr>
        <w:rFonts w:ascii="Courier New" w:hAnsi="Courier New" w:hint="default"/>
      </w:rPr>
    </w:lvl>
    <w:lvl w:ilvl="8" w:tplc="89D88496">
      <w:start w:val="1"/>
      <w:numFmt w:val="bullet"/>
      <w:lvlText w:val=""/>
      <w:lvlJc w:val="left"/>
      <w:pPr>
        <w:ind w:left="6480" w:hanging="360"/>
      </w:pPr>
      <w:rPr>
        <w:rFonts w:ascii="Wingdings" w:hAnsi="Wingdings" w:hint="default"/>
      </w:rPr>
    </w:lvl>
  </w:abstractNum>
  <w:abstractNum w:abstractNumId="6" w15:restartNumberingAfterBreak="0">
    <w:nsid w:val="17E1DA77"/>
    <w:multiLevelType w:val="hybridMultilevel"/>
    <w:tmpl w:val="FA5A0C56"/>
    <w:lvl w:ilvl="0" w:tplc="BA3C441E">
      <w:start w:val="1"/>
      <w:numFmt w:val="bullet"/>
      <w:lvlText w:val=""/>
      <w:lvlJc w:val="left"/>
      <w:pPr>
        <w:ind w:left="720" w:hanging="360"/>
      </w:pPr>
      <w:rPr>
        <w:rFonts w:ascii="Symbol" w:hAnsi="Symbol" w:hint="default"/>
      </w:rPr>
    </w:lvl>
    <w:lvl w:ilvl="1" w:tplc="B1A0EA72">
      <w:start w:val="1"/>
      <w:numFmt w:val="bullet"/>
      <w:lvlText w:val="o"/>
      <w:lvlJc w:val="left"/>
      <w:pPr>
        <w:ind w:left="1440" w:hanging="360"/>
      </w:pPr>
      <w:rPr>
        <w:rFonts w:ascii="Courier New" w:hAnsi="Courier New" w:hint="default"/>
      </w:rPr>
    </w:lvl>
    <w:lvl w:ilvl="2" w:tplc="9E546C90">
      <w:start w:val="1"/>
      <w:numFmt w:val="bullet"/>
      <w:lvlText w:val=""/>
      <w:lvlJc w:val="left"/>
      <w:pPr>
        <w:ind w:left="2160" w:hanging="360"/>
      </w:pPr>
      <w:rPr>
        <w:rFonts w:ascii="Wingdings" w:hAnsi="Wingdings" w:hint="default"/>
      </w:rPr>
    </w:lvl>
    <w:lvl w:ilvl="3" w:tplc="5BE021E4">
      <w:start w:val="1"/>
      <w:numFmt w:val="bullet"/>
      <w:lvlText w:val=""/>
      <w:lvlJc w:val="left"/>
      <w:pPr>
        <w:ind w:left="2880" w:hanging="360"/>
      </w:pPr>
      <w:rPr>
        <w:rFonts w:ascii="Symbol" w:hAnsi="Symbol" w:hint="default"/>
      </w:rPr>
    </w:lvl>
    <w:lvl w:ilvl="4" w:tplc="A154880C">
      <w:start w:val="1"/>
      <w:numFmt w:val="bullet"/>
      <w:lvlText w:val="o"/>
      <w:lvlJc w:val="left"/>
      <w:pPr>
        <w:ind w:left="3600" w:hanging="360"/>
      </w:pPr>
      <w:rPr>
        <w:rFonts w:ascii="Courier New" w:hAnsi="Courier New" w:hint="default"/>
      </w:rPr>
    </w:lvl>
    <w:lvl w:ilvl="5" w:tplc="D78810EA">
      <w:start w:val="1"/>
      <w:numFmt w:val="bullet"/>
      <w:lvlText w:val=""/>
      <w:lvlJc w:val="left"/>
      <w:pPr>
        <w:ind w:left="4320" w:hanging="360"/>
      </w:pPr>
      <w:rPr>
        <w:rFonts w:ascii="Wingdings" w:hAnsi="Wingdings" w:hint="default"/>
      </w:rPr>
    </w:lvl>
    <w:lvl w:ilvl="6" w:tplc="6352D494">
      <w:start w:val="1"/>
      <w:numFmt w:val="bullet"/>
      <w:lvlText w:val=""/>
      <w:lvlJc w:val="left"/>
      <w:pPr>
        <w:ind w:left="5040" w:hanging="360"/>
      </w:pPr>
      <w:rPr>
        <w:rFonts w:ascii="Symbol" w:hAnsi="Symbol" w:hint="default"/>
      </w:rPr>
    </w:lvl>
    <w:lvl w:ilvl="7" w:tplc="C1B23F88">
      <w:start w:val="1"/>
      <w:numFmt w:val="bullet"/>
      <w:lvlText w:val="o"/>
      <w:lvlJc w:val="left"/>
      <w:pPr>
        <w:ind w:left="5760" w:hanging="360"/>
      </w:pPr>
      <w:rPr>
        <w:rFonts w:ascii="Courier New" w:hAnsi="Courier New" w:hint="default"/>
      </w:rPr>
    </w:lvl>
    <w:lvl w:ilvl="8" w:tplc="D55A69C0">
      <w:start w:val="1"/>
      <w:numFmt w:val="bullet"/>
      <w:lvlText w:val=""/>
      <w:lvlJc w:val="left"/>
      <w:pPr>
        <w:ind w:left="6480" w:hanging="360"/>
      </w:pPr>
      <w:rPr>
        <w:rFonts w:ascii="Wingdings" w:hAnsi="Wingdings" w:hint="default"/>
      </w:rPr>
    </w:lvl>
  </w:abstractNum>
  <w:abstractNum w:abstractNumId="7" w15:restartNumberingAfterBreak="0">
    <w:nsid w:val="18DFFC26"/>
    <w:multiLevelType w:val="hybridMultilevel"/>
    <w:tmpl w:val="22627076"/>
    <w:lvl w:ilvl="0" w:tplc="E56CE25E">
      <w:start w:val="1"/>
      <w:numFmt w:val="bullet"/>
      <w:lvlText w:val=""/>
      <w:lvlJc w:val="left"/>
      <w:pPr>
        <w:ind w:left="360" w:hanging="360"/>
      </w:pPr>
      <w:rPr>
        <w:rFonts w:ascii="Symbol" w:hAnsi="Symbol" w:hint="default"/>
      </w:rPr>
    </w:lvl>
    <w:lvl w:ilvl="1" w:tplc="F45E8258">
      <w:start w:val="1"/>
      <w:numFmt w:val="bullet"/>
      <w:lvlText w:val="o"/>
      <w:lvlJc w:val="left"/>
      <w:pPr>
        <w:ind w:left="1080" w:hanging="360"/>
      </w:pPr>
      <w:rPr>
        <w:rFonts w:ascii="Courier New" w:hAnsi="Courier New" w:hint="default"/>
      </w:rPr>
    </w:lvl>
    <w:lvl w:ilvl="2" w:tplc="D94858B8">
      <w:start w:val="1"/>
      <w:numFmt w:val="bullet"/>
      <w:lvlText w:val=""/>
      <w:lvlJc w:val="left"/>
      <w:pPr>
        <w:ind w:left="1800" w:hanging="360"/>
      </w:pPr>
      <w:rPr>
        <w:rFonts w:ascii="Wingdings" w:hAnsi="Wingdings" w:hint="default"/>
      </w:rPr>
    </w:lvl>
    <w:lvl w:ilvl="3" w:tplc="1C6006D6">
      <w:start w:val="1"/>
      <w:numFmt w:val="bullet"/>
      <w:lvlText w:val=""/>
      <w:lvlJc w:val="left"/>
      <w:pPr>
        <w:ind w:left="2520" w:hanging="360"/>
      </w:pPr>
      <w:rPr>
        <w:rFonts w:ascii="Symbol" w:hAnsi="Symbol" w:hint="default"/>
      </w:rPr>
    </w:lvl>
    <w:lvl w:ilvl="4" w:tplc="8D7A092C">
      <w:start w:val="1"/>
      <w:numFmt w:val="bullet"/>
      <w:lvlText w:val="o"/>
      <w:lvlJc w:val="left"/>
      <w:pPr>
        <w:ind w:left="3240" w:hanging="360"/>
      </w:pPr>
      <w:rPr>
        <w:rFonts w:ascii="Courier New" w:hAnsi="Courier New" w:hint="default"/>
      </w:rPr>
    </w:lvl>
    <w:lvl w:ilvl="5" w:tplc="5734F37A">
      <w:start w:val="1"/>
      <w:numFmt w:val="bullet"/>
      <w:lvlText w:val=""/>
      <w:lvlJc w:val="left"/>
      <w:pPr>
        <w:ind w:left="3960" w:hanging="360"/>
      </w:pPr>
      <w:rPr>
        <w:rFonts w:ascii="Wingdings" w:hAnsi="Wingdings" w:hint="default"/>
      </w:rPr>
    </w:lvl>
    <w:lvl w:ilvl="6" w:tplc="4732AF0E">
      <w:start w:val="1"/>
      <w:numFmt w:val="bullet"/>
      <w:lvlText w:val=""/>
      <w:lvlJc w:val="left"/>
      <w:pPr>
        <w:ind w:left="4680" w:hanging="360"/>
      </w:pPr>
      <w:rPr>
        <w:rFonts w:ascii="Symbol" w:hAnsi="Symbol" w:hint="default"/>
      </w:rPr>
    </w:lvl>
    <w:lvl w:ilvl="7" w:tplc="1E04E3DA">
      <w:start w:val="1"/>
      <w:numFmt w:val="bullet"/>
      <w:lvlText w:val="o"/>
      <w:lvlJc w:val="left"/>
      <w:pPr>
        <w:ind w:left="5400" w:hanging="360"/>
      </w:pPr>
      <w:rPr>
        <w:rFonts w:ascii="Courier New" w:hAnsi="Courier New" w:hint="default"/>
      </w:rPr>
    </w:lvl>
    <w:lvl w:ilvl="8" w:tplc="E066431C">
      <w:start w:val="1"/>
      <w:numFmt w:val="bullet"/>
      <w:lvlText w:val=""/>
      <w:lvlJc w:val="left"/>
      <w:pPr>
        <w:ind w:left="6120" w:hanging="360"/>
      </w:pPr>
      <w:rPr>
        <w:rFonts w:ascii="Wingdings" w:hAnsi="Wingdings" w:hint="default"/>
      </w:rPr>
    </w:lvl>
  </w:abstractNum>
  <w:abstractNum w:abstractNumId="8" w15:restartNumberingAfterBreak="0">
    <w:nsid w:val="19FA39D2"/>
    <w:multiLevelType w:val="hybridMultilevel"/>
    <w:tmpl w:val="C22CB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B129B"/>
    <w:multiLevelType w:val="hybridMultilevel"/>
    <w:tmpl w:val="09229916"/>
    <w:lvl w:ilvl="0" w:tplc="4BB48A3E">
      <w:start w:val="1"/>
      <w:numFmt w:val="bullet"/>
      <w:lvlText w:val=""/>
      <w:lvlJc w:val="left"/>
      <w:pPr>
        <w:ind w:left="360" w:hanging="360"/>
      </w:pPr>
      <w:rPr>
        <w:rFonts w:ascii="Symbol" w:hAnsi="Symbol" w:hint="default"/>
      </w:rPr>
    </w:lvl>
    <w:lvl w:ilvl="1" w:tplc="D36C51BE">
      <w:start w:val="1"/>
      <w:numFmt w:val="bullet"/>
      <w:lvlText w:val="o"/>
      <w:lvlJc w:val="left"/>
      <w:pPr>
        <w:ind w:left="1080" w:hanging="360"/>
      </w:pPr>
      <w:rPr>
        <w:rFonts w:ascii="Courier New" w:hAnsi="Courier New" w:hint="default"/>
      </w:rPr>
    </w:lvl>
    <w:lvl w:ilvl="2" w:tplc="547EC07E">
      <w:start w:val="1"/>
      <w:numFmt w:val="bullet"/>
      <w:lvlText w:val=""/>
      <w:lvlJc w:val="left"/>
      <w:pPr>
        <w:ind w:left="1800" w:hanging="360"/>
      </w:pPr>
      <w:rPr>
        <w:rFonts w:ascii="Wingdings" w:hAnsi="Wingdings" w:hint="default"/>
      </w:rPr>
    </w:lvl>
    <w:lvl w:ilvl="3" w:tplc="5CD0F492">
      <w:start w:val="1"/>
      <w:numFmt w:val="bullet"/>
      <w:lvlText w:val=""/>
      <w:lvlJc w:val="left"/>
      <w:pPr>
        <w:ind w:left="2520" w:hanging="360"/>
      </w:pPr>
      <w:rPr>
        <w:rFonts w:ascii="Symbol" w:hAnsi="Symbol" w:hint="default"/>
      </w:rPr>
    </w:lvl>
    <w:lvl w:ilvl="4" w:tplc="50D46466">
      <w:start w:val="1"/>
      <w:numFmt w:val="bullet"/>
      <w:lvlText w:val="o"/>
      <w:lvlJc w:val="left"/>
      <w:pPr>
        <w:ind w:left="3240" w:hanging="360"/>
      </w:pPr>
      <w:rPr>
        <w:rFonts w:ascii="Courier New" w:hAnsi="Courier New" w:hint="default"/>
      </w:rPr>
    </w:lvl>
    <w:lvl w:ilvl="5" w:tplc="228463CC">
      <w:start w:val="1"/>
      <w:numFmt w:val="bullet"/>
      <w:lvlText w:val=""/>
      <w:lvlJc w:val="left"/>
      <w:pPr>
        <w:ind w:left="3960" w:hanging="360"/>
      </w:pPr>
      <w:rPr>
        <w:rFonts w:ascii="Wingdings" w:hAnsi="Wingdings" w:hint="default"/>
      </w:rPr>
    </w:lvl>
    <w:lvl w:ilvl="6" w:tplc="23F4C4BE">
      <w:start w:val="1"/>
      <w:numFmt w:val="bullet"/>
      <w:lvlText w:val=""/>
      <w:lvlJc w:val="left"/>
      <w:pPr>
        <w:ind w:left="4680" w:hanging="360"/>
      </w:pPr>
      <w:rPr>
        <w:rFonts w:ascii="Symbol" w:hAnsi="Symbol" w:hint="default"/>
      </w:rPr>
    </w:lvl>
    <w:lvl w:ilvl="7" w:tplc="6414F232">
      <w:start w:val="1"/>
      <w:numFmt w:val="bullet"/>
      <w:lvlText w:val="o"/>
      <w:lvlJc w:val="left"/>
      <w:pPr>
        <w:ind w:left="5400" w:hanging="360"/>
      </w:pPr>
      <w:rPr>
        <w:rFonts w:ascii="Courier New" w:hAnsi="Courier New" w:hint="default"/>
      </w:rPr>
    </w:lvl>
    <w:lvl w:ilvl="8" w:tplc="F2B82A74">
      <w:start w:val="1"/>
      <w:numFmt w:val="bullet"/>
      <w:lvlText w:val=""/>
      <w:lvlJc w:val="left"/>
      <w:pPr>
        <w:ind w:left="6120" w:hanging="360"/>
      </w:pPr>
      <w:rPr>
        <w:rFonts w:ascii="Wingdings" w:hAnsi="Wingdings" w:hint="default"/>
      </w:rPr>
    </w:lvl>
  </w:abstractNum>
  <w:abstractNum w:abstractNumId="10" w15:restartNumberingAfterBreak="0">
    <w:nsid w:val="200A6943"/>
    <w:multiLevelType w:val="hybridMultilevel"/>
    <w:tmpl w:val="01347D1C"/>
    <w:lvl w:ilvl="0" w:tplc="2B66538E">
      <w:start w:val="1"/>
      <w:numFmt w:val="bullet"/>
      <w:lvlText w:val="•"/>
      <w:lvlJc w:val="left"/>
      <w:pPr>
        <w:ind w:left="720" w:hanging="360"/>
      </w:pPr>
    </w:lvl>
    <w:lvl w:ilvl="1" w:tplc="DE2CE86E">
      <w:numFmt w:val="decimal"/>
      <w:lvlText w:val=""/>
      <w:lvlJc w:val="left"/>
    </w:lvl>
    <w:lvl w:ilvl="2" w:tplc="767E6294">
      <w:numFmt w:val="decimal"/>
      <w:lvlText w:val=""/>
      <w:lvlJc w:val="left"/>
    </w:lvl>
    <w:lvl w:ilvl="3" w:tplc="5D06099A">
      <w:numFmt w:val="decimal"/>
      <w:lvlText w:val=""/>
      <w:lvlJc w:val="left"/>
    </w:lvl>
    <w:lvl w:ilvl="4" w:tplc="A5E4ADBA">
      <w:numFmt w:val="decimal"/>
      <w:lvlText w:val=""/>
      <w:lvlJc w:val="left"/>
    </w:lvl>
    <w:lvl w:ilvl="5" w:tplc="6A5E3884">
      <w:numFmt w:val="decimal"/>
      <w:lvlText w:val=""/>
      <w:lvlJc w:val="left"/>
    </w:lvl>
    <w:lvl w:ilvl="6" w:tplc="AF4EE248">
      <w:numFmt w:val="decimal"/>
      <w:lvlText w:val=""/>
      <w:lvlJc w:val="left"/>
    </w:lvl>
    <w:lvl w:ilvl="7" w:tplc="A8DA39B0">
      <w:numFmt w:val="decimal"/>
      <w:lvlText w:val=""/>
      <w:lvlJc w:val="left"/>
    </w:lvl>
    <w:lvl w:ilvl="8" w:tplc="9C9EF224">
      <w:numFmt w:val="decimal"/>
      <w:lvlText w:val=""/>
      <w:lvlJc w:val="left"/>
    </w:lvl>
  </w:abstractNum>
  <w:abstractNum w:abstractNumId="11" w15:restartNumberingAfterBreak="0">
    <w:nsid w:val="2148EFF8"/>
    <w:multiLevelType w:val="hybridMultilevel"/>
    <w:tmpl w:val="35A8E29E"/>
    <w:lvl w:ilvl="0" w:tplc="488C957E">
      <w:start w:val="1"/>
      <w:numFmt w:val="bullet"/>
      <w:lvlText w:val=""/>
      <w:lvlJc w:val="left"/>
      <w:pPr>
        <w:ind w:left="360" w:hanging="360"/>
      </w:pPr>
      <w:rPr>
        <w:rFonts w:ascii="Symbol" w:hAnsi="Symbol" w:hint="default"/>
      </w:rPr>
    </w:lvl>
    <w:lvl w:ilvl="1" w:tplc="7958B35A">
      <w:start w:val="1"/>
      <w:numFmt w:val="bullet"/>
      <w:lvlText w:val="o"/>
      <w:lvlJc w:val="left"/>
      <w:pPr>
        <w:ind w:left="1080" w:hanging="360"/>
      </w:pPr>
      <w:rPr>
        <w:rFonts w:ascii="Courier New" w:hAnsi="Courier New" w:hint="default"/>
      </w:rPr>
    </w:lvl>
    <w:lvl w:ilvl="2" w:tplc="207C829A">
      <w:start w:val="1"/>
      <w:numFmt w:val="bullet"/>
      <w:lvlText w:val=""/>
      <w:lvlJc w:val="left"/>
      <w:pPr>
        <w:ind w:left="1800" w:hanging="360"/>
      </w:pPr>
      <w:rPr>
        <w:rFonts w:ascii="Wingdings" w:hAnsi="Wingdings" w:hint="default"/>
      </w:rPr>
    </w:lvl>
    <w:lvl w:ilvl="3" w:tplc="CF0ECDF0">
      <w:start w:val="1"/>
      <w:numFmt w:val="bullet"/>
      <w:lvlText w:val=""/>
      <w:lvlJc w:val="left"/>
      <w:pPr>
        <w:ind w:left="2520" w:hanging="360"/>
      </w:pPr>
      <w:rPr>
        <w:rFonts w:ascii="Symbol" w:hAnsi="Symbol" w:hint="default"/>
      </w:rPr>
    </w:lvl>
    <w:lvl w:ilvl="4" w:tplc="2CC024EC">
      <w:start w:val="1"/>
      <w:numFmt w:val="bullet"/>
      <w:lvlText w:val="o"/>
      <w:lvlJc w:val="left"/>
      <w:pPr>
        <w:ind w:left="3240" w:hanging="360"/>
      </w:pPr>
      <w:rPr>
        <w:rFonts w:ascii="Courier New" w:hAnsi="Courier New" w:hint="default"/>
      </w:rPr>
    </w:lvl>
    <w:lvl w:ilvl="5" w:tplc="C41AD2B8">
      <w:start w:val="1"/>
      <w:numFmt w:val="bullet"/>
      <w:lvlText w:val=""/>
      <w:lvlJc w:val="left"/>
      <w:pPr>
        <w:ind w:left="3960" w:hanging="360"/>
      </w:pPr>
      <w:rPr>
        <w:rFonts w:ascii="Wingdings" w:hAnsi="Wingdings" w:hint="default"/>
      </w:rPr>
    </w:lvl>
    <w:lvl w:ilvl="6" w:tplc="9072EE3A">
      <w:start w:val="1"/>
      <w:numFmt w:val="bullet"/>
      <w:lvlText w:val=""/>
      <w:lvlJc w:val="left"/>
      <w:pPr>
        <w:ind w:left="4680" w:hanging="360"/>
      </w:pPr>
      <w:rPr>
        <w:rFonts w:ascii="Symbol" w:hAnsi="Symbol" w:hint="default"/>
      </w:rPr>
    </w:lvl>
    <w:lvl w:ilvl="7" w:tplc="E288FE40">
      <w:start w:val="1"/>
      <w:numFmt w:val="bullet"/>
      <w:lvlText w:val="o"/>
      <w:lvlJc w:val="left"/>
      <w:pPr>
        <w:ind w:left="5400" w:hanging="360"/>
      </w:pPr>
      <w:rPr>
        <w:rFonts w:ascii="Courier New" w:hAnsi="Courier New" w:hint="default"/>
      </w:rPr>
    </w:lvl>
    <w:lvl w:ilvl="8" w:tplc="74EE4EAC">
      <w:start w:val="1"/>
      <w:numFmt w:val="bullet"/>
      <w:lvlText w:val=""/>
      <w:lvlJc w:val="left"/>
      <w:pPr>
        <w:ind w:left="6120" w:hanging="360"/>
      </w:pPr>
      <w:rPr>
        <w:rFonts w:ascii="Wingdings" w:hAnsi="Wingdings" w:hint="default"/>
      </w:rPr>
    </w:lvl>
  </w:abstractNum>
  <w:abstractNum w:abstractNumId="12" w15:restartNumberingAfterBreak="0">
    <w:nsid w:val="214D4223"/>
    <w:multiLevelType w:val="hybridMultilevel"/>
    <w:tmpl w:val="C68EDDB6"/>
    <w:lvl w:ilvl="0" w:tplc="E29E753A">
      <w:start w:val="2"/>
      <w:numFmt w:val="bullet"/>
      <w:lvlText w:val="-"/>
      <w:lvlJc w:val="left"/>
      <w:pPr>
        <w:ind w:left="720" w:hanging="360"/>
      </w:pPr>
      <w:rPr>
        <w:rFonts w:ascii="Bookman Old Style" w:eastAsia="Cambria" w:hAnsi="Bookman Old Style"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7F325"/>
    <w:multiLevelType w:val="hybridMultilevel"/>
    <w:tmpl w:val="DFEA966C"/>
    <w:lvl w:ilvl="0" w:tplc="1818AF6C">
      <w:start w:val="1"/>
      <w:numFmt w:val="bullet"/>
      <w:lvlText w:val=""/>
      <w:lvlJc w:val="left"/>
      <w:pPr>
        <w:ind w:left="360" w:hanging="360"/>
      </w:pPr>
      <w:rPr>
        <w:rFonts w:ascii="Symbol" w:hAnsi="Symbol" w:hint="default"/>
      </w:rPr>
    </w:lvl>
    <w:lvl w:ilvl="1" w:tplc="6F7A22BE">
      <w:start w:val="1"/>
      <w:numFmt w:val="bullet"/>
      <w:lvlText w:val="o"/>
      <w:lvlJc w:val="left"/>
      <w:pPr>
        <w:ind w:left="1080" w:hanging="360"/>
      </w:pPr>
      <w:rPr>
        <w:rFonts w:ascii="Courier New" w:hAnsi="Courier New" w:hint="default"/>
      </w:rPr>
    </w:lvl>
    <w:lvl w:ilvl="2" w:tplc="3788BD5C">
      <w:start w:val="1"/>
      <w:numFmt w:val="bullet"/>
      <w:lvlText w:val=""/>
      <w:lvlJc w:val="left"/>
      <w:pPr>
        <w:ind w:left="1800" w:hanging="360"/>
      </w:pPr>
      <w:rPr>
        <w:rFonts w:ascii="Wingdings" w:hAnsi="Wingdings" w:hint="default"/>
      </w:rPr>
    </w:lvl>
    <w:lvl w:ilvl="3" w:tplc="07640BA2">
      <w:start w:val="1"/>
      <w:numFmt w:val="bullet"/>
      <w:lvlText w:val=""/>
      <w:lvlJc w:val="left"/>
      <w:pPr>
        <w:ind w:left="2520" w:hanging="360"/>
      </w:pPr>
      <w:rPr>
        <w:rFonts w:ascii="Symbol" w:hAnsi="Symbol" w:hint="default"/>
      </w:rPr>
    </w:lvl>
    <w:lvl w:ilvl="4" w:tplc="BC941534">
      <w:start w:val="1"/>
      <w:numFmt w:val="bullet"/>
      <w:lvlText w:val="o"/>
      <w:lvlJc w:val="left"/>
      <w:pPr>
        <w:ind w:left="3240" w:hanging="360"/>
      </w:pPr>
      <w:rPr>
        <w:rFonts w:ascii="Courier New" w:hAnsi="Courier New" w:hint="default"/>
      </w:rPr>
    </w:lvl>
    <w:lvl w:ilvl="5" w:tplc="C0AC15C2">
      <w:start w:val="1"/>
      <w:numFmt w:val="bullet"/>
      <w:lvlText w:val=""/>
      <w:lvlJc w:val="left"/>
      <w:pPr>
        <w:ind w:left="3960" w:hanging="360"/>
      </w:pPr>
      <w:rPr>
        <w:rFonts w:ascii="Wingdings" w:hAnsi="Wingdings" w:hint="default"/>
      </w:rPr>
    </w:lvl>
    <w:lvl w:ilvl="6" w:tplc="2C923738">
      <w:start w:val="1"/>
      <w:numFmt w:val="bullet"/>
      <w:lvlText w:val=""/>
      <w:lvlJc w:val="left"/>
      <w:pPr>
        <w:ind w:left="4680" w:hanging="360"/>
      </w:pPr>
      <w:rPr>
        <w:rFonts w:ascii="Symbol" w:hAnsi="Symbol" w:hint="default"/>
      </w:rPr>
    </w:lvl>
    <w:lvl w:ilvl="7" w:tplc="B3787EF8">
      <w:start w:val="1"/>
      <w:numFmt w:val="bullet"/>
      <w:lvlText w:val="o"/>
      <w:lvlJc w:val="left"/>
      <w:pPr>
        <w:ind w:left="5400" w:hanging="360"/>
      </w:pPr>
      <w:rPr>
        <w:rFonts w:ascii="Courier New" w:hAnsi="Courier New" w:hint="default"/>
      </w:rPr>
    </w:lvl>
    <w:lvl w:ilvl="8" w:tplc="622E195A">
      <w:start w:val="1"/>
      <w:numFmt w:val="bullet"/>
      <w:lvlText w:val=""/>
      <w:lvlJc w:val="left"/>
      <w:pPr>
        <w:ind w:left="6120" w:hanging="360"/>
      </w:pPr>
      <w:rPr>
        <w:rFonts w:ascii="Wingdings" w:hAnsi="Wingdings" w:hint="default"/>
      </w:rPr>
    </w:lvl>
  </w:abstractNum>
  <w:abstractNum w:abstractNumId="14" w15:restartNumberingAfterBreak="0">
    <w:nsid w:val="23F474CD"/>
    <w:multiLevelType w:val="multilevel"/>
    <w:tmpl w:val="5094D04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75F2AE4"/>
    <w:multiLevelType w:val="hybridMultilevel"/>
    <w:tmpl w:val="4F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2DECE"/>
    <w:multiLevelType w:val="hybridMultilevel"/>
    <w:tmpl w:val="FFFFFFFF"/>
    <w:lvl w:ilvl="0" w:tplc="4864A030">
      <w:start w:val="1"/>
      <w:numFmt w:val="bullet"/>
      <w:lvlText w:val="•"/>
      <w:lvlJc w:val="left"/>
      <w:pPr>
        <w:ind w:left="720" w:hanging="360"/>
      </w:pPr>
    </w:lvl>
    <w:lvl w:ilvl="1" w:tplc="FDC4FE1C">
      <w:numFmt w:val="decimal"/>
      <w:lvlText w:val=""/>
      <w:lvlJc w:val="left"/>
    </w:lvl>
    <w:lvl w:ilvl="2" w:tplc="2166964A">
      <w:numFmt w:val="decimal"/>
      <w:lvlText w:val=""/>
      <w:lvlJc w:val="left"/>
    </w:lvl>
    <w:lvl w:ilvl="3" w:tplc="0528207A">
      <w:numFmt w:val="decimal"/>
      <w:lvlText w:val=""/>
      <w:lvlJc w:val="left"/>
    </w:lvl>
    <w:lvl w:ilvl="4" w:tplc="3B06C0F0">
      <w:numFmt w:val="decimal"/>
      <w:lvlText w:val=""/>
      <w:lvlJc w:val="left"/>
    </w:lvl>
    <w:lvl w:ilvl="5" w:tplc="60806BBE">
      <w:numFmt w:val="decimal"/>
      <w:lvlText w:val=""/>
      <w:lvlJc w:val="left"/>
    </w:lvl>
    <w:lvl w:ilvl="6" w:tplc="EC6EEB16">
      <w:numFmt w:val="decimal"/>
      <w:lvlText w:val=""/>
      <w:lvlJc w:val="left"/>
    </w:lvl>
    <w:lvl w:ilvl="7" w:tplc="6C0432B2">
      <w:numFmt w:val="decimal"/>
      <w:lvlText w:val=""/>
      <w:lvlJc w:val="left"/>
    </w:lvl>
    <w:lvl w:ilvl="8" w:tplc="5FEA1746">
      <w:numFmt w:val="decimal"/>
      <w:lvlText w:val=""/>
      <w:lvlJc w:val="left"/>
    </w:lvl>
  </w:abstractNum>
  <w:abstractNum w:abstractNumId="17" w15:restartNumberingAfterBreak="0">
    <w:nsid w:val="2C619C5B"/>
    <w:multiLevelType w:val="hybridMultilevel"/>
    <w:tmpl w:val="1C50918A"/>
    <w:lvl w:ilvl="0" w:tplc="D05E2708">
      <w:start w:val="1"/>
      <w:numFmt w:val="bullet"/>
      <w:lvlText w:val=""/>
      <w:lvlJc w:val="left"/>
      <w:pPr>
        <w:ind w:left="360" w:hanging="360"/>
      </w:pPr>
      <w:rPr>
        <w:rFonts w:ascii="Symbol" w:hAnsi="Symbol" w:hint="default"/>
      </w:rPr>
    </w:lvl>
    <w:lvl w:ilvl="1" w:tplc="D068E432">
      <w:start w:val="1"/>
      <w:numFmt w:val="bullet"/>
      <w:lvlText w:val="o"/>
      <w:lvlJc w:val="left"/>
      <w:pPr>
        <w:ind w:left="1080" w:hanging="360"/>
      </w:pPr>
      <w:rPr>
        <w:rFonts w:ascii="Courier New" w:hAnsi="Courier New" w:hint="default"/>
      </w:rPr>
    </w:lvl>
    <w:lvl w:ilvl="2" w:tplc="E846849A">
      <w:start w:val="1"/>
      <w:numFmt w:val="bullet"/>
      <w:lvlText w:val=""/>
      <w:lvlJc w:val="left"/>
      <w:pPr>
        <w:ind w:left="1800" w:hanging="360"/>
      </w:pPr>
      <w:rPr>
        <w:rFonts w:ascii="Wingdings" w:hAnsi="Wingdings" w:hint="default"/>
      </w:rPr>
    </w:lvl>
    <w:lvl w:ilvl="3" w:tplc="82F80B56">
      <w:start w:val="1"/>
      <w:numFmt w:val="bullet"/>
      <w:lvlText w:val=""/>
      <w:lvlJc w:val="left"/>
      <w:pPr>
        <w:ind w:left="2520" w:hanging="360"/>
      </w:pPr>
      <w:rPr>
        <w:rFonts w:ascii="Symbol" w:hAnsi="Symbol" w:hint="default"/>
      </w:rPr>
    </w:lvl>
    <w:lvl w:ilvl="4" w:tplc="588E969C">
      <w:start w:val="1"/>
      <w:numFmt w:val="bullet"/>
      <w:lvlText w:val="o"/>
      <w:lvlJc w:val="left"/>
      <w:pPr>
        <w:ind w:left="3240" w:hanging="360"/>
      </w:pPr>
      <w:rPr>
        <w:rFonts w:ascii="Courier New" w:hAnsi="Courier New" w:hint="default"/>
      </w:rPr>
    </w:lvl>
    <w:lvl w:ilvl="5" w:tplc="6E46003C">
      <w:start w:val="1"/>
      <w:numFmt w:val="bullet"/>
      <w:lvlText w:val=""/>
      <w:lvlJc w:val="left"/>
      <w:pPr>
        <w:ind w:left="3960" w:hanging="360"/>
      </w:pPr>
      <w:rPr>
        <w:rFonts w:ascii="Wingdings" w:hAnsi="Wingdings" w:hint="default"/>
      </w:rPr>
    </w:lvl>
    <w:lvl w:ilvl="6" w:tplc="6688F26E">
      <w:start w:val="1"/>
      <w:numFmt w:val="bullet"/>
      <w:lvlText w:val=""/>
      <w:lvlJc w:val="left"/>
      <w:pPr>
        <w:ind w:left="4680" w:hanging="360"/>
      </w:pPr>
      <w:rPr>
        <w:rFonts w:ascii="Symbol" w:hAnsi="Symbol" w:hint="default"/>
      </w:rPr>
    </w:lvl>
    <w:lvl w:ilvl="7" w:tplc="0BD2CA8C">
      <w:start w:val="1"/>
      <w:numFmt w:val="bullet"/>
      <w:lvlText w:val="o"/>
      <w:lvlJc w:val="left"/>
      <w:pPr>
        <w:ind w:left="5400" w:hanging="360"/>
      </w:pPr>
      <w:rPr>
        <w:rFonts w:ascii="Courier New" w:hAnsi="Courier New" w:hint="default"/>
      </w:rPr>
    </w:lvl>
    <w:lvl w:ilvl="8" w:tplc="E6E6A028">
      <w:start w:val="1"/>
      <w:numFmt w:val="bullet"/>
      <w:lvlText w:val=""/>
      <w:lvlJc w:val="left"/>
      <w:pPr>
        <w:ind w:left="6120" w:hanging="360"/>
      </w:pPr>
      <w:rPr>
        <w:rFonts w:ascii="Wingdings" w:hAnsi="Wingdings" w:hint="default"/>
      </w:rPr>
    </w:lvl>
  </w:abstractNum>
  <w:abstractNum w:abstractNumId="18" w15:restartNumberingAfterBreak="0">
    <w:nsid w:val="2DAF5BEE"/>
    <w:multiLevelType w:val="multilevel"/>
    <w:tmpl w:val="CAE2E0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696B8"/>
    <w:multiLevelType w:val="hybridMultilevel"/>
    <w:tmpl w:val="389C4750"/>
    <w:lvl w:ilvl="0" w:tplc="318404CC">
      <w:start w:val="1"/>
      <w:numFmt w:val="bullet"/>
      <w:lvlText w:val=""/>
      <w:lvlJc w:val="left"/>
      <w:pPr>
        <w:ind w:left="360" w:hanging="360"/>
      </w:pPr>
      <w:rPr>
        <w:rFonts w:ascii="Symbol" w:hAnsi="Symbol" w:hint="default"/>
      </w:rPr>
    </w:lvl>
    <w:lvl w:ilvl="1" w:tplc="86C0EB68">
      <w:start w:val="1"/>
      <w:numFmt w:val="bullet"/>
      <w:lvlText w:val="o"/>
      <w:lvlJc w:val="left"/>
      <w:pPr>
        <w:ind w:left="1080" w:hanging="360"/>
      </w:pPr>
      <w:rPr>
        <w:rFonts w:ascii="Courier New" w:hAnsi="Courier New" w:hint="default"/>
      </w:rPr>
    </w:lvl>
    <w:lvl w:ilvl="2" w:tplc="B456DFD6">
      <w:start w:val="1"/>
      <w:numFmt w:val="bullet"/>
      <w:lvlText w:val=""/>
      <w:lvlJc w:val="left"/>
      <w:pPr>
        <w:ind w:left="1800" w:hanging="360"/>
      </w:pPr>
      <w:rPr>
        <w:rFonts w:ascii="Wingdings" w:hAnsi="Wingdings" w:hint="default"/>
      </w:rPr>
    </w:lvl>
    <w:lvl w:ilvl="3" w:tplc="967825BC">
      <w:start w:val="1"/>
      <w:numFmt w:val="bullet"/>
      <w:lvlText w:val=""/>
      <w:lvlJc w:val="left"/>
      <w:pPr>
        <w:ind w:left="2520" w:hanging="360"/>
      </w:pPr>
      <w:rPr>
        <w:rFonts w:ascii="Symbol" w:hAnsi="Symbol" w:hint="default"/>
      </w:rPr>
    </w:lvl>
    <w:lvl w:ilvl="4" w:tplc="E2928DD4">
      <w:start w:val="1"/>
      <w:numFmt w:val="bullet"/>
      <w:lvlText w:val="o"/>
      <w:lvlJc w:val="left"/>
      <w:pPr>
        <w:ind w:left="3240" w:hanging="360"/>
      </w:pPr>
      <w:rPr>
        <w:rFonts w:ascii="Courier New" w:hAnsi="Courier New" w:hint="default"/>
      </w:rPr>
    </w:lvl>
    <w:lvl w:ilvl="5" w:tplc="95880268">
      <w:start w:val="1"/>
      <w:numFmt w:val="bullet"/>
      <w:lvlText w:val=""/>
      <w:lvlJc w:val="left"/>
      <w:pPr>
        <w:ind w:left="3960" w:hanging="360"/>
      </w:pPr>
      <w:rPr>
        <w:rFonts w:ascii="Wingdings" w:hAnsi="Wingdings" w:hint="default"/>
      </w:rPr>
    </w:lvl>
    <w:lvl w:ilvl="6" w:tplc="C08E88BC">
      <w:start w:val="1"/>
      <w:numFmt w:val="bullet"/>
      <w:lvlText w:val=""/>
      <w:lvlJc w:val="left"/>
      <w:pPr>
        <w:ind w:left="4680" w:hanging="360"/>
      </w:pPr>
      <w:rPr>
        <w:rFonts w:ascii="Symbol" w:hAnsi="Symbol" w:hint="default"/>
      </w:rPr>
    </w:lvl>
    <w:lvl w:ilvl="7" w:tplc="00168EAA">
      <w:start w:val="1"/>
      <w:numFmt w:val="bullet"/>
      <w:lvlText w:val="o"/>
      <w:lvlJc w:val="left"/>
      <w:pPr>
        <w:ind w:left="5400" w:hanging="360"/>
      </w:pPr>
      <w:rPr>
        <w:rFonts w:ascii="Courier New" w:hAnsi="Courier New" w:hint="default"/>
      </w:rPr>
    </w:lvl>
    <w:lvl w:ilvl="8" w:tplc="8C12F708">
      <w:start w:val="1"/>
      <w:numFmt w:val="bullet"/>
      <w:lvlText w:val=""/>
      <w:lvlJc w:val="left"/>
      <w:pPr>
        <w:ind w:left="6120" w:hanging="360"/>
      </w:pPr>
      <w:rPr>
        <w:rFonts w:ascii="Wingdings" w:hAnsi="Wingdings" w:hint="default"/>
      </w:rPr>
    </w:lvl>
  </w:abstractNum>
  <w:abstractNum w:abstractNumId="20" w15:restartNumberingAfterBreak="0">
    <w:nsid w:val="34A55D9D"/>
    <w:multiLevelType w:val="hybridMultilevel"/>
    <w:tmpl w:val="0EBE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FF181"/>
    <w:multiLevelType w:val="hybridMultilevel"/>
    <w:tmpl w:val="45AE9534"/>
    <w:lvl w:ilvl="0" w:tplc="7B5E555C">
      <w:start w:val="1"/>
      <w:numFmt w:val="bullet"/>
      <w:lvlText w:val=""/>
      <w:lvlJc w:val="left"/>
      <w:pPr>
        <w:ind w:left="360" w:hanging="360"/>
      </w:pPr>
      <w:rPr>
        <w:rFonts w:ascii="Symbol" w:hAnsi="Symbol" w:hint="default"/>
      </w:rPr>
    </w:lvl>
    <w:lvl w:ilvl="1" w:tplc="0300536A">
      <w:start w:val="1"/>
      <w:numFmt w:val="bullet"/>
      <w:lvlText w:val="o"/>
      <w:lvlJc w:val="left"/>
      <w:pPr>
        <w:ind w:left="1080" w:hanging="360"/>
      </w:pPr>
      <w:rPr>
        <w:rFonts w:ascii="Courier New" w:hAnsi="Courier New" w:hint="default"/>
      </w:rPr>
    </w:lvl>
    <w:lvl w:ilvl="2" w:tplc="71BEE2EC">
      <w:start w:val="1"/>
      <w:numFmt w:val="bullet"/>
      <w:lvlText w:val=""/>
      <w:lvlJc w:val="left"/>
      <w:pPr>
        <w:ind w:left="1800" w:hanging="360"/>
      </w:pPr>
      <w:rPr>
        <w:rFonts w:ascii="Wingdings" w:hAnsi="Wingdings" w:hint="default"/>
      </w:rPr>
    </w:lvl>
    <w:lvl w:ilvl="3" w:tplc="39B08D1E">
      <w:start w:val="1"/>
      <w:numFmt w:val="bullet"/>
      <w:lvlText w:val=""/>
      <w:lvlJc w:val="left"/>
      <w:pPr>
        <w:ind w:left="2520" w:hanging="360"/>
      </w:pPr>
      <w:rPr>
        <w:rFonts w:ascii="Symbol" w:hAnsi="Symbol" w:hint="default"/>
      </w:rPr>
    </w:lvl>
    <w:lvl w:ilvl="4" w:tplc="4ACE4802">
      <w:start w:val="1"/>
      <w:numFmt w:val="bullet"/>
      <w:lvlText w:val="o"/>
      <w:lvlJc w:val="left"/>
      <w:pPr>
        <w:ind w:left="3240" w:hanging="360"/>
      </w:pPr>
      <w:rPr>
        <w:rFonts w:ascii="Courier New" w:hAnsi="Courier New" w:hint="default"/>
      </w:rPr>
    </w:lvl>
    <w:lvl w:ilvl="5" w:tplc="C30C32CE">
      <w:start w:val="1"/>
      <w:numFmt w:val="bullet"/>
      <w:lvlText w:val=""/>
      <w:lvlJc w:val="left"/>
      <w:pPr>
        <w:ind w:left="3960" w:hanging="360"/>
      </w:pPr>
      <w:rPr>
        <w:rFonts w:ascii="Wingdings" w:hAnsi="Wingdings" w:hint="default"/>
      </w:rPr>
    </w:lvl>
    <w:lvl w:ilvl="6" w:tplc="5D0C1494">
      <w:start w:val="1"/>
      <w:numFmt w:val="bullet"/>
      <w:lvlText w:val=""/>
      <w:lvlJc w:val="left"/>
      <w:pPr>
        <w:ind w:left="4680" w:hanging="360"/>
      </w:pPr>
      <w:rPr>
        <w:rFonts w:ascii="Symbol" w:hAnsi="Symbol" w:hint="default"/>
      </w:rPr>
    </w:lvl>
    <w:lvl w:ilvl="7" w:tplc="B01478D4">
      <w:start w:val="1"/>
      <w:numFmt w:val="bullet"/>
      <w:lvlText w:val="o"/>
      <w:lvlJc w:val="left"/>
      <w:pPr>
        <w:ind w:left="5400" w:hanging="360"/>
      </w:pPr>
      <w:rPr>
        <w:rFonts w:ascii="Courier New" w:hAnsi="Courier New" w:hint="default"/>
      </w:rPr>
    </w:lvl>
    <w:lvl w:ilvl="8" w:tplc="C0527C56">
      <w:start w:val="1"/>
      <w:numFmt w:val="bullet"/>
      <w:lvlText w:val=""/>
      <w:lvlJc w:val="left"/>
      <w:pPr>
        <w:ind w:left="6120" w:hanging="360"/>
      </w:pPr>
      <w:rPr>
        <w:rFonts w:ascii="Wingdings" w:hAnsi="Wingdings" w:hint="default"/>
      </w:rPr>
    </w:lvl>
  </w:abstractNum>
  <w:abstractNum w:abstractNumId="22" w15:restartNumberingAfterBreak="0">
    <w:nsid w:val="3A202E58"/>
    <w:multiLevelType w:val="hybridMultilevel"/>
    <w:tmpl w:val="9866E7DC"/>
    <w:lvl w:ilvl="0" w:tplc="8ADA5590">
      <w:start w:val="1"/>
      <w:numFmt w:val="bullet"/>
      <w:lvlText w:val=""/>
      <w:lvlJc w:val="left"/>
      <w:pPr>
        <w:ind w:left="360" w:hanging="360"/>
      </w:pPr>
      <w:rPr>
        <w:rFonts w:ascii="Symbol" w:hAnsi="Symbol" w:hint="default"/>
      </w:rPr>
    </w:lvl>
    <w:lvl w:ilvl="1" w:tplc="F8F20FAE">
      <w:start w:val="1"/>
      <w:numFmt w:val="bullet"/>
      <w:lvlText w:val="o"/>
      <w:lvlJc w:val="left"/>
      <w:pPr>
        <w:ind w:left="1080" w:hanging="360"/>
      </w:pPr>
      <w:rPr>
        <w:rFonts w:ascii="Courier New" w:hAnsi="Courier New" w:hint="default"/>
      </w:rPr>
    </w:lvl>
    <w:lvl w:ilvl="2" w:tplc="C68C6B8A">
      <w:start w:val="1"/>
      <w:numFmt w:val="bullet"/>
      <w:lvlText w:val=""/>
      <w:lvlJc w:val="left"/>
      <w:pPr>
        <w:ind w:left="1800" w:hanging="360"/>
      </w:pPr>
      <w:rPr>
        <w:rFonts w:ascii="Wingdings" w:hAnsi="Wingdings" w:hint="default"/>
      </w:rPr>
    </w:lvl>
    <w:lvl w:ilvl="3" w:tplc="F034B8C8">
      <w:start w:val="1"/>
      <w:numFmt w:val="bullet"/>
      <w:lvlText w:val=""/>
      <w:lvlJc w:val="left"/>
      <w:pPr>
        <w:ind w:left="2520" w:hanging="360"/>
      </w:pPr>
      <w:rPr>
        <w:rFonts w:ascii="Symbol" w:hAnsi="Symbol" w:hint="default"/>
      </w:rPr>
    </w:lvl>
    <w:lvl w:ilvl="4" w:tplc="650C074A">
      <w:start w:val="1"/>
      <w:numFmt w:val="bullet"/>
      <w:lvlText w:val="o"/>
      <w:lvlJc w:val="left"/>
      <w:pPr>
        <w:ind w:left="3240" w:hanging="360"/>
      </w:pPr>
      <w:rPr>
        <w:rFonts w:ascii="Courier New" w:hAnsi="Courier New" w:hint="default"/>
      </w:rPr>
    </w:lvl>
    <w:lvl w:ilvl="5" w:tplc="0CE4C5F8">
      <w:start w:val="1"/>
      <w:numFmt w:val="bullet"/>
      <w:lvlText w:val=""/>
      <w:lvlJc w:val="left"/>
      <w:pPr>
        <w:ind w:left="3960" w:hanging="360"/>
      </w:pPr>
      <w:rPr>
        <w:rFonts w:ascii="Wingdings" w:hAnsi="Wingdings" w:hint="default"/>
      </w:rPr>
    </w:lvl>
    <w:lvl w:ilvl="6" w:tplc="7514067E">
      <w:start w:val="1"/>
      <w:numFmt w:val="bullet"/>
      <w:lvlText w:val=""/>
      <w:lvlJc w:val="left"/>
      <w:pPr>
        <w:ind w:left="4680" w:hanging="360"/>
      </w:pPr>
      <w:rPr>
        <w:rFonts w:ascii="Symbol" w:hAnsi="Symbol" w:hint="default"/>
      </w:rPr>
    </w:lvl>
    <w:lvl w:ilvl="7" w:tplc="81FAB640">
      <w:start w:val="1"/>
      <w:numFmt w:val="bullet"/>
      <w:lvlText w:val="o"/>
      <w:lvlJc w:val="left"/>
      <w:pPr>
        <w:ind w:left="5400" w:hanging="360"/>
      </w:pPr>
      <w:rPr>
        <w:rFonts w:ascii="Courier New" w:hAnsi="Courier New" w:hint="default"/>
      </w:rPr>
    </w:lvl>
    <w:lvl w:ilvl="8" w:tplc="2778A3E0">
      <w:start w:val="1"/>
      <w:numFmt w:val="bullet"/>
      <w:lvlText w:val=""/>
      <w:lvlJc w:val="left"/>
      <w:pPr>
        <w:ind w:left="6120" w:hanging="360"/>
      </w:pPr>
      <w:rPr>
        <w:rFonts w:ascii="Wingdings" w:hAnsi="Wingdings" w:hint="default"/>
      </w:rPr>
    </w:lvl>
  </w:abstractNum>
  <w:abstractNum w:abstractNumId="23" w15:restartNumberingAfterBreak="0">
    <w:nsid w:val="3A27D6C0"/>
    <w:multiLevelType w:val="hybridMultilevel"/>
    <w:tmpl w:val="8730CB14"/>
    <w:lvl w:ilvl="0" w:tplc="3E6074BE">
      <w:start w:val="1"/>
      <w:numFmt w:val="bullet"/>
      <w:lvlText w:val=""/>
      <w:lvlJc w:val="left"/>
      <w:pPr>
        <w:ind w:left="360" w:hanging="360"/>
      </w:pPr>
      <w:rPr>
        <w:rFonts w:ascii="Symbol" w:hAnsi="Symbol" w:hint="default"/>
      </w:rPr>
    </w:lvl>
    <w:lvl w:ilvl="1" w:tplc="39249A50">
      <w:start w:val="1"/>
      <w:numFmt w:val="bullet"/>
      <w:lvlText w:val="o"/>
      <w:lvlJc w:val="left"/>
      <w:pPr>
        <w:ind w:left="1080" w:hanging="360"/>
      </w:pPr>
      <w:rPr>
        <w:rFonts w:ascii="Courier New" w:hAnsi="Courier New" w:hint="default"/>
      </w:rPr>
    </w:lvl>
    <w:lvl w:ilvl="2" w:tplc="56E630A8">
      <w:start w:val="1"/>
      <w:numFmt w:val="bullet"/>
      <w:lvlText w:val=""/>
      <w:lvlJc w:val="left"/>
      <w:pPr>
        <w:ind w:left="1800" w:hanging="360"/>
      </w:pPr>
      <w:rPr>
        <w:rFonts w:ascii="Wingdings" w:hAnsi="Wingdings" w:hint="default"/>
      </w:rPr>
    </w:lvl>
    <w:lvl w:ilvl="3" w:tplc="1638AAB4">
      <w:start w:val="1"/>
      <w:numFmt w:val="bullet"/>
      <w:lvlText w:val=""/>
      <w:lvlJc w:val="left"/>
      <w:pPr>
        <w:ind w:left="2520" w:hanging="360"/>
      </w:pPr>
      <w:rPr>
        <w:rFonts w:ascii="Symbol" w:hAnsi="Symbol" w:hint="default"/>
      </w:rPr>
    </w:lvl>
    <w:lvl w:ilvl="4" w:tplc="578CF576">
      <w:start w:val="1"/>
      <w:numFmt w:val="bullet"/>
      <w:lvlText w:val="o"/>
      <w:lvlJc w:val="left"/>
      <w:pPr>
        <w:ind w:left="3240" w:hanging="360"/>
      </w:pPr>
      <w:rPr>
        <w:rFonts w:ascii="Courier New" w:hAnsi="Courier New" w:hint="default"/>
      </w:rPr>
    </w:lvl>
    <w:lvl w:ilvl="5" w:tplc="32DEF30E">
      <w:start w:val="1"/>
      <w:numFmt w:val="bullet"/>
      <w:lvlText w:val=""/>
      <w:lvlJc w:val="left"/>
      <w:pPr>
        <w:ind w:left="3960" w:hanging="360"/>
      </w:pPr>
      <w:rPr>
        <w:rFonts w:ascii="Wingdings" w:hAnsi="Wingdings" w:hint="default"/>
      </w:rPr>
    </w:lvl>
    <w:lvl w:ilvl="6" w:tplc="1336535A">
      <w:start w:val="1"/>
      <w:numFmt w:val="bullet"/>
      <w:lvlText w:val=""/>
      <w:lvlJc w:val="left"/>
      <w:pPr>
        <w:ind w:left="4680" w:hanging="360"/>
      </w:pPr>
      <w:rPr>
        <w:rFonts w:ascii="Symbol" w:hAnsi="Symbol" w:hint="default"/>
      </w:rPr>
    </w:lvl>
    <w:lvl w:ilvl="7" w:tplc="0F2A308E">
      <w:start w:val="1"/>
      <w:numFmt w:val="bullet"/>
      <w:lvlText w:val="o"/>
      <w:lvlJc w:val="left"/>
      <w:pPr>
        <w:ind w:left="5400" w:hanging="360"/>
      </w:pPr>
      <w:rPr>
        <w:rFonts w:ascii="Courier New" w:hAnsi="Courier New" w:hint="default"/>
      </w:rPr>
    </w:lvl>
    <w:lvl w:ilvl="8" w:tplc="1C76389C">
      <w:start w:val="1"/>
      <w:numFmt w:val="bullet"/>
      <w:lvlText w:val=""/>
      <w:lvlJc w:val="left"/>
      <w:pPr>
        <w:ind w:left="6120" w:hanging="360"/>
      </w:pPr>
      <w:rPr>
        <w:rFonts w:ascii="Wingdings" w:hAnsi="Wingdings" w:hint="default"/>
      </w:rPr>
    </w:lvl>
  </w:abstractNum>
  <w:abstractNum w:abstractNumId="24" w15:restartNumberingAfterBreak="0">
    <w:nsid w:val="3BF4918B"/>
    <w:multiLevelType w:val="hybridMultilevel"/>
    <w:tmpl w:val="EAFC445A"/>
    <w:lvl w:ilvl="0" w:tplc="B9162C06">
      <w:start w:val="1"/>
      <w:numFmt w:val="bullet"/>
      <w:lvlText w:val=""/>
      <w:lvlJc w:val="left"/>
      <w:pPr>
        <w:ind w:left="720" w:hanging="360"/>
      </w:pPr>
      <w:rPr>
        <w:rFonts w:ascii="Symbol" w:hAnsi="Symbol" w:hint="default"/>
      </w:rPr>
    </w:lvl>
    <w:lvl w:ilvl="1" w:tplc="6AA604CE">
      <w:start w:val="1"/>
      <w:numFmt w:val="bullet"/>
      <w:lvlText w:val="o"/>
      <w:lvlJc w:val="left"/>
      <w:pPr>
        <w:ind w:left="1440" w:hanging="360"/>
      </w:pPr>
      <w:rPr>
        <w:rFonts w:ascii="Courier New" w:hAnsi="Courier New" w:hint="default"/>
      </w:rPr>
    </w:lvl>
    <w:lvl w:ilvl="2" w:tplc="C2E8E75A">
      <w:start w:val="1"/>
      <w:numFmt w:val="bullet"/>
      <w:lvlText w:val=""/>
      <w:lvlJc w:val="left"/>
      <w:pPr>
        <w:ind w:left="2160" w:hanging="360"/>
      </w:pPr>
      <w:rPr>
        <w:rFonts w:ascii="Wingdings" w:hAnsi="Wingdings" w:hint="default"/>
      </w:rPr>
    </w:lvl>
    <w:lvl w:ilvl="3" w:tplc="1BB65E40">
      <w:start w:val="1"/>
      <w:numFmt w:val="bullet"/>
      <w:lvlText w:val=""/>
      <w:lvlJc w:val="left"/>
      <w:pPr>
        <w:ind w:left="2880" w:hanging="360"/>
      </w:pPr>
      <w:rPr>
        <w:rFonts w:ascii="Symbol" w:hAnsi="Symbol" w:hint="default"/>
      </w:rPr>
    </w:lvl>
    <w:lvl w:ilvl="4" w:tplc="4EE2B926">
      <w:start w:val="1"/>
      <w:numFmt w:val="bullet"/>
      <w:lvlText w:val="o"/>
      <w:lvlJc w:val="left"/>
      <w:pPr>
        <w:ind w:left="3600" w:hanging="360"/>
      </w:pPr>
      <w:rPr>
        <w:rFonts w:ascii="Courier New" w:hAnsi="Courier New" w:hint="default"/>
      </w:rPr>
    </w:lvl>
    <w:lvl w:ilvl="5" w:tplc="9F60BB7E">
      <w:start w:val="1"/>
      <w:numFmt w:val="bullet"/>
      <w:lvlText w:val=""/>
      <w:lvlJc w:val="left"/>
      <w:pPr>
        <w:ind w:left="4320" w:hanging="360"/>
      </w:pPr>
      <w:rPr>
        <w:rFonts w:ascii="Wingdings" w:hAnsi="Wingdings" w:hint="default"/>
      </w:rPr>
    </w:lvl>
    <w:lvl w:ilvl="6" w:tplc="8A9E5C38">
      <w:start w:val="1"/>
      <w:numFmt w:val="bullet"/>
      <w:lvlText w:val=""/>
      <w:lvlJc w:val="left"/>
      <w:pPr>
        <w:ind w:left="5040" w:hanging="360"/>
      </w:pPr>
      <w:rPr>
        <w:rFonts w:ascii="Symbol" w:hAnsi="Symbol" w:hint="default"/>
      </w:rPr>
    </w:lvl>
    <w:lvl w:ilvl="7" w:tplc="6C520A60">
      <w:start w:val="1"/>
      <w:numFmt w:val="bullet"/>
      <w:lvlText w:val="o"/>
      <w:lvlJc w:val="left"/>
      <w:pPr>
        <w:ind w:left="5760" w:hanging="360"/>
      </w:pPr>
      <w:rPr>
        <w:rFonts w:ascii="Courier New" w:hAnsi="Courier New" w:hint="default"/>
      </w:rPr>
    </w:lvl>
    <w:lvl w:ilvl="8" w:tplc="7400A55C">
      <w:start w:val="1"/>
      <w:numFmt w:val="bullet"/>
      <w:lvlText w:val=""/>
      <w:lvlJc w:val="left"/>
      <w:pPr>
        <w:ind w:left="6480" w:hanging="360"/>
      </w:pPr>
      <w:rPr>
        <w:rFonts w:ascii="Wingdings" w:hAnsi="Wingdings" w:hint="default"/>
      </w:rPr>
    </w:lvl>
  </w:abstractNum>
  <w:abstractNum w:abstractNumId="25" w15:restartNumberingAfterBreak="0">
    <w:nsid w:val="3E565DF0"/>
    <w:multiLevelType w:val="hybridMultilevel"/>
    <w:tmpl w:val="8D3A9366"/>
    <w:lvl w:ilvl="0" w:tplc="4BCC23B6">
      <w:start w:val="1"/>
      <w:numFmt w:val="bullet"/>
      <w:lvlText w:val=""/>
      <w:lvlJc w:val="left"/>
      <w:pPr>
        <w:ind w:left="360" w:hanging="360"/>
      </w:pPr>
      <w:rPr>
        <w:rFonts w:ascii="Symbol" w:hAnsi="Symbol" w:hint="default"/>
      </w:rPr>
    </w:lvl>
    <w:lvl w:ilvl="1" w:tplc="3E8CD7B8">
      <w:start w:val="1"/>
      <w:numFmt w:val="bullet"/>
      <w:lvlText w:val="o"/>
      <w:lvlJc w:val="left"/>
      <w:pPr>
        <w:ind w:left="1080" w:hanging="360"/>
      </w:pPr>
      <w:rPr>
        <w:rFonts w:ascii="Courier New" w:hAnsi="Courier New" w:hint="default"/>
      </w:rPr>
    </w:lvl>
    <w:lvl w:ilvl="2" w:tplc="4844B5C0">
      <w:start w:val="1"/>
      <w:numFmt w:val="bullet"/>
      <w:lvlText w:val=""/>
      <w:lvlJc w:val="left"/>
      <w:pPr>
        <w:ind w:left="1800" w:hanging="360"/>
      </w:pPr>
      <w:rPr>
        <w:rFonts w:ascii="Wingdings" w:hAnsi="Wingdings" w:hint="default"/>
      </w:rPr>
    </w:lvl>
    <w:lvl w:ilvl="3" w:tplc="11B0F26C">
      <w:start w:val="1"/>
      <w:numFmt w:val="bullet"/>
      <w:lvlText w:val=""/>
      <w:lvlJc w:val="left"/>
      <w:pPr>
        <w:ind w:left="2520" w:hanging="360"/>
      </w:pPr>
      <w:rPr>
        <w:rFonts w:ascii="Symbol" w:hAnsi="Symbol" w:hint="default"/>
      </w:rPr>
    </w:lvl>
    <w:lvl w:ilvl="4" w:tplc="C936C2B0">
      <w:start w:val="1"/>
      <w:numFmt w:val="bullet"/>
      <w:lvlText w:val="o"/>
      <w:lvlJc w:val="left"/>
      <w:pPr>
        <w:ind w:left="3240" w:hanging="360"/>
      </w:pPr>
      <w:rPr>
        <w:rFonts w:ascii="Courier New" w:hAnsi="Courier New" w:hint="default"/>
      </w:rPr>
    </w:lvl>
    <w:lvl w:ilvl="5" w:tplc="58505338">
      <w:start w:val="1"/>
      <w:numFmt w:val="bullet"/>
      <w:lvlText w:val=""/>
      <w:lvlJc w:val="left"/>
      <w:pPr>
        <w:ind w:left="3960" w:hanging="360"/>
      </w:pPr>
      <w:rPr>
        <w:rFonts w:ascii="Wingdings" w:hAnsi="Wingdings" w:hint="default"/>
      </w:rPr>
    </w:lvl>
    <w:lvl w:ilvl="6" w:tplc="F39EA1E0">
      <w:start w:val="1"/>
      <w:numFmt w:val="bullet"/>
      <w:lvlText w:val=""/>
      <w:lvlJc w:val="left"/>
      <w:pPr>
        <w:ind w:left="4680" w:hanging="360"/>
      </w:pPr>
      <w:rPr>
        <w:rFonts w:ascii="Symbol" w:hAnsi="Symbol" w:hint="default"/>
      </w:rPr>
    </w:lvl>
    <w:lvl w:ilvl="7" w:tplc="B484A5E4">
      <w:start w:val="1"/>
      <w:numFmt w:val="bullet"/>
      <w:lvlText w:val="o"/>
      <w:lvlJc w:val="left"/>
      <w:pPr>
        <w:ind w:left="5400" w:hanging="360"/>
      </w:pPr>
      <w:rPr>
        <w:rFonts w:ascii="Courier New" w:hAnsi="Courier New" w:hint="default"/>
      </w:rPr>
    </w:lvl>
    <w:lvl w:ilvl="8" w:tplc="A5647370">
      <w:start w:val="1"/>
      <w:numFmt w:val="bullet"/>
      <w:lvlText w:val=""/>
      <w:lvlJc w:val="left"/>
      <w:pPr>
        <w:ind w:left="6120" w:hanging="360"/>
      </w:pPr>
      <w:rPr>
        <w:rFonts w:ascii="Wingdings" w:hAnsi="Wingdings" w:hint="default"/>
      </w:rPr>
    </w:lvl>
  </w:abstractNum>
  <w:abstractNum w:abstractNumId="26" w15:restartNumberingAfterBreak="0">
    <w:nsid w:val="47D79E0B"/>
    <w:multiLevelType w:val="hybridMultilevel"/>
    <w:tmpl w:val="31482566"/>
    <w:lvl w:ilvl="0" w:tplc="086A4E52">
      <w:start w:val="1"/>
      <w:numFmt w:val="bullet"/>
      <w:lvlText w:val=""/>
      <w:lvlJc w:val="left"/>
      <w:pPr>
        <w:ind w:left="720" w:hanging="360"/>
      </w:pPr>
      <w:rPr>
        <w:rFonts w:ascii="Symbol" w:hAnsi="Symbol" w:hint="default"/>
      </w:rPr>
    </w:lvl>
    <w:lvl w:ilvl="1" w:tplc="F482E138">
      <w:start w:val="1"/>
      <w:numFmt w:val="bullet"/>
      <w:lvlText w:val="o"/>
      <w:lvlJc w:val="left"/>
      <w:pPr>
        <w:ind w:left="1440" w:hanging="360"/>
      </w:pPr>
      <w:rPr>
        <w:rFonts w:ascii="Courier New" w:hAnsi="Courier New" w:hint="default"/>
      </w:rPr>
    </w:lvl>
    <w:lvl w:ilvl="2" w:tplc="E0C8D9B0">
      <w:start w:val="1"/>
      <w:numFmt w:val="bullet"/>
      <w:lvlText w:val=""/>
      <w:lvlJc w:val="left"/>
      <w:pPr>
        <w:ind w:left="2160" w:hanging="360"/>
      </w:pPr>
      <w:rPr>
        <w:rFonts w:ascii="Wingdings" w:hAnsi="Wingdings" w:hint="default"/>
      </w:rPr>
    </w:lvl>
    <w:lvl w:ilvl="3" w:tplc="EA10FC9E">
      <w:start w:val="1"/>
      <w:numFmt w:val="bullet"/>
      <w:lvlText w:val=""/>
      <w:lvlJc w:val="left"/>
      <w:pPr>
        <w:ind w:left="2880" w:hanging="360"/>
      </w:pPr>
      <w:rPr>
        <w:rFonts w:ascii="Symbol" w:hAnsi="Symbol" w:hint="default"/>
      </w:rPr>
    </w:lvl>
    <w:lvl w:ilvl="4" w:tplc="E47A9C90">
      <w:start w:val="1"/>
      <w:numFmt w:val="bullet"/>
      <w:lvlText w:val="o"/>
      <w:lvlJc w:val="left"/>
      <w:pPr>
        <w:ind w:left="3600" w:hanging="360"/>
      </w:pPr>
      <w:rPr>
        <w:rFonts w:ascii="Courier New" w:hAnsi="Courier New" w:hint="default"/>
      </w:rPr>
    </w:lvl>
    <w:lvl w:ilvl="5" w:tplc="A5C63AC4">
      <w:start w:val="1"/>
      <w:numFmt w:val="bullet"/>
      <w:lvlText w:val=""/>
      <w:lvlJc w:val="left"/>
      <w:pPr>
        <w:ind w:left="4320" w:hanging="360"/>
      </w:pPr>
      <w:rPr>
        <w:rFonts w:ascii="Wingdings" w:hAnsi="Wingdings" w:hint="default"/>
      </w:rPr>
    </w:lvl>
    <w:lvl w:ilvl="6" w:tplc="BDFCEC6E">
      <w:start w:val="1"/>
      <w:numFmt w:val="bullet"/>
      <w:lvlText w:val=""/>
      <w:lvlJc w:val="left"/>
      <w:pPr>
        <w:ind w:left="5040" w:hanging="360"/>
      </w:pPr>
      <w:rPr>
        <w:rFonts w:ascii="Symbol" w:hAnsi="Symbol" w:hint="default"/>
      </w:rPr>
    </w:lvl>
    <w:lvl w:ilvl="7" w:tplc="C568E112">
      <w:start w:val="1"/>
      <w:numFmt w:val="bullet"/>
      <w:lvlText w:val="o"/>
      <w:lvlJc w:val="left"/>
      <w:pPr>
        <w:ind w:left="5760" w:hanging="360"/>
      </w:pPr>
      <w:rPr>
        <w:rFonts w:ascii="Courier New" w:hAnsi="Courier New" w:hint="default"/>
      </w:rPr>
    </w:lvl>
    <w:lvl w:ilvl="8" w:tplc="19A051BA">
      <w:start w:val="1"/>
      <w:numFmt w:val="bullet"/>
      <w:lvlText w:val=""/>
      <w:lvlJc w:val="left"/>
      <w:pPr>
        <w:ind w:left="6480" w:hanging="360"/>
      </w:pPr>
      <w:rPr>
        <w:rFonts w:ascii="Wingdings" w:hAnsi="Wingdings" w:hint="default"/>
      </w:rPr>
    </w:lvl>
  </w:abstractNum>
  <w:abstractNum w:abstractNumId="27" w15:restartNumberingAfterBreak="0">
    <w:nsid w:val="4C872FF4"/>
    <w:multiLevelType w:val="hybridMultilevel"/>
    <w:tmpl w:val="61C2B5A0"/>
    <w:lvl w:ilvl="0" w:tplc="2E90B8F0">
      <w:start w:val="1"/>
      <w:numFmt w:val="bullet"/>
      <w:lvlText w:val=""/>
      <w:lvlJc w:val="left"/>
      <w:pPr>
        <w:ind w:left="360" w:hanging="360"/>
      </w:pPr>
      <w:rPr>
        <w:rFonts w:ascii="Symbol" w:hAnsi="Symbol" w:hint="default"/>
      </w:rPr>
    </w:lvl>
    <w:lvl w:ilvl="1" w:tplc="56008EA6">
      <w:start w:val="1"/>
      <w:numFmt w:val="bullet"/>
      <w:lvlText w:val="o"/>
      <w:lvlJc w:val="left"/>
      <w:pPr>
        <w:ind w:left="1080" w:hanging="360"/>
      </w:pPr>
      <w:rPr>
        <w:rFonts w:ascii="Courier New" w:hAnsi="Courier New" w:hint="default"/>
      </w:rPr>
    </w:lvl>
    <w:lvl w:ilvl="2" w:tplc="F9BA1604">
      <w:start w:val="1"/>
      <w:numFmt w:val="bullet"/>
      <w:lvlText w:val=""/>
      <w:lvlJc w:val="left"/>
      <w:pPr>
        <w:ind w:left="1800" w:hanging="360"/>
      </w:pPr>
      <w:rPr>
        <w:rFonts w:ascii="Wingdings" w:hAnsi="Wingdings" w:hint="default"/>
      </w:rPr>
    </w:lvl>
    <w:lvl w:ilvl="3" w:tplc="E4C2AB92">
      <w:start w:val="1"/>
      <w:numFmt w:val="bullet"/>
      <w:lvlText w:val=""/>
      <w:lvlJc w:val="left"/>
      <w:pPr>
        <w:ind w:left="2520" w:hanging="360"/>
      </w:pPr>
      <w:rPr>
        <w:rFonts w:ascii="Symbol" w:hAnsi="Symbol" w:hint="default"/>
      </w:rPr>
    </w:lvl>
    <w:lvl w:ilvl="4" w:tplc="6B1446A2">
      <w:start w:val="1"/>
      <w:numFmt w:val="bullet"/>
      <w:lvlText w:val="o"/>
      <w:lvlJc w:val="left"/>
      <w:pPr>
        <w:ind w:left="3240" w:hanging="360"/>
      </w:pPr>
      <w:rPr>
        <w:rFonts w:ascii="Courier New" w:hAnsi="Courier New" w:hint="default"/>
      </w:rPr>
    </w:lvl>
    <w:lvl w:ilvl="5" w:tplc="423C8B86">
      <w:start w:val="1"/>
      <w:numFmt w:val="bullet"/>
      <w:lvlText w:val=""/>
      <w:lvlJc w:val="left"/>
      <w:pPr>
        <w:ind w:left="3960" w:hanging="360"/>
      </w:pPr>
      <w:rPr>
        <w:rFonts w:ascii="Wingdings" w:hAnsi="Wingdings" w:hint="default"/>
      </w:rPr>
    </w:lvl>
    <w:lvl w:ilvl="6" w:tplc="38048216">
      <w:start w:val="1"/>
      <w:numFmt w:val="bullet"/>
      <w:lvlText w:val=""/>
      <w:lvlJc w:val="left"/>
      <w:pPr>
        <w:ind w:left="4680" w:hanging="360"/>
      </w:pPr>
      <w:rPr>
        <w:rFonts w:ascii="Symbol" w:hAnsi="Symbol" w:hint="default"/>
      </w:rPr>
    </w:lvl>
    <w:lvl w:ilvl="7" w:tplc="1E784CB6">
      <w:start w:val="1"/>
      <w:numFmt w:val="bullet"/>
      <w:lvlText w:val="o"/>
      <w:lvlJc w:val="left"/>
      <w:pPr>
        <w:ind w:left="5400" w:hanging="360"/>
      </w:pPr>
      <w:rPr>
        <w:rFonts w:ascii="Courier New" w:hAnsi="Courier New" w:hint="default"/>
      </w:rPr>
    </w:lvl>
    <w:lvl w:ilvl="8" w:tplc="601CA96C">
      <w:start w:val="1"/>
      <w:numFmt w:val="bullet"/>
      <w:lvlText w:val=""/>
      <w:lvlJc w:val="left"/>
      <w:pPr>
        <w:ind w:left="6120" w:hanging="360"/>
      </w:pPr>
      <w:rPr>
        <w:rFonts w:ascii="Wingdings" w:hAnsi="Wingdings" w:hint="default"/>
      </w:rPr>
    </w:lvl>
  </w:abstractNum>
  <w:abstractNum w:abstractNumId="28" w15:restartNumberingAfterBreak="0">
    <w:nsid w:val="4D77C8D0"/>
    <w:multiLevelType w:val="hybridMultilevel"/>
    <w:tmpl w:val="2612D59E"/>
    <w:lvl w:ilvl="0" w:tplc="CAB8A94C">
      <w:start w:val="1"/>
      <w:numFmt w:val="bullet"/>
      <w:lvlText w:val=""/>
      <w:lvlJc w:val="left"/>
      <w:pPr>
        <w:ind w:left="360" w:hanging="360"/>
      </w:pPr>
      <w:rPr>
        <w:rFonts w:ascii="Symbol" w:hAnsi="Symbol" w:hint="default"/>
      </w:rPr>
    </w:lvl>
    <w:lvl w:ilvl="1" w:tplc="4562304C">
      <w:start w:val="1"/>
      <w:numFmt w:val="bullet"/>
      <w:lvlText w:val="o"/>
      <w:lvlJc w:val="left"/>
      <w:pPr>
        <w:ind w:left="1080" w:hanging="360"/>
      </w:pPr>
      <w:rPr>
        <w:rFonts w:ascii="Courier New" w:hAnsi="Courier New" w:hint="default"/>
      </w:rPr>
    </w:lvl>
    <w:lvl w:ilvl="2" w:tplc="4A0AEE48">
      <w:start w:val="1"/>
      <w:numFmt w:val="bullet"/>
      <w:lvlText w:val=""/>
      <w:lvlJc w:val="left"/>
      <w:pPr>
        <w:ind w:left="1800" w:hanging="360"/>
      </w:pPr>
      <w:rPr>
        <w:rFonts w:ascii="Wingdings" w:hAnsi="Wingdings" w:hint="default"/>
      </w:rPr>
    </w:lvl>
    <w:lvl w:ilvl="3" w:tplc="E5242F52">
      <w:start w:val="1"/>
      <w:numFmt w:val="bullet"/>
      <w:lvlText w:val=""/>
      <w:lvlJc w:val="left"/>
      <w:pPr>
        <w:ind w:left="2520" w:hanging="360"/>
      </w:pPr>
      <w:rPr>
        <w:rFonts w:ascii="Symbol" w:hAnsi="Symbol" w:hint="default"/>
      </w:rPr>
    </w:lvl>
    <w:lvl w:ilvl="4" w:tplc="C90EA1FA">
      <w:start w:val="1"/>
      <w:numFmt w:val="bullet"/>
      <w:lvlText w:val="o"/>
      <w:lvlJc w:val="left"/>
      <w:pPr>
        <w:ind w:left="3240" w:hanging="360"/>
      </w:pPr>
      <w:rPr>
        <w:rFonts w:ascii="Courier New" w:hAnsi="Courier New" w:hint="default"/>
      </w:rPr>
    </w:lvl>
    <w:lvl w:ilvl="5" w:tplc="9FDC3230">
      <w:start w:val="1"/>
      <w:numFmt w:val="bullet"/>
      <w:lvlText w:val=""/>
      <w:lvlJc w:val="left"/>
      <w:pPr>
        <w:ind w:left="3960" w:hanging="360"/>
      </w:pPr>
      <w:rPr>
        <w:rFonts w:ascii="Wingdings" w:hAnsi="Wingdings" w:hint="default"/>
      </w:rPr>
    </w:lvl>
    <w:lvl w:ilvl="6" w:tplc="A6603316">
      <w:start w:val="1"/>
      <w:numFmt w:val="bullet"/>
      <w:lvlText w:val=""/>
      <w:lvlJc w:val="left"/>
      <w:pPr>
        <w:ind w:left="4680" w:hanging="360"/>
      </w:pPr>
      <w:rPr>
        <w:rFonts w:ascii="Symbol" w:hAnsi="Symbol" w:hint="default"/>
      </w:rPr>
    </w:lvl>
    <w:lvl w:ilvl="7" w:tplc="62F01966">
      <w:start w:val="1"/>
      <w:numFmt w:val="bullet"/>
      <w:lvlText w:val="o"/>
      <w:lvlJc w:val="left"/>
      <w:pPr>
        <w:ind w:left="5400" w:hanging="360"/>
      </w:pPr>
      <w:rPr>
        <w:rFonts w:ascii="Courier New" w:hAnsi="Courier New" w:hint="default"/>
      </w:rPr>
    </w:lvl>
    <w:lvl w:ilvl="8" w:tplc="E634FCCA">
      <w:start w:val="1"/>
      <w:numFmt w:val="bullet"/>
      <w:lvlText w:val=""/>
      <w:lvlJc w:val="left"/>
      <w:pPr>
        <w:ind w:left="6120" w:hanging="360"/>
      </w:pPr>
      <w:rPr>
        <w:rFonts w:ascii="Wingdings" w:hAnsi="Wingdings" w:hint="default"/>
      </w:rPr>
    </w:lvl>
  </w:abstractNum>
  <w:abstractNum w:abstractNumId="29" w15:restartNumberingAfterBreak="0">
    <w:nsid w:val="51F17C08"/>
    <w:multiLevelType w:val="hybridMultilevel"/>
    <w:tmpl w:val="62769E14"/>
    <w:lvl w:ilvl="0" w:tplc="F0D4A042">
      <w:start w:val="1"/>
      <w:numFmt w:val="bullet"/>
      <w:lvlText w:val=""/>
      <w:lvlJc w:val="left"/>
      <w:pPr>
        <w:ind w:left="720" w:hanging="360"/>
      </w:pPr>
      <w:rPr>
        <w:rFonts w:ascii="Symbol" w:hAnsi="Symbol" w:hint="default"/>
      </w:rPr>
    </w:lvl>
    <w:lvl w:ilvl="1" w:tplc="6F00F092">
      <w:start w:val="1"/>
      <w:numFmt w:val="bullet"/>
      <w:lvlText w:val="o"/>
      <w:lvlJc w:val="left"/>
      <w:pPr>
        <w:ind w:left="1440" w:hanging="360"/>
      </w:pPr>
      <w:rPr>
        <w:rFonts w:ascii="Courier New" w:hAnsi="Courier New" w:hint="default"/>
      </w:rPr>
    </w:lvl>
    <w:lvl w:ilvl="2" w:tplc="B20019CA">
      <w:start w:val="1"/>
      <w:numFmt w:val="bullet"/>
      <w:lvlText w:val=""/>
      <w:lvlJc w:val="left"/>
      <w:pPr>
        <w:ind w:left="2160" w:hanging="360"/>
      </w:pPr>
      <w:rPr>
        <w:rFonts w:ascii="Wingdings" w:hAnsi="Wingdings" w:hint="default"/>
      </w:rPr>
    </w:lvl>
    <w:lvl w:ilvl="3" w:tplc="D5A25576">
      <w:start w:val="1"/>
      <w:numFmt w:val="bullet"/>
      <w:lvlText w:val=""/>
      <w:lvlJc w:val="left"/>
      <w:pPr>
        <w:ind w:left="2880" w:hanging="360"/>
      </w:pPr>
      <w:rPr>
        <w:rFonts w:ascii="Symbol" w:hAnsi="Symbol" w:hint="default"/>
      </w:rPr>
    </w:lvl>
    <w:lvl w:ilvl="4" w:tplc="13D4F9FE">
      <w:start w:val="1"/>
      <w:numFmt w:val="bullet"/>
      <w:lvlText w:val="o"/>
      <w:lvlJc w:val="left"/>
      <w:pPr>
        <w:ind w:left="3600" w:hanging="360"/>
      </w:pPr>
      <w:rPr>
        <w:rFonts w:ascii="Courier New" w:hAnsi="Courier New" w:hint="default"/>
      </w:rPr>
    </w:lvl>
    <w:lvl w:ilvl="5" w:tplc="1F9880E2">
      <w:start w:val="1"/>
      <w:numFmt w:val="bullet"/>
      <w:lvlText w:val=""/>
      <w:lvlJc w:val="left"/>
      <w:pPr>
        <w:ind w:left="4320" w:hanging="360"/>
      </w:pPr>
      <w:rPr>
        <w:rFonts w:ascii="Wingdings" w:hAnsi="Wingdings" w:hint="default"/>
      </w:rPr>
    </w:lvl>
    <w:lvl w:ilvl="6" w:tplc="FB36E9AC">
      <w:start w:val="1"/>
      <w:numFmt w:val="bullet"/>
      <w:lvlText w:val=""/>
      <w:lvlJc w:val="left"/>
      <w:pPr>
        <w:ind w:left="5040" w:hanging="360"/>
      </w:pPr>
      <w:rPr>
        <w:rFonts w:ascii="Symbol" w:hAnsi="Symbol" w:hint="default"/>
      </w:rPr>
    </w:lvl>
    <w:lvl w:ilvl="7" w:tplc="0472CBAC">
      <w:start w:val="1"/>
      <w:numFmt w:val="bullet"/>
      <w:lvlText w:val="o"/>
      <w:lvlJc w:val="left"/>
      <w:pPr>
        <w:ind w:left="5760" w:hanging="360"/>
      </w:pPr>
      <w:rPr>
        <w:rFonts w:ascii="Courier New" w:hAnsi="Courier New" w:hint="default"/>
      </w:rPr>
    </w:lvl>
    <w:lvl w:ilvl="8" w:tplc="35F0A4E4">
      <w:start w:val="1"/>
      <w:numFmt w:val="bullet"/>
      <w:lvlText w:val=""/>
      <w:lvlJc w:val="left"/>
      <w:pPr>
        <w:ind w:left="6480" w:hanging="360"/>
      </w:pPr>
      <w:rPr>
        <w:rFonts w:ascii="Wingdings" w:hAnsi="Wingdings" w:hint="default"/>
      </w:rPr>
    </w:lvl>
  </w:abstractNum>
  <w:abstractNum w:abstractNumId="30" w15:restartNumberingAfterBreak="0">
    <w:nsid w:val="53868A89"/>
    <w:multiLevelType w:val="hybridMultilevel"/>
    <w:tmpl w:val="E9E0B4B6"/>
    <w:lvl w:ilvl="0" w:tplc="1E0E7BB8">
      <w:start w:val="1"/>
      <w:numFmt w:val="bullet"/>
      <w:lvlText w:val=""/>
      <w:lvlJc w:val="left"/>
      <w:pPr>
        <w:ind w:left="720" w:hanging="360"/>
      </w:pPr>
      <w:rPr>
        <w:rFonts w:ascii="Symbol" w:hAnsi="Symbol" w:hint="default"/>
      </w:rPr>
    </w:lvl>
    <w:lvl w:ilvl="1" w:tplc="A016DF64">
      <w:start w:val="1"/>
      <w:numFmt w:val="bullet"/>
      <w:lvlText w:val="o"/>
      <w:lvlJc w:val="left"/>
      <w:pPr>
        <w:ind w:left="1440" w:hanging="360"/>
      </w:pPr>
      <w:rPr>
        <w:rFonts w:ascii="Courier New" w:hAnsi="Courier New" w:hint="default"/>
      </w:rPr>
    </w:lvl>
    <w:lvl w:ilvl="2" w:tplc="ADDE966E">
      <w:start w:val="1"/>
      <w:numFmt w:val="bullet"/>
      <w:lvlText w:val=""/>
      <w:lvlJc w:val="left"/>
      <w:pPr>
        <w:ind w:left="2160" w:hanging="360"/>
      </w:pPr>
      <w:rPr>
        <w:rFonts w:ascii="Wingdings" w:hAnsi="Wingdings" w:hint="default"/>
      </w:rPr>
    </w:lvl>
    <w:lvl w:ilvl="3" w:tplc="9CF04FB4">
      <w:start w:val="1"/>
      <w:numFmt w:val="bullet"/>
      <w:lvlText w:val=""/>
      <w:lvlJc w:val="left"/>
      <w:pPr>
        <w:ind w:left="2880" w:hanging="360"/>
      </w:pPr>
      <w:rPr>
        <w:rFonts w:ascii="Symbol" w:hAnsi="Symbol" w:hint="default"/>
      </w:rPr>
    </w:lvl>
    <w:lvl w:ilvl="4" w:tplc="23F4B5AE">
      <w:start w:val="1"/>
      <w:numFmt w:val="bullet"/>
      <w:lvlText w:val="o"/>
      <w:lvlJc w:val="left"/>
      <w:pPr>
        <w:ind w:left="3600" w:hanging="360"/>
      </w:pPr>
      <w:rPr>
        <w:rFonts w:ascii="Courier New" w:hAnsi="Courier New" w:hint="default"/>
      </w:rPr>
    </w:lvl>
    <w:lvl w:ilvl="5" w:tplc="73006712">
      <w:start w:val="1"/>
      <w:numFmt w:val="bullet"/>
      <w:lvlText w:val=""/>
      <w:lvlJc w:val="left"/>
      <w:pPr>
        <w:ind w:left="4320" w:hanging="360"/>
      </w:pPr>
      <w:rPr>
        <w:rFonts w:ascii="Wingdings" w:hAnsi="Wingdings" w:hint="default"/>
      </w:rPr>
    </w:lvl>
    <w:lvl w:ilvl="6" w:tplc="8E76BF2C">
      <w:start w:val="1"/>
      <w:numFmt w:val="bullet"/>
      <w:lvlText w:val=""/>
      <w:lvlJc w:val="left"/>
      <w:pPr>
        <w:ind w:left="5040" w:hanging="360"/>
      </w:pPr>
      <w:rPr>
        <w:rFonts w:ascii="Symbol" w:hAnsi="Symbol" w:hint="default"/>
      </w:rPr>
    </w:lvl>
    <w:lvl w:ilvl="7" w:tplc="B254EAF0">
      <w:start w:val="1"/>
      <w:numFmt w:val="bullet"/>
      <w:lvlText w:val="o"/>
      <w:lvlJc w:val="left"/>
      <w:pPr>
        <w:ind w:left="5760" w:hanging="360"/>
      </w:pPr>
      <w:rPr>
        <w:rFonts w:ascii="Courier New" w:hAnsi="Courier New" w:hint="default"/>
      </w:rPr>
    </w:lvl>
    <w:lvl w:ilvl="8" w:tplc="8DB24D3C">
      <w:start w:val="1"/>
      <w:numFmt w:val="bullet"/>
      <w:lvlText w:val=""/>
      <w:lvlJc w:val="left"/>
      <w:pPr>
        <w:ind w:left="6480" w:hanging="360"/>
      </w:pPr>
      <w:rPr>
        <w:rFonts w:ascii="Wingdings" w:hAnsi="Wingdings" w:hint="default"/>
      </w:rPr>
    </w:lvl>
  </w:abstractNum>
  <w:abstractNum w:abstractNumId="31" w15:restartNumberingAfterBreak="0">
    <w:nsid w:val="70471495"/>
    <w:multiLevelType w:val="hybridMultilevel"/>
    <w:tmpl w:val="DB7A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B9A928"/>
    <w:multiLevelType w:val="hybridMultilevel"/>
    <w:tmpl w:val="C2664C86"/>
    <w:lvl w:ilvl="0" w:tplc="2D4280FE">
      <w:start w:val="1"/>
      <w:numFmt w:val="bullet"/>
      <w:lvlText w:val=""/>
      <w:lvlJc w:val="left"/>
      <w:pPr>
        <w:ind w:left="720" w:hanging="360"/>
      </w:pPr>
      <w:rPr>
        <w:rFonts w:ascii="Symbol" w:hAnsi="Symbol" w:hint="default"/>
      </w:rPr>
    </w:lvl>
    <w:lvl w:ilvl="1" w:tplc="10DE92D0">
      <w:start w:val="1"/>
      <w:numFmt w:val="bullet"/>
      <w:lvlText w:val="o"/>
      <w:lvlJc w:val="left"/>
      <w:pPr>
        <w:ind w:left="1440" w:hanging="360"/>
      </w:pPr>
      <w:rPr>
        <w:rFonts w:ascii="Courier New" w:hAnsi="Courier New" w:hint="default"/>
      </w:rPr>
    </w:lvl>
    <w:lvl w:ilvl="2" w:tplc="CBA89E9C">
      <w:start w:val="1"/>
      <w:numFmt w:val="bullet"/>
      <w:lvlText w:val=""/>
      <w:lvlJc w:val="left"/>
      <w:pPr>
        <w:ind w:left="2160" w:hanging="360"/>
      </w:pPr>
      <w:rPr>
        <w:rFonts w:ascii="Wingdings" w:hAnsi="Wingdings" w:hint="default"/>
      </w:rPr>
    </w:lvl>
    <w:lvl w:ilvl="3" w:tplc="4088EEEA">
      <w:start w:val="1"/>
      <w:numFmt w:val="bullet"/>
      <w:lvlText w:val=""/>
      <w:lvlJc w:val="left"/>
      <w:pPr>
        <w:ind w:left="2880" w:hanging="360"/>
      </w:pPr>
      <w:rPr>
        <w:rFonts w:ascii="Symbol" w:hAnsi="Symbol" w:hint="default"/>
      </w:rPr>
    </w:lvl>
    <w:lvl w:ilvl="4" w:tplc="3BFCAFBE">
      <w:start w:val="1"/>
      <w:numFmt w:val="bullet"/>
      <w:lvlText w:val="o"/>
      <w:lvlJc w:val="left"/>
      <w:pPr>
        <w:ind w:left="3600" w:hanging="360"/>
      </w:pPr>
      <w:rPr>
        <w:rFonts w:ascii="Courier New" w:hAnsi="Courier New" w:hint="default"/>
      </w:rPr>
    </w:lvl>
    <w:lvl w:ilvl="5" w:tplc="79B6AEF8">
      <w:start w:val="1"/>
      <w:numFmt w:val="bullet"/>
      <w:lvlText w:val=""/>
      <w:lvlJc w:val="left"/>
      <w:pPr>
        <w:ind w:left="4320" w:hanging="360"/>
      </w:pPr>
      <w:rPr>
        <w:rFonts w:ascii="Wingdings" w:hAnsi="Wingdings" w:hint="default"/>
      </w:rPr>
    </w:lvl>
    <w:lvl w:ilvl="6" w:tplc="00FC2EDA">
      <w:start w:val="1"/>
      <w:numFmt w:val="bullet"/>
      <w:lvlText w:val=""/>
      <w:lvlJc w:val="left"/>
      <w:pPr>
        <w:ind w:left="5040" w:hanging="360"/>
      </w:pPr>
      <w:rPr>
        <w:rFonts w:ascii="Symbol" w:hAnsi="Symbol" w:hint="default"/>
      </w:rPr>
    </w:lvl>
    <w:lvl w:ilvl="7" w:tplc="F05C8278">
      <w:start w:val="1"/>
      <w:numFmt w:val="bullet"/>
      <w:lvlText w:val="o"/>
      <w:lvlJc w:val="left"/>
      <w:pPr>
        <w:ind w:left="5760" w:hanging="360"/>
      </w:pPr>
      <w:rPr>
        <w:rFonts w:ascii="Courier New" w:hAnsi="Courier New" w:hint="default"/>
      </w:rPr>
    </w:lvl>
    <w:lvl w:ilvl="8" w:tplc="97703D7A">
      <w:start w:val="1"/>
      <w:numFmt w:val="bullet"/>
      <w:lvlText w:val=""/>
      <w:lvlJc w:val="left"/>
      <w:pPr>
        <w:ind w:left="6480" w:hanging="360"/>
      </w:pPr>
      <w:rPr>
        <w:rFonts w:ascii="Wingdings" w:hAnsi="Wingdings" w:hint="default"/>
      </w:rPr>
    </w:lvl>
  </w:abstractNum>
  <w:abstractNum w:abstractNumId="33" w15:restartNumberingAfterBreak="0">
    <w:nsid w:val="734A57C4"/>
    <w:multiLevelType w:val="hybridMultilevel"/>
    <w:tmpl w:val="9BFA32EE"/>
    <w:lvl w:ilvl="0" w:tplc="485A0060">
      <w:start w:val="1"/>
      <w:numFmt w:val="bullet"/>
      <w:lvlText w:val=""/>
      <w:lvlJc w:val="left"/>
      <w:pPr>
        <w:ind w:left="720" w:hanging="360"/>
      </w:pPr>
      <w:rPr>
        <w:rFonts w:ascii="Symbol" w:hAnsi="Symbol" w:hint="default"/>
      </w:rPr>
    </w:lvl>
    <w:lvl w:ilvl="1" w:tplc="BEFC7072">
      <w:start w:val="1"/>
      <w:numFmt w:val="bullet"/>
      <w:lvlText w:val="o"/>
      <w:lvlJc w:val="left"/>
      <w:pPr>
        <w:ind w:left="1440" w:hanging="360"/>
      </w:pPr>
      <w:rPr>
        <w:rFonts w:ascii="Courier New" w:hAnsi="Courier New" w:hint="default"/>
      </w:rPr>
    </w:lvl>
    <w:lvl w:ilvl="2" w:tplc="20967068">
      <w:start w:val="1"/>
      <w:numFmt w:val="bullet"/>
      <w:lvlText w:val=""/>
      <w:lvlJc w:val="left"/>
      <w:pPr>
        <w:ind w:left="2160" w:hanging="360"/>
      </w:pPr>
      <w:rPr>
        <w:rFonts w:ascii="Wingdings" w:hAnsi="Wingdings" w:hint="default"/>
      </w:rPr>
    </w:lvl>
    <w:lvl w:ilvl="3" w:tplc="D5F83AAA">
      <w:start w:val="1"/>
      <w:numFmt w:val="bullet"/>
      <w:lvlText w:val=""/>
      <w:lvlJc w:val="left"/>
      <w:pPr>
        <w:ind w:left="2880" w:hanging="360"/>
      </w:pPr>
      <w:rPr>
        <w:rFonts w:ascii="Symbol" w:hAnsi="Symbol" w:hint="default"/>
      </w:rPr>
    </w:lvl>
    <w:lvl w:ilvl="4" w:tplc="D9203B92">
      <w:start w:val="1"/>
      <w:numFmt w:val="bullet"/>
      <w:lvlText w:val="o"/>
      <w:lvlJc w:val="left"/>
      <w:pPr>
        <w:ind w:left="3600" w:hanging="360"/>
      </w:pPr>
      <w:rPr>
        <w:rFonts w:ascii="Courier New" w:hAnsi="Courier New" w:hint="default"/>
      </w:rPr>
    </w:lvl>
    <w:lvl w:ilvl="5" w:tplc="C5D4E4F6">
      <w:start w:val="1"/>
      <w:numFmt w:val="bullet"/>
      <w:lvlText w:val=""/>
      <w:lvlJc w:val="left"/>
      <w:pPr>
        <w:ind w:left="4320" w:hanging="360"/>
      </w:pPr>
      <w:rPr>
        <w:rFonts w:ascii="Wingdings" w:hAnsi="Wingdings" w:hint="default"/>
      </w:rPr>
    </w:lvl>
    <w:lvl w:ilvl="6" w:tplc="4B3A70F8">
      <w:start w:val="1"/>
      <w:numFmt w:val="bullet"/>
      <w:lvlText w:val=""/>
      <w:lvlJc w:val="left"/>
      <w:pPr>
        <w:ind w:left="5040" w:hanging="360"/>
      </w:pPr>
      <w:rPr>
        <w:rFonts w:ascii="Symbol" w:hAnsi="Symbol" w:hint="default"/>
      </w:rPr>
    </w:lvl>
    <w:lvl w:ilvl="7" w:tplc="32704880">
      <w:start w:val="1"/>
      <w:numFmt w:val="bullet"/>
      <w:lvlText w:val="o"/>
      <w:lvlJc w:val="left"/>
      <w:pPr>
        <w:ind w:left="5760" w:hanging="360"/>
      </w:pPr>
      <w:rPr>
        <w:rFonts w:ascii="Courier New" w:hAnsi="Courier New" w:hint="default"/>
      </w:rPr>
    </w:lvl>
    <w:lvl w:ilvl="8" w:tplc="C5225486">
      <w:start w:val="1"/>
      <w:numFmt w:val="bullet"/>
      <w:lvlText w:val=""/>
      <w:lvlJc w:val="left"/>
      <w:pPr>
        <w:ind w:left="6480" w:hanging="360"/>
      </w:pPr>
      <w:rPr>
        <w:rFonts w:ascii="Wingdings" w:hAnsi="Wingdings" w:hint="default"/>
      </w:rPr>
    </w:lvl>
  </w:abstractNum>
  <w:abstractNum w:abstractNumId="34" w15:restartNumberingAfterBreak="0">
    <w:nsid w:val="744A10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5F29BF9"/>
    <w:multiLevelType w:val="hybridMultilevel"/>
    <w:tmpl w:val="E6E6C50C"/>
    <w:lvl w:ilvl="0" w:tplc="101E94BE">
      <w:start w:val="1"/>
      <w:numFmt w:val="bullet"/>
      <w:lvlText w:val=""/>
      <w:lvlJc w:val="left"/>
      <w:pPr>
        <w:ind w:left="720" w:hanging="360"/>
      </w:pPr>
      <w:rPr>
        <w:rFonts w:ascii="Symbol" w:hAnsi="Symbol" w:hint="default"/>
      </w:rPr>
    </w:lvl>
    <w:lvl w:ilvl="1" w:tplc="E84C2C3C">
      <w:start w:val="1"/>
      <w:numFmt w:val="bullet"/>
      <w:lvlText w:val="o"/>
      <w:lvlJc w:val="left"/>
      <w:pPr>
        <w:ind w:left="1440" w:hanging="360"/>
      </w:pPr>
      <w:rPr>
        <w:rFonts w:ascii="Courier New" w:hAnsi="Courier New" w:hint="default"/>
      </w:rPr>
    </w:lvl>
    <w:lvl w:ilvl="2" w:tplc="5314B6B6">
      <w:start w:val="1"/>
      <w:numFmt w:val="bullet"/>
      <w:lvlText w:val=""/>
      <w:lvlJc w:val="left"/>
      <w:pPr>
        <w:ind w:left="2160" w:hanging="360"/>
      </w:pPr>
      <w:rPr>
        <w:rFonts w:ascii="Wingdings" w:hAnsi="Wingdings" w:hint="default"/>
      </w:rPr>
    </w:lvl>
    <w:lvl w:ilvl="3" w:tplc="E110DDF4">
      <w:start w:val="1"/>
      <w:numFmt w:val="bullet"/>
      <w:lvlText w:val=""/>
      <w:lvlJc w:val="left"/>
      <w:pPr>
        <w:ind w:left="2880" w:hanging="360"/>
      </w:pPr>
      <w:rPr>
        <w:rFonts w:ascii="Symbol" w:hAnsi="Symbol" w:hint="default"/>
      </w:rPr>
    </w:lvl>
    <w:lvl w:ilvl="4" w:tplc="863AD63C">
      <w:start w:val="1"/>
      <w:numFmt w:val="bullet"/>
      <w:lvlText w:val="o"/>
      <w:lvlJc w:val="left"/>
      <w:pPr>
        <w:ind w:left="3600" w:hanging="360"/>
      </w:pPr>
      <w:rPr>
        <w:rFonts w:ascii="Courier New" w:hAnsi="Courier New" w:hint="default"/>
      </w:rPr>
    </w:lvl>
    <w:lvl w:ilvl="5" w:tplc="74A8DA2A">
      <w:start w:val="1"/>
      <w:numFmt w:val="bullet"/>
      <w:lvlText w:val=""/>
      <w:lvlJc w:val="left"/>
      <w:pPr>
        <w:ind w:left="4320" w:hanging="360"/>
      </w:pPr>
      <w:rPr>
        <w:rFonts w:ascii="Wingdings" w:hAnsi="Wingdings" w:hint="default"/>
      </w:rPr>
    </w:lvl>
    <w:lvl w:ilvl="6" w:tplc="F7669684">
      <w:start w:val="1"/>
      <w:numFmt w:val="bullet"/>
      <w:lvlText w:val=""/>
      <w:lvlJc w:val="left"/>
      <w:pPr>
        <w:ind w:left="5040" w:hanging="360"/>
      </w:pPr>
      <w:rPr>
        <w:rFonts w:ascii="Symbol" w:hAnsi="Symbol" w:hint="default"/>
      </w:rPr>
    </w:lvl>
    <w:lvl w:ilvl="7" w:tplc="ECA07B3C">
      <w:start w:val="1"/>
      <w:numFmt w:val="bullet"/>
      <w:lvlText w:val="o"/>
      <w:lvlJc w:val="left"/>
      <w:pPr>
        <w:ind w:left="5760" w:hanging="360"/>
      </w:pPr>
      <w:rPr>
        <w:rFonts w:ascii="Courier New" w:hAnsi="Courier New" w:hint="default"/>
      </w:rPr>
    </w:lvl>
    <w:lvl w:ilvl="8" w:tplc="0B80AED6">
      <w:start w:val="1"/>
      <w:numFmt w:val="bullet"/>
      <w:lvlText w:val=""/>
      <w:lvlJc w:val="left"/>
      <w:pPr>
        <w:ind w:left="6480" w:hanging="360"/>
      </w:pPr>
      <w:rPr>
        <w:rFonts w:ascii="Wingdings" w:hAnsi="Wingdings" w:hint="default"/>
      </w:rPr>
    </w:lvl>
  </w:abstractNum>
  <w:abstractNum w:abstractNumId="36" w15:restartNumberingAfterBreak="0">
    <w:nsid w:val="76F6E0F1"/>
    <w:multiLevelType w:val="hybridMultilevel"/>
    <w:tmpl w:val="BFDAB26E"/>
    <w:lvl w:ilvl="0" w:tplc="C9F2F4C4">
      <w:start w:val="1"/>
      <w:numFmt w:val="bullet"/>
      <w:lvlText w:val=""/>
      <w:lvlJc w:val="left"/>
      <w:pPr>
        <w:ind w:left="360" w:hanging="360"/>
      </w:pPr>
      <w:rPr>
        <w:rFonts w:ascii="Symbol" w:hAnsi="Symbol" w:hint="default"/>
      </w:rPr>
    </w:lvl>
    <w:lvl w:ilvl="1" w:tplc="9680211E">
      <w:start w:val="1"/>
      <w:numFmt w:val="bullet"/>
      <w:lvlText w:val="o"/>
      <w:lvlJc w:val="left"/>
      <w:pPr>
        <w:ind w:left="1080" w:hanging="360"/>
      </w:pPr>
      <w:rPr>
        <w:rFonts w:ascii="Courier New" w:hAnsi="Courier New" w:hint="default"/>
      </w:rPr>
    </w:lvl>
    <w:lvl w:ilvl="2" w:tplc="F9A4B866">
      <w:start w:val="1"/>
      <w:numFmt w:val="bullet"/>
      <w:lvlText w:val=""/>
      <w:lvlJc w:val="left"/>
      <w:pPr>
        <w:ind w:left="1800" w:hanging="360"/>
      </w:pPr>
      <w:rPr>
        <w:rFonts w:ascii="Wingdings" w:hAnsi="Wingdings" w:hint="default"/>
      </w:rPr>
    </w:lvl>
    <w:lvl w:ilvl="3" w:tplc="AD46F95E">
      <w:start w:val="1"/>
      <w:numFmt w:val="bullet"/>
      <w:lvlText w:val=""/>
      <w:lvlJc w:val="left"/>
      <w:pPr>
        <w:ind w:left="2520" w:hanging="360"/>
      </w:pPr>
      <w:rPr>
        <w:rFonts w:ascii="Symbol" w:hAnsi="Symbol" w:hint="default"/>
      </w:rPr>
    </w:lvl>
    <w:lvl w:ilvl="4" w:tplc="48E4B6A2">
      <w:start w:val="1"/>
      <w:numFmt w:val="bullet"/>
      <w:lvlText w:val="o"/>
      <w:lvlJc w:val="left"/>
      <w:pPr>
        <w:ind w:left="3240" w:hanging="360"/>
      </w:pPr>
      <w:rPr>
        <w:rFonts w:ascii="Courier New" w:hAnsi="Courier New" w:hint="default"/>
      </w:rPr>
    </w:lvl>
    <w:lvl w:ilvl="5" w:tplc="DC7C2F4A">
      <w:start w:val="1"/>
      <w:numFmt w:val="bullet"/>
      <w:lvlText w:val=""/>
      <w:lvlJc w:val="left"/>
      <w:pPr>
        <w:ind w:left="3960" w:hanging="360"/>
      </w:pPr>
      <w:rPr>
        <w:rFonts w:ascii="Wingdings" w:hAnsi="Wingdings" w:hint="default"/>
      </w:rPr>
    </w:lvl>
    <w:lvl w:ilvl="6" w:tplc="7DA22668">
      <w:start w:val="1"/>
      <w:numFmt w:val="bullet"/>
      <w:lvlText w:val=""/>
      <w:lvlJc w:val="left"/>
      <w:pPr>
        <w:ind w:left="4680" w:hanging="360"/>
      </w:pPr>
      <w:rPr>
        <w:rFonts w:ascii="Symbol" w:hAnsi="Symbol" w:hint="default"/>
      </w:rPr>
    </w:lvl>
    <w:lvl w:ilvl="7" w:tplc="D43C9502">
      <w:start w:val="1"/>
      <w:numFmt w:val="bullet"/>
      <w:lvlText w:val="o"/>
      <w:lvlJc w:val="left"/>
      <w:pPr>
        <w:ind w:left="5400" w:hanging="360"/>
      </w:pPr>
      <w:rPr>
        <w:rFonts w:ascii="Courier New" w:hAnsi="Courier New" w:hint="default"/>
      </w:rPr>
    </w:lvl>
    <w:lvl w:ilvl="8" w:tplc="1B724B36">
      <w:start w:val="1"/>
      <w:numFmt w:val="bullet"/>
      <w:lvlText w:val=""/>
      <w:lvlJc w:val="left"/>
      <w:pPr>
        <w:ind w:left="6120" w:hanging="360"/>
      </w:pPr>
      <w:rPr>
        <w:rFonts w:ascii="Wingdings" w:hAnsi="Wingdings" w:hint="default"/>
      </w:rPr>
    </w:lvl>
  </w:abstractNum>
  <w:abstractNum w:abstractNumId="37" w15:restartNumberingAfterBreak="0">
    <w:nsid w:val="7AC11945"/>
    <w:multiLevelType w:val="hybridMultilevel"/>
    <w:tmpl w:val="2E5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328B5"/>
    <w:multiLevelType w:val="hybridMultilevel"/>
    <w:tmpl w:val="DAAEDC68"/>
    <w:lvl w:ilvl="0" w:tplc="272AE14A">
      <w:start w:val="1"/>
      <w:numFmt w:val="bullet"/>
      <w:lvlText w:val=""/>
      <w:lvlJc w:val="left"/>
      <w:pPr>
        <w:ind w:left="360" w:hanging="360"/>
      </w:pPr>
      <w:rPr>
        <w:rFonts w:ascii="Symbol" w:hAnsi="Symbol" w:hint="default"/>
      </w:rPr>
    </w:lvl>
    <w:lvl w:ilvl="1" w:tplc="5DFE774E">
      <w:start w:val="1"/>
      <w:numFmt w:val="bullet"/>
      <w:lvlText w:val="o"/>
      <w:lvlJc w:val="left"/>
      <w:pPr>
        <w:ind w:left="1080" w:hanging="360"/>
      </w:pPr>
      <w:rPr>
        <w:rFonts w:ascii="Courier New" w:hAnsi="Courier New" w:hint="default"/>
      </w:rPr>
    </w:lvl>
    <w:lvl w:ilvl="2" w:tplc="498026A8">
      <w:start w:val="1"/>
      <w:numFmt w:val="bullet"/>
      <w:lvlText w:val=""/>
      <w:lvlJc w:val="left"/>
      <w:pPr>
        <w:ind w:left="1800" w:hanging="360"/>
      </w:pPr>
      <w:rPr>
        <w:rFonts w:ascii="Wingdings" w:hAnsi="Wingdings" w:hint="default"/>
      </w:rPr>
    </w:lvl>
    <w:lvl w:ilvl="3" w:tplc="7ACEB7A6">
      <w:start w:val="1"/>
      <w:numFmt w:val="bullet"/>
      <w:lvlText w:val=""/>
      <w:lvlJc w:val="left"/>
      <w:pPr>
        <w:ind w:left="2520" w:hanging="360"/>
      </w:pPr>
      <w:rPr>
        <w:rFonts w:ascii="Symbol" w:hAnsi="Symbol" w:hint="default"/>
      </w:rPr>
    </w:lvl>
    <w:lvl w:ilvl="4" w:tplc="E0E8AC38">
      <w:start w:val="1"/>
      <w:numFmt w:val="bullet"/>
      <w:lvlText w:val="o"/>
      <w:lvlJc w:val="left"/>
      <w:pPr>
        <w:ind w:left="3240" w:hanging="360"/>
      </w:pPr>
      <w:rPr>
        <w:rFonts w:ascii="Courier New" w:hAnsi="Courier New" w:hint="default"/>
      </w:rPr>
    </w:lvl>
    <w:lvl w:ilvl="5" w:tplc="7016824E">
      <w:start w:val="1"/>
      <w:numFmt w:val="bullet"/>
      <w:lvlText w:val=""/>
      <w:lvlJc w:val="left"/>
      <w:pPr>
        <w:ind w:left="3960" w:hanging="360"/>
      </w:pPr>
      <w:rPr>
        <w:rFonts w:ascii="Wingdings" w:hAnsi="Wingdings" w:hint="default"/>
      </w:rPr>
    </w:lvl>
    <w:lvl w:ilvl="6" w:tplc="929A840C">
      <w:start w:val="1"/>
      <w:numFmt w:val="bullet"/>
      <w:lvlText w:val=""/>
      <w:lvlJc w:val="left"/>
      <w:pPr>
        <w:ind w:left="4680" w:hanging="360"/>
      </w:pPr>
      <w:rPr>
        <w:rFonts w:ascii="Symbol" w:hAnsi="Symbol" w:hint="default"/>
      </w:rPr>
    </w:lvl>
    <w:lvl w:ilvl="7" w:tplc="480C482C">
      <w:start w:val="1"/>
      <w:numFmt w:val="bullet"/>
      <w:lvlText w:val="o"/>
      <w:lvlJc w:val="left"/>
      <w:pPr>
        <w:ind w:left="5400" w:hanging="360"/>
      </w:pPr>
      <w:rPr>
        <w:rFonts w:ascii="Courier New" w:hAnsi="Courier New" w:hint="default"/>
      </w:rPr>
    </w:lvl>
    <w:lvl w:ilvl="8" w:tplc="26108C4E">
      <w:start w:val="1"/>
      <w:numFmt w:val="bullet"/>
      <w:lvlText w:val=""/>
      <w:lvlJc w:val="left"/>
      <w:pPr>
        <w:ind w:left="6120" w:hanging="360"/>
      </w:pPr>
      <w:rPr>
        <w:rFonts w:ascii="Wingdings" w:hAnsi="Wingdings" w:hint="default"/>
      </w:rPr>
    </w:lvl>
  </w:abstractNum>
  <w:abstractNum w:abstractNumId="39" w15:restartNumberingAfterBreak="0">
    <w:nsid w:val="7D0428F2"/>
    <w:multiLevelType w:val="hybridMultilevel"/>
    <w:tmpl w:val="2EEC6EDC"/>
    <w:lvl w:ilvl="0" w:tplc="8DB02E7A">
      <w:start w:val="1"/>
      <w:numFmt w:val="bullet"/>
      <w:lvlText w:val=""/>
      <w:lvlJc w:val="left"/>
      <w:pPr>
        <w:ind w:left="360" w:hanging="360"/>
      </w:pPr>
      <w:rPr>
        <w:rFonts w:ascii="Symbol" w:hAnsi="Symbol" w:hint="default"/>
      </w:rPr>
    </w:lvl>
    <w:lvl w:ilvl="1" w:tplc="5B1A8934">
      <w:start w:val="1"/>
      <w:numFmt w:val="bullet"/>
      <w:lvlText w:val="o"/>
      <w:lvlJc w:val="left"/>
      <w:pPr>
        <w:ind w:left="1080" w:hanging="360"/>
      </w:pPr>
      <w:rPr>
        <w:rFonts w:ascii="Courier New" w:hAnsi="Courier New" w:hint="default"/>
      </w:rPr>
    </w:lvl>
    <w:lvl w:ilvl="2" w:tplc="0F4E9724">
      <w:start w:val="1"/>
      <w:numFmt w:val="bullet"/>
      <w:lvlText w:val=""/>
      <w:lvlJc w:val="left"/>
      <w:pPr>
        <w:ind w:left="1800" w:hanging="360"/>
      </w:pPr>
      <w:rPr>
        <w:rFonts w:ascii="Wingdings" w:hAnsi="Wingdings" w:hint="default"/>
      </w:rPr>
    </w:lvl>
    <w:lvl w:ilvl="3" w:tplc="CB4E1B56">
      <w:start w:val="1"/>
      <w:numFmt w:val="bullet"/>
      <w:lvlText w:val=""/>
      <w:lvlJc w:val="left"/>
      <w:pPr>
        <w:ind w:left="2520" w:hanging="360"/>
      </w:pPr>
      <w:rPr>
        <w:rFonts w:ascii="Symbol" w:hAnsi="Symbol" w:hint="default"/>
      </w:rPr>
    </w:lvl>
    <w:lvl w:ilvl="4" w:tplc="2CAC251E">
      <w:start w:val="1"/>
      <w:numFmt w:val="bullet"/>
      <w:lvlText w:val="o"/>
      <w:lvlJc w:val="left"/>
      <w:pPr>
        <w:ind w:left="3240" w:hanging="360"/>
      </w:pPr>
      <w:rPr>
        <w:rFonts w:ascii="Courier New" w:hAnsi="Courier New" w:hint="default"/>
      </w:rPr>
    </w:lvl>
    <w:lvl w:ilvl="5" w:tplc="33E404DA">
      <w:start w:val="1"/>
      <w:numFmt w:val="bullet"/>
      <w:lvlText w:val=""/>
      <w:lvlJc w:val="left"/>
      <w:pPr>
        <w:ind w:left="3960" w:hanging="360"/>
      </w:pPr>
      <w:rPr>
        <w:rFonts w:ascii="Wingdings" w:hAnsi="Wingdings" w:hint="default"/>
      </w:rPr>
    </w:lvl>
    <w:lvl w:ilvl="6" w:tplc="A35A4790">
      <w:start w:val="1"/>
      <w:numFmt w:val="bullet"/>
      <w:lvlText w:val=""/>
      <w:lvlJc w:val="left"/>
      <w:pPr>
        <w:ind w:left="4680" w:hanging="360"/>
      </w:pPr>
      <w:rPr>
        <w:rFonts w:ascii="Symbol" w:hAnsi="Symbol" w:hint="default"/>
      </w:rPr>
    </w:lvl>
    <w:lvl w:ilvl="7" w:tplc="CBD4FA00">
      <w:start w:val="1"/>
      <w:numFmt w:val="bullet"/>
      <w:lvlText w:val="o"/>
      <w:lvlJc w:val="left"/>
      <w:pPr>
        <w:ind w:left="5400" w:hanging="360"/>
      </w:pPr>
      <w:rPr>
        <w:rFonts w:ascii="Courier New" w:hAnsi="Courier New" w:hint="default"/>
      </w:rPr>
    </w:lvl>
    <w:lvl w:ilvl="8" w:tplc="84400CA2">
      <w:start w:val="1"/>
      <w:numFmt w:val="bullet"/>
      <w:lvlText w:val=""/>
      <w:lvlJc w:val="left"/>
      <w:pPr>
        <w:ind w:left="6120" w:hanging="360"/>
      </w:pPr>
      <w:rPr>
        <w:rFonts w:ascii="Wingdings" w:hAnsi="Wingdings" w:hint="default"/>
      </w:rPr>
    </w:lvl>
  </w:abstractNum>
  <w:abstractNum w:abstractNumId="40" w15:restartNumberingAfterBreak="0">
    <w:nsid w:val="7D07A2E7"/>
    <w:multiLevelType w:val="hybridMultilevel"/>
    <w:tmpl w:val="86B4357A"/>
    <w:lvl w:ilvl="0" w:tplc="F1A87C04">
      <w:start w:val="1"/>
      <w:numFmt w:val="bullet"/>
      <w:lvlText w:val=""/>
      <w:lvlJc w:val="left"/>
      <w:pPr>
        <w:ind w:left="360" w:hanging="360"/>
      </w:pPr>
      <w:rPr>
        <w:rFonts w:ascii="Symbol" w:hAnsi="Symbol" w:hint="default"/>
      </w:rPr>
    </w:lvl>
    <w:lvl w:ilvl="1" w:tplc="4A1EB7F8">
      <w:start w:val="1"/>
      <w:numFmt w:val="bullet"/>
      <w:lvlText w:val="o"/>
      <w:lvlJc w:val="left"/>
      <w:pPr>
        <w:ind w:left="1080" w:hanging="360"/>
      </w:pPr>
      <w:rPr>
        <w:rFonts w:ascii="Courier New" w:hAnsi="Courier New" w:hint="default"/>
      </w:rPr>
    </w:lvl>
    <w:lvl w:ilvl="2" w:tplc="41A4B216">
      <w:start w:val="1"/>
      <w:numFmt w:val="bullet"/>
      <w:lvlText w:val=""/>
      <w:lvlJc w:val="left"/>
      <w:pPr>
        <w:ind w:left="1800" w:hanging="360"/>
      </w:pPr>
      <w:rPr>
        <w:rFonts w:ascii="Wingdings" w:hAnsi="Wingdings" w:hint="default"/>
      </w:rPr>
    </w:lvl>
    <w:lvl w:ilvl="3" w:tplc="9A8EB844">
      <w:start w:val="1"/>
      <w:numFmt w:val="bullet"/>
      <w:lvlText w:val=""/>
      <w:lvlJc w:val="left"/>
      <w:pPr>
        <w:ind w:left="2520" w:hanging="360"/>
      </w:pPr>
      <w:rPr>
        <w:rFonts w:ascii="Symbol" w:hAnsi="Symbol" w:hint="default"/>
      </w:rPr>
    </w:lvl>
    <w:lvl w:ilvl="4" w:tplc="A8D817C4">
      <w:start w:val="1"/>
      <w:numFmt w:val="bullet"/>
      <w:lvlText w:val="o"/>
      <w:lvlJc w:val="left"/>
      <w:pPr>
        <w:ind w:left="3240" w:hanging="360"/>
      </w:pPr>
      <w:rPr>
        <w:rFonts w:ascii="Courier New" w:hAnsi="Courier New" w:hint="default"/>
      </w:rPr>
    </w:lvl>
    <w:lvl w:ilvl="5" w:tplc="35E4C4A0">
      <w:start w:val="1"/>
      <w:numFmt w:val="bullet"/>
      <w:lvlText w:val=""/>
      <w:lvlJc w:val="left"/>
      <w:pPr>
        <w:ind w:left="3960" w:hanging="360"/>
      </w:pPr>
      <w:rPr>
        <w:rFonts w:ascii="Wingdings" w:hAnsi="Wingdings" w:hint="default"/>
      </w:rPr>
    </w:lvl>
    <w:lvl w:ilvl="6" w:tplc="BBD679B8">
      <w:start w:val="1"/>
      <w:numFmt w:val="bullet"/>
      <w:lvlText w:val=""/>
      <w:lvlJc w:val="left"/>
      <w:pPr>
        <w:ind w:left="4680" w:hanging="360"/>
      </w:pPr>
      <w:rPr>
        <w:rFonts w:ascii="Symbol" w:hAnsi="Symbol" w:hint="default"/>
      </w:rPr>
    </w:lvl>
    <w:lvl w:ilvl="7" w:tplc="217046F4">
      <w:start w:val="1"/>
      <w:numFmt w:val="bullet"/>
      <w:lvlText w:val="o"/>
      <w:lvlJc w:val="left"/>
      <w:pPr>
        <w:ind w:left="5400" w:hanging="360"/>
      </w:pPr>
      <w:rPr>
        <w:rFonts w:ascii="Courier New" w:hAnsi="Courier New" w:hint="default"/>
      </w:rPr>
    </w:lvl>
    <w:lvl w:ilvl="8" w:tplc="646E352C">
      <w:start w:val="1"/>
      <w:numFmt w:val="bullet"/>
      <w:lvlText w:val=""/>
      <w:lvlJc w:val="left"/>
      <w:pPr>
        <w:ind w:left="6120" w:hanging="360"/>
      </w:pPr>
      <w:rPr>
        <w:rFonts w:ascii="Wingdings" w:hAnsi="Wingdings" w:hint="default"/>
      </w:rPr>
    </w:lvl>
  </w:abstractNum>
  <w:abstractNum w:abstractNumId="41" w15:restartNumberingAfterBreak="0">
    <w:nsid w:val="7DAE60EF"/>
    <w:multiLevelType w:val="hybridMultilevel"/>
    <w:tmpl w:val="6EC846A0"/>
    <w:lvl w:ilvl="0" w:tplc="E59AD59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0">
    <w:lvl w:ilvl="0">
      <w:start w:val="1"/>
      <w:numFmt w:val="bullet"/>
      <w:lvlText w:val="•"/>
      <w:pPr>
        <w:ind w:left="567" w:hanging="284"/>
      </w:pPr>
    </w:lvl>
    <w:lvl w:ilvl="1">
      <w:start w:val="1"/>
      <w:numFmt w:val="bullet"/>
      <w:lvlText w:val="•"/>
      <w:pPr>
        <w:ind w:left="1134" w:hanging="284"/>
      </w:pPr>
    </w:lvl>
  </w:abstractNum>
  <w:abstractNum w:abstractNumId="901">
    <w:lvl w:ilvl="0">
      <w:start w:val="1"/>
      <w:numFmt w:val="decimal"/>
      <w:lvlText w:val="%1."/>
      <w:pPr>
        <w:ind w:left="567" w:hanging="284"/>
      </w:pPr>
    </w:lvl>
    <w:lvl w:ilvl="1">
      <w:start w:val="1"/>
      <w:numFmt w:val="lowerLetter"/>
      <w:lvlText w:val="%2."/>
      <w:pPr>
        <w:ind w:left="1134" w:hanging="284"/>
      </w:pPr>
    </w:lvl>
  </w:abstractNum>
  <w:num w:numId="1">
    <w:abstractNumId w:val="23"/>
  </w:num>
  <w:num w:numId="2">
    <w:abstractNumId w:val="33"/>
  </w:num>
  <w:num w:numId="3">
    <w:abstractNumId w:val="5"/>
  </w:num>
  <w:num w:numId="4">
    <w:abstractNumId w:val="35"/>
  </w:num>
  <w:num w:numId="5">
    <w:abstractNumId w:val="24"/>
  </w:num>
  <w:num w:numId="6">
    <w:abstractNumId w:val="1"/>
  </w:num>
  <w:num w:numId="7">
    <w:abstractNumId w:val="21"/>
  </w:num>
  <w:num w:numId="8">
    <w:abstractNumId w:val="40"/>
  </w:num>
  <w:num w:numId="9">
    <w:abstractNumId w:val="27"/>
  </w:num>
  <w:num w:numId="10">
    <w:abstractNumId w:val="9"/>
  </w:num>
  <w:num w:numId="11">
    <w:abstractNumId w:val="4"/>
  </w:num>
  <w:num w:numId="12">
    <w:abstractNumId w:val="30"/>
  </w:num>
  <w:num w:numId="13">
    <w:abstractNumId w:val="29"/>
  </w:num>
  <w:num w:numId="14">
    <w:abstractNumId w:val="26"/>
  </w:num>
  <w:num w:numId="15">
    <w:abstractNumId w:val="32"/>
  </w:num>
  <w:num w:numId="16">
    <w:abstractNumId w:val="39"/>
  </w:num>
  <w:num w:numId="17">
    <w:abstractNumId w:val="17"/>
  </w:num>
  <w:num w:numId="18">
    <w:abstractNumId w:val="22"/>
  </w:num>
  <w:num w:numId="19">
    <w:abstractNumId w:val="36"/>
  </w:num>
  <w:num w:numId="20">
    <w:abstractNumId w:val="38"/>
  </w:num>
  <w:num w:numId="21">
    <w:abstractNumId w:val="11"/>
  </w:num>
  <w:num w:numId="22">
    <w:abstractNumId w:val="25"/>
  </w:num>
  <w:num w:numId="23">
    <w:abstractNumId w:val="28"/>
  </w:num>
  <w:num w:numId="24">
    <w:abstractNumId w:val="7"/>
  </w:num>
  <w:num w:numId="25">
    <w:abstractNumId w:val="13"/>
  </w:num>
  <w:num w:numId="26">
    <w:abstractNumId w:val="6"/>
  </w:num>
  <w:num w:numId="27">
    <w:abstractNumId w:val="19"/>
  </w:num>
  <w:num w:numId="28">
    <w:abstractNumId w:val="16"/>
    <w:lvlOverride w:ilvl="0">
      <w:startOverride w:val="1"/>
    </w:lvlOverride>
  </w:num>
  <w:num w:numId="29">
    <w:abstractNumId w:val="31"/>
  </w:num>
  <w:num w:numId="30">
    <w:abstractNumId w:val="20"/>
  </w:num>
  <w:num w:numId="31">
    <w:abstractNumId w:val="2"/>
  </w:num>
  <w:num w:numId="32">
    <w:abstractNumId w:val="0"/>
  </w:num>
  <w:num w:numId="33">
    <w:abstractNumId w:val="18"/>
  </w:num>
  <w:num w:numId="34">
    <w:abstractNumId w:val="34"/>
  </w:num>
  <w:num w:numId="35">
    <w:abstractNumId w:val="8"/>
  </w:num>
  <w:num w:numId="36">
    <w:abstractNumId w:val="41"/>
  </w:num>
  <w:num w:numId="37">
    <w:abstractNumId w:val="14"/>
  </w:num>
  <w:num w:numId="38">
    <w:abstractNumId w:val="10"/>
    <w:lvlOverride w:ilvl="0">
      <w:startOverride w:val="1"/>
    </w:lvlOverride>
  </w:num>
  <w:num w:numId="39">
    <w:abstractNumId w:val="3"/>
  </w:num>
  <w:num w:numId="40">
    <w:abstractNumId w:val="12"/>
  </w:num>
  <w:num w:numId="41">
    <w:abstractNumId w:val="37"/>
  </w:num>
  <w:num w:numId="42">
    <w:abstractNumId w:val="15"/>
  </w:num>
  <w:numIdMacAtCleanup w:val="34"/>
  <w:num w:numId="901">
    <w:abstractNumId w:val="900"/>
    <w:lvlOverride w:ilvl="0">
      <w:startOverride w:val="1"/>
    </w:lvlOverride>
  </w:num>
  <w:num w:numId="902">
    <w:abstractNumId w:val="900"/>
    <w:lvlOverride w:ilvl="0">
      <w:startOverride w:val="1"/>
    </w:lvlOverride>
  </w:num>
  <w:num w:numId="903">
    <w:abstractNumId w:val="901"/>
    <w:lvlOverride w:ilvl="0">
      <w:startOverride w:val="1"/>
    </w:lvlOverride>
  </w:num>
  <w:num w:numId="904">
    <w:abstractNumId w:val="900"/>
    <w:lvlOverride w:ilvl="0">
      <w:startOverride w:val="1"/>
    </w:lvlOverride>
  </w:num>
  <w:num w:numId="905">
    <w:abstractNumId w:val="901"/>
    <w:lvlOverride w:ilvl="0">
      <w:startOverride w:val="1"/>
    </w:lvlOverride>
  </w:num>
  <w:num w:numId="906">
    <w:abstractNumId w:val="900"/>
    <w:lvlOverride w:ilvl="0">
      <w:startOverride w:val="1"/>
    </w:lvlOverride>
  </w:num>
  <w:num w:numId="907">
    <w:abstractNumId w:val="901"/>
    <w:lvlOverride w:ilvl="0">
      <w:startOverride w:val="1"/>
    </w:lvlOverride>
  </w:num>
  <w:num w:numId="908">
    <w:abstractNumId w:val="900"/>
    <w:lvlOverride w:ilvl="0">
      <w:startOverride w:val="1"/>
    </w:lvlOverride>
  </w:num>
  <w:num w:numId="909">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9F403"/>
    <w:rsid w:val="000008F8"/>
    <w:rsid w:val="00003853"/>
    <w:rsid w:val="000061BA"/>
    <w:rsid w:val="000069B6"/>
    <w:rsid w:val="00010333"/>
    <w:rsid w:val="0001033C"/>
    <w:rsid w:val="00013EDD"/>
    <w:rsid w:val="00020D57"/>
    <w:rsid w:val="000217EB"/>
    <w:rsid w:val="0002449C"/>
    <w:rsid w:val="00025EB4"/>
    <w:rsid w:val="000332AE"/>
    <w:rsid w:val="00035616"/>
    <w:rsid w:val="000378BA"/>
    <w:rsid w:val="00037926"/>
    <w:rsid w:val="0004634B"/>
    <w:rsid w:val="00052CD4"/>
    <w:rsid w:val="000537D4"/>
    <w:rsid w:val="00053ABB"/>
    <w:rsid w:val="00056EF2"/>
    <w:rsid w:val="000576F7"/>
    <w:rsid w:val="000627C6"/>
    <w:rsid w:val="0006462E"/>
    <w:rsid w:val="000665D1"/>
    <w:rsid w:val="0006712E"/>
    <w:rsid w:val="0006B6E1"/>
    <w:rsid w:val="00070C00"/>
    <w:rsid w:val="00082D4E"/>
    <w:rsid w:val="00090A18"/>
    <w:rsid w:val="0009146A"/>
    <w:rsid w:val="00091DFC"/>
    <w:rsid w:val="00092CF9"/>
    <w:rsid w:val="000930E1"/>
    <w:rsid w:val="0009683B"/>
    <w:rsid w:val="00096CCF"/>
    <w:rsid w:val="00097754"/>
    <w:rsid w:val="000A2BFF"/>
    <w:rsid w:val="000A468C"/>
    <w:rsid w:val="000A5E08"/>
    <w:rsid w:val="000A7D36"/>
    <w:rsid w:val="000AEB2D"/>
    <w:rsid w:val="000B14D6"/>
    <w:rsid w:val="000B217A"/>
    <w:rsid w:val="000B2A89"/>
    <w:rsid w:val="000B3954"/>
    <w:rsid w:val="000B52D0"/>
    <w:rsid w:val="000B6440"/>
    <w:rsid w:val="000C2847"/>
    <w:rsid w:val="000C334F"/>
    <w:rsid w:val="000C46A0"/>
    <w:rsid w:val="000C6529"/>
    <w:rsid w:val="000D20BE"/>
    <w:rsid w:val="000D47AC"/>
    <w:rsid w:val="000D4BDE"/>
    <w:rsid w:val="000D5C7C"/>
    <w:rsid w:val="000D6DD7"/>
    <w:rsid w:val="000E18A4"/>
    <w:rsid w:val="000E640A"/>
    <w:rsid w:val="000E6C47"/>
    <w:rsid w:val="000F000F"/>
    <w:rsid w:val="000F6004"/>
    <w:rsid w:val="000F7471"/>
    <w:rsid w:val="001024AD"/>
    <w:rsid w:val="00102CBF"/>
    <w:rsid w:val="00103814"/>
    <w:rsid w:val="00104898"/>
    <w:rsid w:val="00107390"/>
    <w:rsid w:val="00107A2E"/>
    <w:rsid w:val="00111D18"/>
    <w:rsid w:val="001136AD"/>
    <w:rsid w:val="00113EFF"/>
    <w:rsid w:val="00120046"/>
    <w:rsid w:val="00120155"/>
    <w:rsid w:val="0012030D"/>
    <w:rsid w:val="00120EAC"/>
    <w:rsid w:val="0012492C"/>
    <w:rsid w:val="00126CCA"/>
    <w:rsid w:val="00132FAE"/>
    <w:rsid w:val="00136697"/>
    <w:rsid w:val="001378F7"/>
    <w:rsid w:val="001442DA"/>
    <w:rsid w:val="00150BE4"/>
    <w:rsid w:val="00152BA9"/>
    <w:rsid w:val="00152EB4"/>
    <w:rsid w:val="00153969"/>
    <w:rsid w:val="0015637F"/>
    <w:rsid w:val="00156C66"/>
    <w:rsid w:val="00157852"/>
    <w:rsid w:val="00157F33"/>
    <w:rsid w:val="001607BA"/>
    <w:rsid w:val="0016254F"/>
    <w:rsid w:val="00167056"/>
    <w:rsid w:val="0017178D"/>
    <w:rsid w:val="001717C0"/>
    <w:rsid w:val="00171EC5"/>
    <w:rsid w:val="0017236C"/>
    <w:rsid w:val="00174A8B"/>
    <w:rsid w:val="001755B3"/>
    <w:rsid w:val="00183965"/>
    <w:rsid w:val="00184C81"/>
    <w:rsid w:val="00186438"/>
    <w:rsid w:val="001938A8"/>
    <w:rsid w:val="0019491B"/>
    <w:rsid w:val="001960F7"/>
    <w:rsid w:val="001A0ADF"/>
    <w:rsid w:val="001A2D2D"/>
    <w:rsid w:val="001A6BB9"/>
    <w:rsid w:val="001B0443"/>
    <w:rsid w:val="001B071E"/>
    <w:rsid w:val="001B0EFB"/>
    <w:rsid w:val="001B2535"/>
    <w:rsid w:val="001B2EE3"/>
    <w:rsid w:val="001B386D"/>
    <w:rsid w:val="001B40BF"/>
    <w:rsid w:val="001B4403"/>
    <w:rsid w:val="001B45E2"/>
    <w:rsid w:val="001C5FA9"/>
    <w:rsid w:val="001D07CF"/>
    <w:rsid w:val="001D1A0B"/>
    <w:rsid w:val="001D1A8C"/>
    <w:rsid w:val="001D25B0"/>
    <w:rsid w:val="001D32A7"/>
    <w:rsid w:val="001D32C5"/>
    <w:rsid w:val="001D3854"/>
    <w:rsid w:val="001D64F0"/>
    <w:rsid w:val="001D6FF6"/>
    <w:rsid w:val="001E0DEF"/>
    <w:rsid w:val="001E1995"/>
    <w:rsid w:val="001E2AFD"/>
    <w:rsid w:val="001E572C"/>
    <w:rsid w:val="001E6261"/>
    <w:rsid w:val="001E725C"/>
    <w:rsid w:val="001E7CB3"/>
    <w:rsid w:val="001F2612"/>
    <w:rsid w:val="001F28BD"/>
    <w:rsid w:val="001F2BE7"/>
    <w:rsid w:val="001F2D6D"/>
    <w:rsid w:val="001F3030"/>
    <w:rsid w:val="001F32DC"/>
    <w:rsid w:val="001F3F84"/>
    <w:rsid w:val="001F408F"/>
    <w:rsid w:val="001F44EF"/>
    <w:rsid w:val="002025C1"/>
    <w:rsid w:val="00203E03"/>
    <w:rsid w:val="002043B8"/>
    <w:rsid w:val="0020566E"/>
    <w:rsid w:val="00210936"/>
    <w:rsid w:val="00210DC3"/>
    <w:rsid w:val="00211A29"/>
    <w:rsid w:val="00213191"/>
    <w:rsid w:val="0021335A"/>
    <w:rsid w:val="00213F96"/>
    <w:rsid w:val="002145EF"/>
    <w:rsid w:val="0021621D"/>
    <w:rsid w:val="002214A9"/>
    <w:rsid w:val="002230CD"/>
    <w:rsid w:val="00224661"/>
    <w:rsid w:val="002248FC"/>
    <w:rsid w:val="002257B6"/>
    <w:rsid w:val="00225E69"/>
    <w:rsid w:val="00226CAF"/>
    <w:rsid w:val="00230724"/>
    <w:rsid w:val="002312BC"/>
    <w:rsid w:val="002316FA"/>
    <w:rsid w:val="00233144"/>
    <w:rsid w:val="00236251"/>
    <w:rsid w:val="002367E2"/>
    <w:rsid w:val="00236B12"/>
    <w:rsid w:val="00237FB0"/>
    <w:rsid w:val="002412F7"/>
    <w:rsid w:val="00241FB1"/>
    <w:rsid w:val="00244941"/>
    <w:rsid w:val="00244DDF"/>
    <w:rsid w:val="002459F9"/>
    <w:rsid w:val="002505F5"/>
    <w:rsid w:val="002513CB"/>
    <w:rsid w:val="00261D6E"/>
    <w:rsid w:val="00272D31"/>
    <w:rsid w:val="00285087"/>
    <w:rsid w:val="00287400"/>
    <w:rsid w:val="00287F41"/>
    <w:rsid w:val="00291005"/>
    <w:rsid w:val="00291790"/>
    <w:rsid w:val="00291FD2"/>
    <w:rsid w:val="00292306"/>
    <w:rsid w:val="00293F60"/>
    <w:rsid w:val="00294ED5"/>
    <w:rsid w:val="00295BCD"/>
    <w:rsid w:val="00297DFF"/>
    <w:rsid w:val="00297F0F"/>
    <w:rsid w:val="002A0DA0"/>
    <w:rsid w:val="002A3807"/>
    <w:rsid w:val="002A5911"/>
    <w:rsid w:val="002B00E7"/>
    <w:rsid w:val="002B045C"/>
    <w:rsid w:val="002B0970"/>
    <w:rsid w:val="002B0E61"/>
    <w:rsid w:val="002B0F5C"/>
    <w:rsid w:val="002B18F2"/>
    <w:rsid w:val="002B1ACF"/>
    <w:rsid w:val="002B2473"/>
    <w:rsid w:val="002B27B9"/>
    <w:rsid w:val="002B2AF3"/>
    <w:rsid w:val="002B5E95"/>
    <w:rsid w:val="002B5FB2"/>
    <w:rsid w:val="002C05CC"/>
    <w:rsid w:val="002C4AFF"/>
    <w:rsid w:val="002C7E22"/>
    <w:rsid w:val="002D0407"/>
    <w:rsid w:val="002D14F9"/>
    <w:rsid w:val="002D1E03"/>
    <w:rsid w:val="002D4739"/>
    <w:rsid w:val="002D64C1"/>
    <w:rsid w:val="002D6A5C"/>
    <w:rsid w:val="002D6AB0"/>
    <w:rsid w:val="002D6D20"/>
    <w:rsid w:val="002E008C"/>
    <w:rsid w:val="002E0C7E"/>
    <w:rsid w:val="002E31B0"/>
    <w:rsid w:val="002E7A56"/>
    <w:rsid w:val="002F1070"/>
    <w:rsid w:val="002F1E74"/>
    <w:rsid w:val="002F1FD7"/>
    <w:rsid w:val="002F2FE1"/>
    <w:rsid w:val="002F39BF"/>
    <w:rsid w:val="002F573F"/>
    <w:rsid w:val="00301378"/>
    <w:rsid w:val="00303BFE"/>
    <w:rsid w:val="0030647F"/>
    <w:rsid w:val="00306759"/>
    <w:rsid w:val="00307078"/>
    <w:rsid w:val="0031128B"/>
    <w:rsid w:val="0031395D"/>
    <w:rsid w:val="00313DE3"/>
    <w:rsid w:val="00316C06"/>
    <w:rsid w:val="00317065"/>
    <w:rsid w:val="00320E26"/>
    <w:rsid w:val="00321D02"/>
    <w:rsid w:val="00322EF5"/>
    <w:rsid w:val="003236CF"/>
    <w:rsid w:val="003238EB"/>
    <w:rsid w:val="00330A1C"/>
    <w:rsid w:val="00334B0F"/>
    <w:rsid w:val="003359AE"/>
    <w:rsid w:val="00335BCB"/>
    <w:rsid w:val="003376F2"/>
    <w:rsid w:val="0033878A"/>
    <w:rsid w:val="00340054"/>
    <w:rsid w:val="003400C6"/>
    <w:rsid w:val="00341AC8"/>
    <w:rsid w:val="003430F9"/>
    <w:rsid w:val="0034321C"/>
    <w:rsid w:val="00346533"/>
    <w:rsid w:val="003524AF"/>
    <w:rsid w:val="00352D4C"/>
    <w:rsid w:val="00355F96"/>
    <w:rsid w:val="0035627B"/>
    <w:rsid w:val="00356F92"/>
    <w:rsid w:val="00357382"/>
    <w:rsid w:val="003637CD"/>
    <w:rsid w:val="003713C4"/>
    <w:rsid w:val="00371A3F"/>
    <w:rsid w:val="003739FD"/>
    <w:rsid w:val="0037413A"/>
    <w:rsid w:val="003748B6"/>
    <w:rsid w:val="00374D3C"/>
    <w:rsid w:val="00380A6B"/>
    <w:rsid w:val="003853E1"/>
    <w:rsid w:val="003854A7"/>
    <w:rsid w:val="00390705"/>
    <w:rsid w:val="00390C75"/>
    <w:rsid w:val="00391466"/>
    <w:rsid w:val="00391528"/>
    <w:rsid w:val="00391772"/>
    <w:rsid w:val="00392258"/>
    <w:rsid w:val="00393618"/>
    <w:rsid w:val="00394942"/>
    <w:rsid w:val="00395866"/>
    <w:rsid w:val="003971B8"/>
    <w:rsid w:val="003A3B2F"/>
    <w:rsid w:val="003A3B78"/>
    <w:rsid w:val="003A484E"/>
    <w:rsid w:val="003A7C6B"/>
    <w:rsid w:val="003B0CC8"/>
    <w:rsid w:val="003B624D"/>
    <w:rsid w:val="003C14F0"/>
    <w:rsid w:val="003C17CC"/>
    <w:rsid w:val="003C2E4A"/>
    <w:rsid w:val="003C3C67"/>
    <w:rsid w:val="003C6A59"/>
    <w:rsid w:val="003D0E7B"/>
    <w:rsid w:val="003D2352"/>
    <w:rsid w:val="003D400E"/>
    <w:rsid w:val="003D4DD1"/>
    <w:rsid w:val="003E16C3"/>
    <w:rsid w:val="003E1912"/>
    <w:rsid w:val="003E1B57"/>
    <w:rsid w:val="003E263E"/>
    <w:rsid w:val="003E47C5"/>
    <w:rsid w:val="003E532D"/>
    <w:rsid w:val="003E5402"/>
    <w:rsid w:val="003E5EB8"/>
    <w:rsid w:val="003E66E0"/>
    <w:rsid w:val="003E6A85"/>
    <w:rsid w:val="003E7AF2"/>
    <w:rsid w:val="003F0F81"/>
    <w:rsid w:val="003F2284"/>
    <w:rsid w:val="003F4004"/>
    <w:rsid w:val="003F4C0A"/>
    <w:rsid w:val="003F4D2D"/>
    <w:rsid w:val="003F741D"/>
    <w:rsid w:val="003F7719"/>
    <w:rsid w:val="004011F2"/>
    <w:rsid w:val="0040193E"/>
    <w:rsid w:val="00402E81"/>
    <w:rsid w:val="00403D9C"/>
    <w:rsid w:val="004054B3"/>
    <w:rsid w:val="0040580F"/>
    <w:rsid w:val="0041021D"/>
    <w:rsid w:val="0041030D"/>
    <w:rsid w:val="00410D0A"/>
    <w:rsid w:val="00414626"/>
    <w:rsid w:val="00416737"/>
    <w:rsid w:val="00416B20"/>
    <w:rsid w:val="00417885"/>
    <w:rsid w:val="0042173A"/>
    <w:rsid w:val="00422FD8"/>
    <w:rsid w:val="00423CD7"/>
    <w:rsid w:val="004261E2"/>
    <w:rsid w:val="00431EFA"/>
    <w:rsid w:val="00441E9E"/>
    <w:rsid w:val="00444967"/>
    <w:rsid w:val="004451BA"/>
    <w:rsid w:val="00445312"/>
    <w:rsid w:val="00445DBE"/>
    <w:rsid w:val="004463BB"/>
    <w:rsid w:val="00446651"/>
    <w:rsid w:val="0044669F"/>
    <w:rsid w:val="004510BE"/>
    <w:rsid w:val="00451AE3"/>
    <w:rsid w:val="00453A81"/>
    <w:rsid w:val="00455DDD"/>
    <w:rsid w:val="004568DB"/>
    <w:rsid w:val="00461FDC"/>
    <w:rsid w:val="00463A6F"/>
    <w:rsid w:val="0046557F"/>
    <w:rsid w:val="00471A52"/>
    <w:rsid w:val="00474494"/>
    <w:rsid w:val="00474FF3"/>
    <w:rsid w:val="004816B9"/>
    <w:rsid w:val="00481AC3"/>
    <w:rsid w:val="00485EF6"/>
    <w:rsid w:val="0049304C"/>
    <w:rsid w:val="00495218"/>
    <w:rsid w:val="00495CF6"/>
    <w:rsid w:val="00496148"/>
    <w:rsid w:val="00496A5E"/>
    <w:rsid w:val="00497054"/>
    <w:rsid w:val="004A28DD"/>
    <w:rsid w:val="004A2C4E"/>
    <w:rsid w:val="004A314C"/>
    <w:rsid w:val="004A65D5"/>
    <w:rsid w:val="004A7F7F"/>
    <w:rsid w:val="004B0569"/>
    <w:rsid w:val="004B3D9F"/>
    <w:rsid w:val="004B445C"/>
    <w:rsid w:val="004B4819"/>
    <w:rsid w:val="004B49D1"/>
    <w:rsid w:val="004B5225"/>
    <w:rsid w:val="004C1274"/>
    <w:rsid w:val="004C15D3"/>
    <w:rsid w:val="004C288B"/>
    <w:rsid w:val="004C481C"/>
    <w:rsid w:val="004C6562"/>
    <w:rsid w:val="004D0407"/>
    <w:rsid w:val="004D0F8A"/>
    <w:rsid w:val="004D1408"/>
    <w:rsid w:val="004D1B31"/>
    <w:rsid w:val="004D21CC"/>
    <w:rsid w:val="004D5FB7"/>
    <w:rsid w:val="004D6E8F"/>
    <w:rsid w:val="004E023C"/>
    <w:rsid w:val="004E0B51"/>
    <w:rsid w:val="004E1DE7"/>
    <w:rsid w:val="004E3BF6"/>
    <w:rsid w:val="004E554F"/>
    <w:rsid w:val="004E584E"/>
    <w:rsid w:val="004E5E79"/>
    <w:rsid w:val="004E5F73"/>
    <w:rsid w:val="004F135A"/>
    <w:rsid w:val="004F44C9"/>
    <w:rsid w:val="004F44FD"/>
    <w:rsid w:val="004F4F41"/>
    <w:rsid w:val="004F738D"/>
    <w:rsid w:val="005002DC"/>
    <w:rsid w:val="00504BBB"/>
    <w:rsid w:val="00506BF0"/>
    <w:rsid w:val="00514027"/>
    <w:rsid w:val="0051683E"/>
    <w:rsid w:val="00520173"/>
    <w:rsid w:val="00521FB4"/>
    <w:rsid w:val="005237C8"/>
    <w:rsid w:val="005255D2"/>
    <w:rsid w:val="00527272"/>
    <w:rsid w:val="00530185"/>
    <w:rsid w:val="005306EF"/>
    <w:rsid w:val="00530A76"/>
    <w:rsid w:val="00531B07"/>
    <w:rsid w:val="00531F3C"/>
    <w:rsid w:val="00536A0F"/>
    <w:rsid w:val="005377C0"/>
    <w:rsid w:val="005438EE"/>
    <w:rsid w:val="005451E4"/>
    <w:rsid w:val="00550F7B"/>
    <w:rsid w:val="005543A1"/>
    <w:rsid w:val="0055505B"/>
    <w:rsid w:val="00555C69"/>
    <w:rsid w:val="00560930"/>
    <w:rsid w:val="00560F70"/>
    <w:rsid w:val="00561371"/>
    <w:rsid w:val="00562683"/>
    <w:rsid w:val="00565003"/>
    <w:rsid w:val="00570B12"/>
    <w:rsid w:val="00574837"/>
    <w:rsid w:val="00574DC0"/>
    <w:rsid w:val="005759FA"/>
    <w:rsid w:val="005768D4"/>
    <w:rsid w:val="00577036"/>
    <w:rsid w:val="005771B1"/>
    <w:rsid w:val="005813BE"/>
    <w:rsid w:val="00582460"/>
    <w:rsid w:val="00582558"/>
    <w:rsid w:val="00583DCC"/>
    <w:rsid w:val="00584D53"/>
    <w:rsid w:val="0059021C"/>
    <w:rsid w:val="00594242"/>
    <w:rsid w:val="0059462D"/>
    <w:rsid w:val="00596362"/>
    <w:rsid w:val="005A4C37"/>
    <w:rsid w:val="005A59FD"/>
    <w:rsid w:val="005A7A6D"/>
    <w:rsid w:val="005B04DE"/>
    <w:rsid w:val="005B25A0"/>
    <w:rsid w:val="005B33C2"/>
    <w:rsid w:val="005B48A1"/>
    <w:rsid w:val="005B52E0"/>
    <w:rsid w:val="005B6D23"/>
    <w:rsid w:val="005C2BD7"/>
    <w:rsid w:val="005C47BC"/>
    <w:rsid w:val="005D3F1B"/>
    <w:rsid w:val="005D4808"/>
    <w:rsid w:val="005E5899"/>
    <w:rsid w:val="005E653B"/>
    <w:rsid w:val="005F06F0"/>
    <w:rsid w:val="005F1374"/>
    <w:rsid w:val="005F168A"/>
    <w:rsid w:val="005F1B32"/>
    <w:rsid w:val="005F44CC"/>
    <w:rsid w:val="005F6362"/>
    <w:rsid w:val="005F6939"/>
    <w:rsid w:val="00601052"/>
    <w:rsid w:val="00602953"/>
    <w:rsid w:val="00602F34"/>
    <w:rsid w:val="006061A5"/>
    <w:rsid w:val="00613153"/>
    <w:rsid w:val="00616B0D"/>
    <w:rsid w:val="006178FE"/>
    <w:rsid w:val="006202F2"/>
    <w:rsid w:val="00621183"/>
    <w:rsid w:val="00622579"/>
    <w:rsid w:val="00631E8C"/>
    <w:rsid w:val="006336A6"/>
    <w:rsid w:val="00633B84"/>
    <w:rsid w:val="00633C4C"/>
    <w:rsid w:val="00635872"/>
    <w:rsid w:val="00635E1F"/>
    <w:rsid w:val="00636BB3"/>
    <w:rsid w:val="00640F1C"/>
    <w:rsid w:val="00642233"/>
    <w:rsid w:val="006449DA"/>
    <w:rsid w:val="006464A9"/>
    <w:rsid w:val="0064654D"/>
    <w:rsid w:val="00646C6E"/>
    <w:rsid w:val="00650601"/>
    <w:rsid w:val="00650ECB"/>
    <w:rsid w:val="00651D25"/>
    <w:rsid w:val="0065405D"/>
    <w:rsid w:val="00655843"/>
    <w:rsid w:val="0066187A"/>
    <w:rsid w:val="006618CF"/>
    <w:rsid w:val="00661D8B"/>
    <w:rsid w:val="006626FA"/>
    <w:rsid w:val="00662F7C"/>
    <w:rsid w:val="00663AE0"/>
    <w:rsid w:val="00664094"/>
    <w:rsid w:val="00665594"/>
    <w:rsid w:val="006659ED"/>
    <w:rsid w:val="0067072C"/>
    <w:rsid w:val="006717DF"/>
    <w:rsid w:val="00672F6C"/>
    <w:rsid w:val="006738C6"/>
    <w:rsid w:val="006772C2"/>
    <w:rsid w:val="0067744C"/>
    <w:rsid w:val="006838CD"/>
    <w:rsid w:val="00683DDA"/>
    <w:rsid w:val="00685263"/>
    <w:rsid w:val="006866A7"/>
    <w:rsid w:val="0069141F"/>
    <w:rsid w:val="00695EA7"/>
    <w:rsid w:val="00696128"/>
    <w:rsid w:val="006A23BC"/>
    <w:rsid w:val="006A248A"/>
    <w:rsid w:val="006A3B22"/>
    <w:rsid w:val="006B5661"/>
    <w:rsid w:val="006B5F03"/>
    <w:rsid w:val="006B6876"/>
    <w:rsid w:val="006B6B22"/>
    <w:rsid w:val="006B71DC"/>
    <w:rsid w:val="006B7CB7"/>
    <w:rsid w:val="006C0823"/>
    <w:rsid w:val="006C1CEA"/>
    <w:rsid w:val="006C2A73"/>
    <w:rsid w:val="006C2D96"/>
    <w:rsid w:val="006C64B2"/>
    <w:rsid w:val="006D0B6B"/>
    <w:rsid w:val="006D3027"/>
    <w:rsid w:val="006D5E7F"/>
    <w:rsid w:val="006D6099"/>
    <w:rsid w:val="006D7709"/>
    <w:rsid w:val="006D7E65"/>
    <w:rsid w:val="006E10F9"/>
    <w:rsid w:val="006E37F4"/>
    <w:rsid w:val="006E3E72"/>
    <w:rsid w:val="006E423A"/>
    <w:rsid w:val="006E4C6F"/>
    <w:rsid w:val="006E4CB5"/>
    <w:rsid w:val="006E4D58"/>
    <w:rsid w:val="006F0E1B"/>
    <w:rsid w:val="006F1F88"/>
    <w:rsid w:val="006F502C"/>
    <w:rsid w:val="006F5FD5"/>
    <w:rsid w:val="006F647E"/>
    <w:rsid w:val="007015CF"/>
    <w:rsid w:val="007037E8"/>
    <w:rsid w:val="00704537"/>
    <w:rsid w:val="007055B6"/>
    <w:rsid w:val="00707751"/>
    <w:rsid w:val="00707D4F"/>
    <w:rsid w:val="007102D3"/>
    <w:rsid w:val="00712019"/>
    <w:rsid w:val="0071256B"/>
    <w:rsid w:val="00712A62"/>
    <w:rsid w:val="00713B8A"/>
    <w:rsid w:val="00714C78"/>
    <w:rsid w:val="0072074B"/>
    <w:rsid w:val="007217DE"/>
    <w:rsid w:val="00723DAA"/>
    <w:rsid w:val="00730EDD"/>
    <w:rsid w:val="00732E65"/>
    <w:rsid w:val="00734B70"/>
    <w:rsid w:val="0073587F"/>
    <w:rsid w:val="00735A6E"/>
    <w:rsid w:val="00736170"/>
    <w:rsid w:val="00737079"/>
    <w:rsid w:val="00737731"/>
    <w:rsid w:val="00737FB9"/>
    <w:rsid w:val="00741AC8"/>
    <w:rsid w:val="00743EC5"/>
    <w:rsid w:val="00744956"/>
    <w:rsid w:val="00747B57"/>
    <w:rsid w:val="00754A98"/>
    <w:rsid w:val="007554EA"/>
    <w:rsid w:val="007579ED"/>
    <w:rsid w:val="007601F4"/>
    <w:rsid w:val="00760D4B"/>
    <w:rsid w:val="007613F4"/>
    <w:rsid w:val="007647BE"/>
    <w:rsid w:val="00764D8F"/>
    <w:rsid w:val="00764FC0"/>
    <w:rsid w:val="00770572"/>
    <w:rsid w:val="0077165F"/>
    <w:rsid w:val="00771A2D"/>
    <w:rsid w:val="00771F58"/>
    <w:rsid w:val="00772386"/>
    <w:rsid w:val="007725EC"/>
    <w:rsid w:val="007727F6"/>
    <w:rsid w:val="007737EF"/>
    <w:rsid w:val="00774C54"/>
    <w:rsid w:val="0078079E"/>
    <w:rsid w:val="0078224B"/>
    <w:rsid w:val="007836B4"/>
    <w:rsid w:val="00785102"/>
    <w:rsid w:val="00785F5A"/>
    <w:rsid w:val="00786A3A"/>
    <w:rsid w:val="007872AC"/>
    <w:rsid w:val="0079181B"/>
    <w:rsid w:val="007955BF"/>
    <w:rsid w:val="0079597B"/>
    <w:rsid w:val="00796E85"/>
    <w:rsid w:val="007A1BA6"/>
    <w:rsid w:val="007A21A6"/>
    <w:rsid w:val="007A44E9"/>
    <w:rsid w:val="007A4CB2"/>
    <w:rsid w:val="007A6180"/>
    <w:rsid w:val="007A7F8C"/>
    <w:rsid w:val="007B01FE"/>
    <w:rsid w:val="007B2642"/>
    <w:rsid w:val="007B28BD"/>
    <w:rsid w:val="007B3D56"/>
    <w:rsid w:val="007B4949"/>
    <w:rsid w:val="007B55D9"/>
    <w:rsid w:val="007B6202"/>
    <w:rsid w:val="007C0D2C"/>
    <w:rsid w:val="007C3ADF"/>
    <w:rsid w:val="007C54B2"/>
    <w:rsid w:val="007D17A3"/>
    <w:rsid w:val="007D41FB"/>
    <w:rsid w:val="007D4AB7"/>
    <w:rsid w:val="007D4B42"/>
    <w:rsid w:val="007D54D2"/>
    <w:rsid w:val="007E2873"/>
    <w:rsid w:val="007E4138"/>
    <w:rsid w:val="007E42B3"/>
    <w:rsid w:val="007E7C94"/>
    <w:rsid w:val="007F00AA"/>
    <w:rsid w:val="007F2B2C"/>
    <w:rsid w:val="00801C80"/>
    <w:rsid w:val="008043CB"/>
    <w:rsid w:val="00811814"/>
    <w:rsid w:val="008126C5"/>
    <w:rsid w:val="00812F13"/>
    <w:rsid w:val="00814C01"/>
    <w:rsid w:val="00815D3F"/>
    <w:rsid w:val="008161F9"/>
    <w:rsid w:val="00821CB5"/>
    <w:rsid w:val="008224A8"/>
    <w:rsid w:val="00822C64"/>
    <w:rsid w:val="00825F96"/>
    <w:rsid w:val="00830C38"/>
    <w:rsid w:val="008319CB"/>
    <w:rsid w:val="00832EDF"/>
    <w:rsid w:val="008341F0"/>
    <w:rsid w:val="00836BDE"/>
    <w:rsid w:val="00837515"/>
    <w:rsid w:val="00842C7C"/>
    <w:rsid w:val="00844C06"/>
    <w:rsid w:val="008479D8"/>
    <w:rsid w:val="008515E0"/>
    <w:rsid w:val="008521E1"/>
    <w:rsid w:val="00852515"/>
    <w:rsid w:val="008526AD"/>
    <w:rsid w:val="008533B7"/>
    <w:rsid w:val="008557DD"/>
    <w:rsid w:val="00856657"/>
    <w:rsid w:val="0085694E"/>
    <w:rsid w:val="00857BBC"/>
    <w:rsid w:val="008623F3"/>
    <w:rsid w:val="0086463B"/>
    <w:rsid w:val="008658E6"/>
    <w:rsid w:val="00873644"/>
    <w:rsid w:val="00874450"/>
    <w:rsid w:val="008747DD"/>
    <w:rsid w:val="008765CC"/>
    <w:rsid w:val="00880926"/>
    <w:rsid w:val="00882DE5"/>
    <w:rsid w:val="008923D6"/>
    <w:rsid w:val="00893AB1"/>
    <w:rsid w:val="00896036"/>
    <w:rsid w:val="00896D6B"/>
    <w:rsid w:val="008A0CCA"/>
    <w:rsid w:val="008A40EB"/>
    <w:rsid w:val="008A49E0"/>
    <w:rsid w:val="008A586F"/>
    <w:rsid w:val="008B24FC"/>
    <w:rsid w:val="008B4896"/>
    <w:rsid w:val="008C1564"/>
    <w:rsid w:val="008C320A"/>
    <w:rsid w:val="008C4423"/>
    <w:rsid w:val="008D0B9B"/>
    <w:rsid w:val="008D0ECB"/>
    <w:rsid w:val="008D2DC1"/>
    <w:rsid w:val="008D354F"/>
    <w:rsid w:val="008D5367"/>
    <w:rsid w:val="008D72BF"/>
    <w:rsid w:val="008E1948"/>
    <w:rsid w:val="008E4640"/>
    <w:rsid w:val="008E4BD8"/>
    <w:rsid w:val="008E5F17"/>
    <w:rsid w:val="008F1EC5"/>
    <w:rsid w:val="008F34C1"/>
    <w:rsid w:val="008F5897"/>
    <w:rsid w:val="008F61B9"/>
    <w:rsid w:val="008F64CA"/>
    <w:rsid w:val="008F6E7C"/>
    <w:rsid w:val="00900451"/>
    <w:rsid w:val="00901051"/>
    <w:rsid w:val="00902853"/>
    <w:rsid w:val="00903ED1"/>
    <w:rsid w:val="0090413E"/>
    <w:rsid w:val="009049E8"/>
    <w:rsid w:val="00904C23"/>
    <w:rsid w:val="00907709"/>
    <w:rsid w:val="009115D5"/>
    <w:rsid w:val="009124B1"/>
    <w:rsid w:val="00921B0B"/>
    <w:rsid w:val="00923272"/>
    <w:rsid w:val="00923B0D"/>
    <w:rsid w:val="0092411E"/>
    <w:rsid w:val="00925745"/>
    <w:rsid w:val="00926A82"/>
    <w:rsid w:val="009278BF"/>
    <w:rsid w:val="00932401"/>
    <w:rsid w:val="00933F5A"/>
    <w:rsid w:val="00936CA1"/>
    <w:rsid w:val="009370B4"/>
    <w:rsid w:val="00943CD6"/>
    <w:rsid w:val="00944648"/>
    <w:rsid w:val="00946565"/>
    <w:rsid w:val="00954105"/>
    <w:rsid w:val="0095708F"/>
    <w:rsid w:val="00958E35"/>
    <w:rsid w:val="00963A1E"/>
    <w:rsid w:val="00970288"/>
    <w:rsid w:val="00974502"/>
    <w:rsid w:val="00975488"/>
    <w:rsid w:val="00976ECF"/>
    <w:rsid w:val="0098137A"/>
    <w:rsid w:val="0098200B"/>
    <w:rsid w:val="00986CD8"/>
    <w:rsid w:val="00991861"/>
    <w:rsid w:val="00993937"/>
    <w:rsid w:val="0099535A"/>
    <w:rsid w:val="0099659F"/>
    <w:rsid w:val="009A1D35"/>
    <w:rsid w:val="009A52D8"/>
    <w:rsid w:val="009A5F6F"/>
    <w:rsid w:val="009A60D0"/>
    <w:rsid w:val="009A759E"/>
    <w:rsid w:val="009B0465"/>
    <w:rsid w:val="009B23B5"/>
    <w:rsid w:val="009B4498"/>
    <w:rsid w:val="009C01B0"/>
    <w:rsid w:val="009C024D"/>
    <w:rsid w:val="009C2CDF"/>
    <w:rsid w:val="009C3440"/>
    <w:rsid w:val="009C3C02"/>
    <w:rsid w:val="009C403F"/>
    <w:rsid w:val="009C6695"/>
    <w:rsid w:val="009C7868"/>
    <w:rsid w:val="009C78E0"/>
    <w:rsid w:val="009C7EB3"/>
    <w:rsid w:val="009D02A3"/>
    <w:rsid w:val="009D05CB"/>
    <w:rsid w:val="009D0724"/>
    <w:rsid w:val="009D15A1"/>
    <w:rsid w:val="009D1A8B"/>
    <w:rsid w:val="009D1B51"/>
    <w:rsid w:val="009D258D"/>
    <w:rsid w:val="009D4DE7"/>
    <w:rsid w:val="009D531B"/>
    <w:rsid w:val="009D770C"/>
    <w:rsid w:val="009D7788"/>
    <w:rsid w:val="009D77C9"/>
    <w:rsid w:val="009D7C80"/>
    <w:rsid w:val="009E6E68"/>
    <w:rsid w:val="009E7CB2"/>
    <w:rsid w:val="009F091B"/>
    <w:rsid w:val="009F10B6"/>
    <w:rsid w:val="009F131E"/>
    <w:rsid w:val="009F133F"/>
    <w:rsid w:val="009F228C"/>
    <w:rsid w:val="009F23BE"/>
    <w:rsid w:val="009F363A"/>
    <w:rsid w:val="009F7054"/>
    <w:rsid w:val="00A05133"/>
    <w:rsid w:val="00A05306"/>
    <w:rsid w:val="00A0685D"/>
    <w:rsid w:val="00A114C4"/>
    <w:rsid w:val="00A14148"/>
    <w:rsid w:val="00A17F56"/>
    <w:rsid w:val="00A2213D"/>
    <w:rsid w:val="00A222FE"/>
    <w:rsid w:val="00A2320F"/>
    <w:rsid w:val="00A2433C"/>
    <w:rsid w:val="00A246BB"/>
    <w:rsid w:val="00A275F1"/>
    <w:rsid w:val="00A31C8F"/>
    <w:rsid w:val="00A325C7"/>
    <w:rsid w:val="00A3424C"/>
    <w:rsid w:val="00A34572"/>
    <w:rsid w:val="00A350DA"/>
    <w:rsid w:val="00A3643D"/>
    <w:rsid w:val="00A4332A"/>
    <w:rsid w:val="00A439A4"/>
    <w:rsid w:val="00A44C28"/>
    <w:rsid w:val="00A44F1B"/>
    <w:rsid w:val="00A4784C"/>
    <w:rsid w:val="00A51E16"/>
    <w:rsid w:val="00A5201D"/>
    <w:rsid w:val="00A53A5B"/>
    <w:rsid w:val="00A5472E"/>
    <w:rsid w:val="00A55F22"/>
    <w:rsid w:val="00A56ABC"/>
    <w:rsid w:val="00A56DBF"/>
    <w:rsid w:val="00A56E10"/>
    <w:rsid w:val="00A60550"/>
    <w:rsid w:val="00A606EA"/>
    <w:rsid w:val="00A62A0C"/>
    <w:rsid w:val="00A66AD8"/>
    <w:rsid w:val="00A6703A"/>
    <w:rsid w:val="00A70A4E"/>
    <w:rsid w:val="00A73615"/>
    <w:rsid w:val="00A9096A"/>
    <w:rsid w:val="00A9146F"/>
    <w:rsid w:val="00A94CAE"/>
    <w:rsid w:val="00A94ED2"/>
    <w:rsid w:val="00A96154"/>
    <w:rsid w:val="00A9646C"/>
    <w:rsid w:val="00A96D68"/>
    <w:rsid w:val="00AA14CE"/>
    <w:rsid w:val="00AA1613"/>
    <w:rsid w:val="00AA2920"/>
    <w:rsid w:val="00AA298B"/>
    <w:rsid w:val="00AA3216"/>
    <w:rsid w:val="00AB3F81"/>
    <w:rsid w:val="00AB5069"/>
    <w:rsid w:val="00AC117D"/>
    <w:rsid w:val="00AC223E"/>
    <w:rsid w:val="00AC2856"/>
    <w:rsid w:val="00AC324D"/>
    <w:rsid w:val="00AC35B7"/>
    <w:rsid w:val="00AC3926"/>
    <w:rsid w:val="00AC7450"/>
    <w:rsid w:val="00AD1E98"/>
    <w:rsid w:val="00AD36CD"/>
    <w:rsid w:val="00AD3CA9"/>
    <w:rsid w:val="00AD5AC3"/>
    <w:rsid w:val="00AD6744"/>
    <w:rsid w:val="00AD7172"/>
    <w:rsid w:val="00AE2255"/>
    <w:rsid w:val="00AE2A10"/>
    <w:rsid w:val="00AE5C99"/>
    <w:rsid w:val="00AE6CFD"/>
    <w:rsid w:val="00AF0F98"/>
    <w:rsid w:val="00AF2F8A"/>
    <w:rsid w:val="00AF3183"/>
    <w:rsid w:val="00AF3D5F"/>
    <w:rsid w:val="00AF3E2F"/>
    <w:rsid w:val="00AF4F9C"/>
    <w:rsid w:val="00AF5AD6"/>
    <w:rsid w:val="00AF6A87"/>
    <w:rsid w:val="00AF6D44"/>
    <w:rsid w:val="00B00C12"/>
    <w:rsid w:val="00B0141E"/>
    <w:rsid w:val="00B01787"/>
    <w:rsid w:val="00B0445F"/>
    <w:rsid w:val="00B064D6"/>
    <w:rsid w:val="00B06D12"/>
    <w:rsid w:val="00B06F74"/>
    <w:rsid w:val="00B07E72"/>
    <w:rsid w:val="00B1696A"/>
    <w:rsid w:val="00B16CE6"/>
    <w:rsid w:val="00B226DA"/>
    <w:rsid w:val="00B232FF"/>
    <w:rsid w:val="00B24309"/>
    <w:rsid w:val="00B24DDC"/>
    <w:rsid w:val="00B279D4"/>
    <w:rsid w:val="00B30FB2"/>
    <w:rsid w:val="00B32E8B"/>
    <w:rsid w:val="00B335DE"/>
    <w:rsid w:val="00B37E0A"/>
    <w:rsid w:val="00B41F2A"/>
    <w:rsid w:val="00B44CC7"/>
    <w:rsid w:val="00B46AD7"/>
    <w:rsid w:val="00B502F6"/>
    <w:rsid w:val="00B53120"/>
    <w:rsid w:val="00B542A4"/>
    <w:rsid w:val="00B56037"/>
    <w:rsid w:val="00B5713D"/>
    <w:rsid w:val="00B61EE8"/>
    <w:rsid w:val="00B627F8"/>
    <w:rsid w:val="00B66261"/>
    <w:rsid w:val="00B670FB"/>
    <w:rsid w:val="00B7178D"/>
    <w:rsid w:val="00B77849"/>
    <w:rsid w:val="00B77D1C"/>
    <w:rsid w:val="00B805BF"/>
    <w:rsid w:val="00B84D1F"/>
    <w:rsid w:val="00B855DB"/>
    <w:rsid w:val="00B865A9"/>
    <w:rsid w:val="00B8741D"/>
    <w:rsid w:val="00B8781B"/>
    <w:rsid w:val="00B910FC"/>
    <w:rsid w:val="00B936AC"/>
    <w:rsid w:val="00B939FF"/>
    <w:rsid w:val="00B96202"/>
    <w:rsid w:val="00B965F3"/>
    <w:rsid w:val="00B96860"/>
    <w:rsid w:val="00BA005B"/>
    <w:rsid w:val="00BA0B51"/>
    <w:rsid w:val="00BA10AE"/>
    <w:rsid w:val="00BA21EE"/>
    <w:rsid w:val="00BA376D"/>
    <w:rsid w:val="00BA5F89"/>
    <w:rsid w:val="00BB00E2"/>
    <w:rsid w:val="00BB42F4"/>
    <w:rsid w:val="00BB4CFC"/>
    <w:rsid w:val="00BB5FA9"/>
    <w:rsid w:val="00BC2212"/>
    <w:rsid w:val="00BC34E1"/>
    <w:rsid w:val="00BC4D44"/>
    <w:rsid w:val="00BC5DBB"/>
    <w:rsid w:val="00BD1294"/>
    <w:rsid w:val="00BD258A"/>
    <w:rsid w:val="00BD3D65"/>
    <w:rsid w:val="00BD68EF"/>
    <w:rsid w:val="00BD6A00"/>
    <w:rsid w:val="00BDFEE8"/>
    <w:rsid w:val="00BE1690"/>
    <w:rsid w:val="00BE6352"/>
    <w:rsid w:val="00BE6EE2"/>
    <w:rsid w:val="00BF46A3"/>
    <w:rsid w:val="00BF6EE4"/>
    <w:rsid w:val="00BF7034"/>
    <w:rsid w:val="00C01646"/>
    <w:rsid w:val="00C04F3F"/>
    <w:rsid w:val="00C05E79"/>
    <w:rsid w:val="00C06974"/>
    <w:rsid w:val="00C07F0C"/>
    <w:rsid w:val="00C120DC"/>
    <w:rsid w:val="00C14E7C"/>
    <w:rsid w:val="00C1548F"/>
    <w:rsid w:val="00C15F42"/>
    <w:rsid w:val="00C17EB9"/>
    <w:rsid w:val="00C20150"/>
    <w:rsid w:val="00C2252F"/>
    <w:rsid w:val="00C234E1"/>
    <w:rsid w:val="00C24306"/>
    <w:rsid w:val="00C26162"/>
    <w:rsid w:val="00C33D88"/>
    <w:rsid w:val="00C40BE9"/>
    <w:rsid w:val="00C41725"/>
    <w:rsid w:val="00C41DD5"/>
    <w:rsid w:val="00C43221"/>
    <w:rsid w:val="00C442F3"/>
    <w:rsid w:val="00C4593D"/>
    <w:rsid w:val="00C50234"/>
    <w:rsid w:val="00C506EB"/>
    <w:rsid w:val="00C53C6B"/>
    <w:rsid w:val="00C53C94"/>
    <w:rsid w:val="00C570AF"/>
    <w:rsid w:val="00C57594"/>
    <w:rsid w:val="00C5794B"/>
    <w:rsid w:val="00C70C04"/>
    <w:rsid w:val="00C71005"/>
    <w:rsid w:val="00C726F7"/>
    <w:rsid w:val="00C751CE"/>
    <w:rsid w:val="00C754E9"/>
    <w:rsid w:val="00C764C2"/>
    <w:rsid w:val="00C77C92"/>
    <w:rsid w:val="00C816A9"/>
    <w:rsid w:val="00C91048"/>
    <w:rsid w:val="00C926C9"/>
    <w:rsid w:val="00C95625"/>
    <w:rsid w:val="00CA0FB4"/>
    <w:rsid w:val="00CA18E9"/>
    <w:rsid w:val="00CA23CE"/>
    <w:rsid w:val="00CA2A3A"/>
    <w:rsid w:val="00CA5893"/>
    <w:rsid w:val="00CB081E"/>
    <w:rsid w:val="00CB3400"/>
    <w:rsid w:val="00CB40EC"/>
    <w:rsid w:val="00CB6033"/>
    <w:rsid w:val="00CB70D4"/>
    <w:rsid w:val="00CB7203"/>
    <w:rsid w:val="00CC11F6"/>
    <w:rsid w:val="00CC227A"/>
    <w:rsid w:val="00CC3A40"/>
    <w:rsid w:val="00CC76E0"/>
    <w:rsid w:val="00CD1A8F"/>
    <w:rsid w:val="00CD75C7"/>
    <w:rsid w:val="00CD7B65"/>
    <w:rsid w:val="00CE03A7"/>
    <w:rsid w:val="00CE4696"/>
    <w:rsid w:val="00CE5EF7"/>
    <w:rsid w:val="00CE5F71"/>
    <w:rsid w:val="00CE684E"/>
    <w:rsid w:val="00CEDD81"/>
    <w:rsid w:val="00CF00AA"/>
    <w:rsid w:val="00CF3E3C"/>
    <w:rsid w:val="00CF4AF0"/>
    <w:rsid w:val="00CF614D"/>
    <w:rsid w:val="00CF7CC0"/>
    <w:rsid w:val="00D012F7"/>
    <w:rsid w:val="00D018BD"/>
    <w:rsid w:val="00D02C96"/>
    <w:rsid w:val="00D02F90"/>
    <w:rsid w:val="00D0329A"/>
    <w:rsid w:val="00D076A0"/>
    <w:rsid w:val="00D13524"/>
    <w:rsid w:val="00D1542D"/>
    <w:rsid w:val="00D15B94"/>
    <w:rsid w:val="00D16B00"/>
    <w:rsid w:val="00D19089"/>
    <w:rsid w:val="00D21EB4"/>
    <w:rsid w:val="00D22979"/>
    <w:rsid w:val="00D26ACE"/>
    <w:rsid w:val="00D27A6D"/>
    <w:rsid w:val="00D30AF3"/>
    <w:rsid w:val="00D35851"/>
    <w:rsid w:val="00D41C56"/>
    <w:rsid w:val="00D4200B"/>
    <w:rsid w:val="00D43AD3"/>
    <w:rsid w:val="00D469DF"/>
    <w:rsid w:val="00D50B80"/>
    <w:rsid w:val="00D5240E"/>
    <w:rsid w:val="00D53333"/>
    <w:rsid w:val="00D53A4F"/>
    <w:rsid w:val="00D53F37"/>
    <w:rsid w:val="00D540D9"/>
    <w:rsid w:val="00D54C4F"/>
    <w:rsid w:val="00D552C8"/>
    <w:rsid w:val="00D57E48"/>
    <w:rsid w:val="00D62D4C"/>
    <w:rsid w:val="00D63E68"/>
    <w:rsid w:val="00D66B3E"/>
    <w:rsid w:val="00D704E8"/>
    <w:rsid w:val="00D7101C"/>
    <w:rsid w:val="00D72ADF"/>
    <w:rsid w:val="00D72F86"/>
    <w:rsid w:val="00D7675E"/>
    <w:rsid w:val="00D8093B"/>
    <w:rsid w:val="00D80BDE"/>
    <w:rsid w:val="00D817A6"/>
    <w:rsid w:val="00D82639"/>
    <w:rsid w:val="00D82DB4"/>
    <w:rsid w:val="00D82FE0"/>
    <w:rsid w:val="00D83620"/>
    <w:rsid w:val="00D83899"/>
    <w:rsid w:val="00D83BE6"/>
    <w:rsid w:val="00D848FC"/>
    <w:rsid w:val="00D908AE"/>
    <w:rsid w:val="00D93D50"/>
    <w:rsid w:val="00D97EAF"/>
    <w:rsid w:val="00DA0438"/>
    <w:rsid w:val="00DA5FD6"/>
    <w:rsid w:val="00DB0950"/>
    <w:rsid w:val="00DB3348"/>
    <w:rsid w:val="00DB76A2"/>
    <w:rsid w:val="00DC213F"/>
    <w:rsid w:val="00DC420A"/>
    <w:rsid w:val="00DD07B2"/>
    <w:rsid w:val="00DD2EDD"/>
    <w:rsid w:val="00DD2FF5"/>
    <w:rsid w:val="00DD3182"/>
    <w:rsid w:val="00DD4748"/>
    <w:rsid w:val="00DD64F5"/>
    <w:rsid w:val="00DD6766"/>
    <w:rsid w:val="00DE176E"/>
    <w:rsid w:val="00DE7D93"/>
    <w:rsid w:val="00DF23B6"/>
    <w:rsid w:val="00DF2611"/>
    <w:rsid w:val="00DF7719"/>
    <w:rsid w:val="00E01101"/>
    <w:rsid w:val="00E07AC8"/>
    <w:rsid w:val="00E104DB"/>
    <w:rsid w:val="00E10790"/>
    <w:rsid w:val="00E11C48"/>
    <w:rsid w:val="00E12095"/>
    <w:rsid w:val="00E13E5E"/>
    <w:rsid w:val="00E16833"/>
    <w:rsid w:val="00E1708C"/>
    <w:rsid w:val="00E218E2"/>
    <w:rsid w:val="00E2284A"/>
    <w:rsid w:val="00E22E73"/>
    <w:rsid w:val="00E230DD"/>
    <w:rsid w:val="00E25136"/>
    <w:rsid w:val="00E274A3"/>
    <w:rsid w:val="00E30193"/>
    <w:rsid w:val="00E32309"/>
    <w:rsid w:val="00E3385C"/>
    <w:rsid w:val="00E34C6F"/>
    <w:rsid w:val="00E34FFD"/>
    <w:rsid w:val="00E3515E"/>
    <w:rsid w:val="00E37490"/>
    <w:rsid w:val="00E37C01"/>
    <w:rsid w:val="00E40D94"/>
    <w:rsid w:val="00E412CF"/>
    <w:rsid w:val="00E423F7"/>
    <w:rsid w:val="00E44C8D"/>
    <w:rsid w:val="00E5071F"/>
    <w:rsid w:val="00E50802"/>
    <w:rsid w:val="00E544DB"/>
    <w:rsid w:val="00E57D3C"/>
    <w:rsid w:val="00E630BD"/>
    <w:rsid w:val="00E646C1"/>
    <w:rsid w:val="00E66976"/>
    <w:rsid w:val="00E66FE4"/>
    <w:rsid w:val="00E66FF5"/>
    <w:rsid w:val="00E672C3"/>
    <w:rsid w:val="00E70285"/>
    <w:rsid w:val="00E74F43"/>
    <w:rsid w:val="00E7667B"/>
    <w:rsid w:val="00E77F42"/>
    <w:rsid w:val="00E838D6"/>
    <w:rsid w:val="00E86F39"/>
    <w:rsid w:val="00E97470"/>
    <w:rsid w:val="00EA0CBC"/>
    <w:rsid w:val="00EA102C"/>
    <w:rsid w:val="00EA235F"/>
    <w:rsid w:val="00EA2AA1"/>
    <w:rsid w:val="00EA2DCA"/>
    <w:rsid w:val="00EA5D7E"/>
    <w:rsid w:val="00EA6AF1"/>
    <w:rsid w:val="00EB0784"/>
    <w:rsid w:val="00EB153D"/>
    <w:rsid w:val="00EB22EC"/>
    <w:rsid w:val="00EB3EE6"/>
    <w:rsid w:val="00EB5951"/>
    <w:rsid w:val="00EC0C59"/>
    <w:rsid w:val="00EC3131"/>
    <w:rsid w:val="00EC542E"/>
    <w:rsid w:val="00EC5902"/>
    <w:rsid w:val="00ED0457"/>
    <w:rsid w:val="00ED0B16"/>
    <w:rsid w:val="00ED1280"/>
    <w:rsid w:val="00ED3999"/>
    <w:rsid w:val="00EE0DC4"/>
    <w:rsid w:val="00EE140E"/>
    <w:rsid w:val="00EE31CE"/>
    <w:rsid w:val="00EE3C76"/>
    <w:rsid w:val="00EE3FBA"/>
    <w:rsid w:val="00EE4CC2"/>
    <w:rsid w:val="00EF12F0"/>
    <w:rsid w:val="00EF272D"/>
    <w:rsid w:val="00EF2B35"/>
    <w:rsid w:val="00EF7474"/>
    <w:rsid w:val="00EF7615"/>
    <w:rsid w:val="00F07625"/>
    <w:rsid w:val="00F11B67"/>
    <w:rsid w:val="00F1287F"/>
    <w:rsid w:val="00F12B6D"/>
    <w:rsid w:val="00F12CA2"/>
    <w:rsid w:val="00F14203"/>
    <w:rsid w:val="00F153C5"/>
    <w:rsid w:val="00F155A0"/>
    <w:rsid w:val="00F1615C"/>
    <w:rsid w:val="00F161FD"/>
    <w:rsid w:val="00F17736"/>
    <w:rsid w:val="00F20C39"/>
    <w:rsid w:val="00F2217D"/>
    <w:rsid w:val="00F24DF5"/>
    <w:rsid w:val="00F252EB"/>
    <w:rsid w:val="00F3060E"/>
    <w:rsid w:val="00F33421"/>
    <w:rsid w:val="00F40FC3"/>
    <w:rsid w:val="00F421BF"/>
    <w:rsid w:val="00F430D1"/>
    <w:rsid w:val="00F44680"/>
    <w:rsid w:val="00F45B7A"/>
    <w:rsid w:val="00F46366"/>
    <w:rsid w:val="00F52C1D"/>
    <w:rsid w:val="00F54098"/>
    <w:rsid w:val="00F564CC"/>
    <w:rsid w:val="00F577A7"/>
    <w:rsid w:val="00F62B16"/>
    <w:rsid w:val="00F65F66"/>
    <w:rsid w:val="00F676EE"/>
    <w:rsid w:val="00F7156B"/>
    <w:rsid w:val="00F7210A"/>
    <w:rsid w:val="00F737DD"/>
    <w:rsid w:val="00F74ECE"/>
    <w:rsid w:val="00F811D5"/>
    <w:rsid w:val="00F83B0E"/>
    <w:rsid w:val="00F878DF"/>
    <w:rsid w:val="00F9138A"/>
    <w:rsid w:val="00F93995"/>
    <w:rsid w:val="00F94A0F"/>
    <w:rsid w:val="00F94EBF"/>
    <w:rsid w:val="00F951EC"/>
    <w:rsid w:val="00F951F2"/>
    <w:rsid w:val="00F95889"/>
    <w:rsid w:val="00F97549"/>
    <w:rsid w:val="00FA4DDA"/>
    <w:rsid w:val="00FA505F"/>
    <w:rsid w:val="00FA778A"/>
    <w:rsid w:val="00FB4FDA"/>
    <w:rsid w:val="00FB5D31"/>
    <w:rsid w:val="00FB5FEF"/>
    <w:rsid w:val="00FB722A"/>
    <w:rsid w:val="00FB7527"/>
    <w:rsid w:val="00FC2B06"/>
    <w:rsid w:val="00FC32CF"/>
    <w:rsid w:val="00FC336A"/>
    <w:rsid w:val="00FC4005"/>
    <w:rsid w:val="00FC40CD"/>
    <w:rsid w:val="00FD3F7A"/>
    <w:rsid w:val="00FE2FB5"/>
    <w:rsid w:val="00FE3845"/>
    <w:rsid w:val="00FE3E58"/>
    <w:rsid w:val="00FE5DBE"/>
    <w:rsid w:val="00FE6A98"/>
    <w:rsid w:val="00FF0233"/>
    <w:rsid w:val="00FF1425"/>
    <w:rsid w:val="00FF2686"/>
    <w:rsid w:val="00FF320E"/>
    <w:rsid w:val="00FF4393"/>
    <w:rsid w:val="00FF5ACA"/>
    <w:rsid w:val="00FF6325"/>
    <w:rsid w:val="00FF740F"/>
    <w:rsid w:val="0115BCDA"/>
    <w:rsid w:val="01223014"/>
    <w:rsid w:val="012798D5"/>
    <w:rsid w:val="012849B9"/>
    <w:rsid w:val="013057E8"/>
    <w:rsid w:val="01446627"/>
    <w:rsid w:val="0147168A"/>
    <w:rsid w:val="015825B4"/>
    <w:rsid w:val="016718E0"/>
    <w:rsid w:val="019856B3"/>
    <w:rsid w:val="01C82554"/>
    <w:rsid w:val="01CE345D"/>
    <w:rsid w:val="01E6AE52"/>
    <w:rsid w:val="02092987"/>
    <w:rsid w:val="021931B9"/>
    <w:rsid w:val="0225A519"/>
    <w:rsid w:val="0229D6C1"/>
    <w:rsid w:val="025A6111"/>
    <w:rsid w:val="0264FED4"/>
    <w:rsid w:val="026E5014"/>
    <w:rsid w:val="0280F6BE"/>
    <w:rsid w:val="0281DBD8"/>
    <w:rsid w:val="02873B62"/>
    <w:rsid w:val="028B5793"/>
    <w:rsid w:val="029260F6"/>
    <w:rsid w:val="02926B9C"/>
    <w:rsid w:val="029D8737"/>
    <w:rsid w:val="02A1A3E4"/>
    <w:rsid w:val="02B9B885"/>
    <w:rsid w:val="02C61220"/>
    <w:rsid w:val="02F59B77"/>
    <w:rsid w:val="02FBDE05"/>
    <w:rsid w:val="032FA9EB"/>
    <w:rsid w:val="033279FB"/>
    <w:rsid w:val="0348CC40"/>
    <w:rsid w:val="0369FD1C"/>
    <w:rsid w:val="0385F7FF"/>
    <w:rsid w:val="03A0E200"/>
    <w:rsid w:val="03B0E83A"/>
    <w:rsid w:val="03BDDAA3"/>
    <w:rsid w:val="03C9ED14"/>
    <w:rsid w:val="03D30253"/>
    <w:rsid w:val="03DBB867"/>
    <w:rsid w:val="03E4B9DF"/>
    <w:rsid w:val="03EF08DF"/>
    <w:rsid w:val="040A93E3"/>
    <w:rsid w:val="041B355E"/>
    <w:rsid w:val="045772BD"/>
    <w:rsid w:val="04619AE8"/>
    <w:rsid w:val="04629C7A"/>
    <w:rsid w:val="04685EFA"/>
    <w:rsid w:val="046DEE27"/>
    <w:rsid w:val="048B37D0"/>
    <w:rsid w:val="049DFA49"/>
    <w:rsid w:val="04B48506"/>
    <w:rsid w:val="04CA4BFA"/>
    <w:rsid w:val="04D67C83"/>
    <w:rsid w:val="04F9AF2E"/>
    <w:rsid w:val="0540D02E"/>
    <w:rsid w:val="05624F3F"/>
    <w:rsid w:val="05859B52"/>
    <w:rsid w:val="05A5C02F"/>
    <w:rsid w:val="05A89062"/>
    <w:rsid w:val="05C04E0B"/>
    <w:rsid w:val="05CF504D"/>
    <w:rsid w:val="05E1C17A"/>
    <w:rsid w:val="05FD8A82"/>
    <w:rsid w:val="061BF551"/>
    <w:rsid w:val="062FFA1A"/>
    <w:rsid w:val="06361CCF"/>
    <w:rsid w:val="0650A141"/>
    <w:rsid w:val="0689A486"/>
    <w:rsid w:val="068A760E"/>
    <w:rsid w:val="06ADD209"/>
    <w:rsid w:val="06B47787"/>
    <w:rsid w:val="06B96C1F"/>
    <w:rsid w:val="06BE7130"/>
    <w:rsid w:val="06DBEA72"/>
    <w:rsid w:val="06EA7931"/>
    <w:rsid w:val="06EC8739"/>
    <w:rsid w:val="0714174F"/>
    <w:rsid w:val="071A8BAC"/>
    <w:rsid w:val="072510F4"/>
    <w:rsid w:val="0730C827"/>
    <w:rsid w:val="07399EA4"/>
    <w:rsid w:val="073DCFF7"/>
    <w:rsid w:val="0740A17D"/>
    <w:rsid w:val="0752AF3A"/>
    <w:rsid w:val="076771E8"/>
    <w:rsid w:val="07798A45"/>
    <w:rsid w:val="0788F19A"/>
    <w:rsid w:val="07A1A690"/>
    <w:rsid w:val="07A9A088"/>
    <w:rsid w:val="07AD020C"/>
    <w:rsid w:val="07AD192A"/>
    <w:rsid w:val="07C6CB71"/>
    <w:rsid w:val="07CCFEAE"/>
    <w:rsid w:val="07D81372"/>
    <w:rsid w:val="07DCCA9F"/>
    <w:rsid w:val="07DDD98C"/>
    <w:rsid w:val="07E05E2A"/>
    <w:rsid w:val="07F2BAC7"/>
    <w:rsid w:val="08104F2A"/>
    <w:rsid w:val="0811AA48"/>
    <w:rsid w:val="081F644B"/>
    <w:rsid w:val="084D3173"/>
    <w:rsid w:val="084D5D62"/>
    <w:rsid w:val="088006AA"/>
    <w:rsid w:val="089642F2"/>
    <w:rsid w:val="08A95B86"/>
    <w:rsid w:val="08ABCABC"/>
    <w:rsid w:val="08E071E9"/>
    <w:rsid w:val="08E89E20"/>
    <w:rsid w:val="08EAA461"/>
    <w:rsid w:val="08F879F7"/>
    <w:rsid w:val="08FA4330"/>
    <w:rsid w:val="0901B9AE"/>
    <w:rsid w:val="0903DCA5"/>
    <w:rsid w:val="0907CE97"/>
    <w:rsid w:val="09186A2D"/>
    <w:rsid w:val="09390224"/>
    <w:rsid w:val="0958C175"/>
    <w:rsid w:val="09731375"/>
    <w:rsid w:val="0981F994"/>
    <w:rsid w:val="098965A7"/>
    <w:rsid w:val="09985258"/>
    <w:rsid w:val="09AAFB09"/>
    <w:rsid w:val="09ED2660"/>
    <w:rsid w:val="09F8294F"/>
    <w:rsid w:val="0A016CFF"/>
    <w:rsid w:val="0A042402"/>
    <w:rsid w:val="0A0C5E43"/>
    <w:rsid w:val="0A0E1998"/>
    <w:rsid w:val="0A150EAB"/>
    <w:rsid w:val="0A3723B2"/>
    <w:rsid w:val="0A396DAA"/>
    <w:rsid w:val="0A4A8C17"/>
    <w:rsid w:val="0A5D5179"/>
    <w:rsid w:val="0A5EFDF4"/>
    <w:rsid w:val="0A67FBBD"/>
    <w:rsid w:val="0A7A4161"/>
    <w:rsid w:val="0A7C0B0C"/>
    <w:rsid w:val="0A842642"/>
    <w:rsid w:val="0A92A6D2"/>
    <w:rsid w:val="0AA5E6AC"/>
    <w:rsid w:val="0AAB8084"/>
    <w:rsid w:val="0AB402EC"/>
    <w:rsid w:val="0ABCF80C"/>
    <w:rsid w:val="0B12FDBD"/>
    <w:rsid w:val="0B255AFC"/>
    <w:rsid w:val="0B2F50EE"/>
    <w:rsid w:val="0B320FFA"/>
    <w:rsid w:val="0B33BA5C"/>
    <w:rsid w:val="0B340F5F"/>
    <w:rsid w:val="0B34A7A8"/>
    <w:rsid w:val="0B376F29"/>
    <w:rsid w:val="0B4131A4"/>
    <w:rsid w:val="0B759D7F"/>
    <w:rsid w:val="0B945258"/>
    <w:rsid w:val="0B991B29"/>
    <w:rsid w:val="0BAA11DF"/>
    <w:rsid w:val="0BB68055"/>
    <w:rsid w:val="0BD48558"/>
    <w:rsid w:val="0BD5B00E"/>
    <w:rsid w:val="0BD785FC"/>
    <w:rsid w:val="0BE04145"/>
    <w:rsid w:val="0BEBC876"/>
    <w:rsid w:val="0BEBD59C"/>
    <w:rsid w:val="0C050B51"/>
    <w:rsid w:val="0C0CDAFB"/>
    <w:rsid w:val="0C23ED5D"/>
    <w:rsid w:val="0C2D5D5D"/>
    <w:rsid w:val="0C3CE3BA"/>
    <w:rsid w:val="0C4EF8D5"/>
    <w:rsid w:val="0C52BEB5"/>
    <w:rsid w:val="0C53C7B2"/>
    <w:rsid w:val="0C973BFA"/>
    <w:rsid w:val="0C9C4CED"/>
    <w:rsid w:val="0CA072A9"/>
    <w:rsid w:val="0CB79D6C"/>
    <w:rsid w:val="0CBDBF3E"/>
    <w:rsid w:val="0CDCF37C"/>
    <w:rsid w:val="0CE78745"/>
    <w:rsid w:val="0CE8F68E"/>
    <w:rsid w:val="0CFBF5F0"/>
    <w:rsid w:val="0D3B2942"/>
    <w:rsid w:val="0D3E6B3D"/>
    <w:rsid w:val="0D446677"/>
    <w:rsid w:val="0D506331"/>
    <w:rsid w:val="0D559706"/>
    <w:rsid w:val="0D5A82EB"/>
    <w:rsid w:val="0D7A1E21"/>
    <w:rsid w:val="0D8C3B50"/>
    <w:rsid w:val="0D9DC53D"/>
    <w:rsid w:val="0DAA4F49"/>
    <w:rsid w:val="0DBE4428"/>
    <w:rsid w:val="0DD39CDB"/>
    <w:rsid w:val="0DEACC4B"/>
    <w:rsid w:val="0DF38434"/>
    <w:rsid w:val="0DF9ADE0"/>
    <w:rsid w:val="0E0A5FB1"/>
    <w:rsid w:val="0E19EA36"/>
    <w:rsid w:val="0E1D588E"/>
    <w:rsid w:val="0E2618D1"/>
    <w:rsid w:val="0E2F257B"/>
    <w:rsid w:val="0E531881"/>
    <w:rsid w:val="0E6D6F2C"/>
    <w:rsid w:val="0E75475B"/>
    <w:rsid w:val="0E8157E9"/>
    <w:rsid w:val="0E9996C8"/>
    <w:rsid w:val="0E99B67C"/>
    <w:rsid w:val="0EA14563"/>
    <w:rsid w:val="0EA81090"/>
    <w:rsid w:val="0EACD483"/>
    <w:rsid w:val="0EAF27E3"/>
    <w:rsid w:val="0EB48CA4"/>
    <w:rsid w:val="0EBFA7E4"/>
    <w:rsid w:val="0ECC1CD3"/>
    <w:rsid w:val="0ED789AC"/>
    <w:rsid w:val="0EE1FEA5"/>
    <w:rsid w:val="0EF57E64"/>
    <w:rsid w:val="0F0DA29A"/>
    <w:rsid w:val="0F2EB501"/>
    <w:rsid w:val="0F30DDA4"/>
    <w:rsid w:val="0F354048"/>
    <w:rsid w:val="0F467A04"/>
    <w:rsid w:val="0F578ED1"/>
    <w:rsid w:val="0F585F03"/>
    <w:rsid w:val="0F5AA38D"/>
    <w:rsid w:val="0F94AFF8"/>
    <w:rsid w:val="0F98CB89"/>
    <w:rsid w:val="0FADED23"/>
    <w:rsid w:val="0FB6023A"/>
    <w:rsid w:val="0FC92035"/>
    <w:rsid w:val="0FCD3B65"/>
    <w:rsid w:val="0FE17333"/>
    <w:rsid w:val="104D2CC8"/>
    <w:rsid w:val="1058521B"/>
    <w:rsid w:val="105A7766"/>
    <w:rsid w:val="105D6EE5"/>
    <w:rsid w:val="10662FA2"/>
    <w:rsid w:val="10698553"/>
    <w:rsid w:val="107406DC"/>
    <w:rsid w:val="1090DD20"/>
    <w:rsid w:val="10A82871"/>
    <w:rsid w:val="10AD6BC1"/>
    <w:rsid w:val="10C02912"/>
    <w:rsid w:val="10C85737"/>
    <w:rsid w:val="10CEA96B"/>
    <w:rsid w:val="10DFA964"/>
    <w:rsid w:val="1107AAB1"/>
    <w:rsid w:val="110E35CC"/>
    <w:rsid w:val="1121910B"/>
    <w:rsid w:val="1139DF1F"/>
    <w:rsid w:val="113D0781"/>
    <w:rsid w:val="1140417C"/>
    <w:rsid w:val="11468219"/>
    <w:rsid w:val="1148B9C9"/>
    <w:rsid w:val="1163767E"/>
    <w:rsid w:val="11719F1D"/>
    <w:rsid w:val="11B26AA5"/>
    <w:rsid w:val="11C080E7"/>
    <w:rsid w:val="11C29162"/>
    <w:rsid w:val="11EEA121"/>
    <w:rsid w:val="120018EB"/>
    <w:rsid w:val="122959A0"/>
    <w:rsid w:val="123051DA"/>
    <w:rsid w:val="1230B415"/>
    <w:rsid w:val="1231611A"/>
    <w:rsid w:val="1232D71D"/>
    <w:rsid w:val="123CE0AD"/>
    <w:rsid w:val="124E5AA3"/>
    <w:rsid w:val="125AA799"/>
    <w:rsid w:val="12660E84"/>
    <w:rsid w:val="126D9C27"/>
    <w:rsid w:val="1273C313"/>
    <w:rsid w:val="127B37EF"/>
    <w:rsid w:val="127E0D20"/>
    <w:rsid w:val="1292F2A3"/>
    <w:rsid w:val="12C79BDF"/>
    <w:rsid w:val="12D33431"/>
    <w:rsid w:val="12D988A0"/>
    <w:rsid w:val="12DDF99A"/>
    <w:rsid w:val="12E42888"/>
    <w:rsid w:val="12E510AF"/>
    <w:rsid w:val="12EA80F7"/>
    <w:rsid w:val="12F15EF8"/>
    <w:rsid w:val="12F5E18E"/>
    <w:rsid w:val="1308B280"/>
    <w:rsid w:val="1313FF23"/>
    <w:rsid w:val="13423D87"/>
    <w:rsid w:val="1343D864"/>
    <w:rsid w:val="13686435"/>
    <w:rsid w:val="136D468C"/>
    <w:rsid w:val="1374017D"/>
    <w:rsid w:val="1386F1AB"/>
    <w:rsid w:val="138AC55F"/>
    <w:rsid w:val="13A23044"/>
    <w:rsid w:val="13B4BE27"/>
    <w:rsid w:val="13C1DE0E"/>
    <w:rsid w:val="13F851C7"/>
    <w:rsid w:val="13F9FF8F"/>
    <w:rsid w:val="13FA820B"/>
    <w:rsid w:val="141372C4"/>
    <w:rsid w:val="14542E3B"/>
    <w:rsid w:val="14776EE4"/>
    <w:rsid w:val="147D13AF"/>
    <w:rsid w:val="14B6C99D"/>
    <w:rsid w:val="14DEB3D0"/>
    <w:rsid w:val="14ED7B9E"/>
    <w:rsid w:val="14EE34F7"/>
    <w:rsid w:val="14F3A884"/>
    <w:rsid w:val="1507EFD4"/>
    <w:rsid w:val="151DDD16"/>
    <w:rsid w:val="153E3A15"/>
    <w:rsid w:val="154708EA"/>
    <w:rsid w:val="155B2133"/>
    <w:rsid w:val="1573D111"/>
    <w:rsid w:val="15894C63"/>
    <w:rsid w:val="159474E1"/>
    <w:rsid w:val="15AC3F04"/>
    <w:rsid w:val="15AEC0D0"/>
    <w:rsid w:val="15C64A96"/>
    <w:rsid w:val="15C9823B"/>
    <w:rsid w:val="15DAD585"/>
    <w:rsid w:val="15DC50CD"/>
    <w:rsid w:val="15F3B16E"/>
    <w:rsid w:val="15F80B25"/>
    <w:rsid w:val="15F977C5"/>
    <w:rsid w:val="15FB5D12"/>
    <w:rsid w:val="1604705D"/>
    <w:rsid w:val="1609480C"/>
    <w:rsid w:val="160AA47B"/>
    <w:rsid w:val="160D3316"/>
    <w:rsid w:val="1619A6EA"/>
    <w:rsid w:val="16227515"/>
    <w:rsid w:val="1622A80B"/>
    <w:rsid w:val="16253221"/>
    <w:rsid w:val="1636E20E"/>
    <w:rsid w:val="16473A8C"/>
    <w:rsid w:val="165E64E4"/>
    <w:rsid w:val="1668BEFD"/>
    <w:rsid w:val="1685BDC0"/>
    <w:rsid w:val="168EFE7B"/>
    <w:rsid w:val="169A080F"/>
    <w:rsid w:val="16BE866B"/>
    <w:rsid w:val="16C45030"/>
    <w:rsid w:val="16C754EF"/>
    <w:rsid w:val="16D2D7C2"/>
    <w:rsid w:val="16E5AD7B"/>
    <w:rsid w:val="16F74BBF"/>
    <w:rsid w:val="16FACD8A"/>
    <w:rsid w:val="17093E04"/>
    <w:rsid w:val="170D18BB"/>
    <w:rsid w:val="17338A66"/>
    <w:rsid w:val="173F59E5"/>
    <w:rsid w:val="1742A328"/>
    <w:rsid w:val="1747368C"/>
    <w:rsid w:val="1757D94C"/>
    <w:rsid w:val="17650336"/>
    <w:rsid w:val="176AD087"/>
    <w:rsid w:val="176D83F5"/>
    <w:rsid w:val="177D8A43"/>
    <w:rsid w:val="177E4881"/>
    <w:rsid w:val="1782A1C9"/>
    <w:rsid w:val="17A51542"/>
    <w:rsid w:val="17A9BCAD"/>
    <w:rsid w:val="17A9EBDB"/>
    <w:rsid w:val="17C76CF0"/>
    <w:rsid w:val="17CC10DB"/>
    <w:rsid w:val="180F3916"/>
    <w:rsid w:val="18288A95"/>
    <w:rsid w:val="182DCE73"/>
    <w:rsid w:val="1845EFA2"/>
    <w:rsid w:val="18480729"/>
    <w:rsid w:val="1849A171"/>
    <w:rsid w:val="184BD3F8"/>
    <w:rsid w:val="1854B402"/>
    <w:rsid w:val="185533E6"/>
    <w:rsid w:val="186308A5"/>
    <w:rsid w:val="1863E033"/>
    <w:rsid w:val="186B60C2"/>
    <w:rsid w:val="18A40C74"/>
    <w:rsid w:val="18B4323C"/>
    <w:rsid w:val="18D78803"/>
    <w:rsid w:val="18D87293"/>
    <w:rsid w:val="18DB0C86"/>
    <w:rsid w:val="18E3BAA8"/>
    <w:rsid w:val="18ED3287"/>
    <w:rsid w:val="18F91427"/>
    <w:rsid w:val="1911F4B9"/>
    <w:rsid w:val="1912E31F"/>
    <w:rsid w:val="1958F19B"/>
    <w:rsid w:val="19666D29"/>
    <w:rsid w:val="19861A4D"/>
    <w:rsid w:val="199EE1D5"/>
    <w:rsid w:val="19A21B13"/>
    <w:rsid w:val="19B5A59A"/>
    <w:rsid w:val="19C90ECD"/>
    <w:rsid w:val="19D66111"/>
    <w:rsid w:val="19DD1064"/>
    <w:rsid w:val="1A150522"/>
    <w:rsid w:val="1A1B0025"/>
    <w:rsid w:val="1A213062"/>
    <w:rsid w:val="1A24A3FA"/>
    <w:rsid w:val="1A25210C"/>
    <w:rsid w:val="1A5F8451"/>
    <w:rsid w:val="1A73685C"/>
    <w:rsid w:val="1A92BAA6"/>
    <w:rsid w:val="1A9E7F85"/>
    <w:rsid w:val="1AA5C78D"/>
    <w:rsid w:val="1AA88B74"/>
    <w:rsid w:val="1AAC6AEF"/>
    <w:rsid w:val="1AB747CA"/>
    <w:rsid w:val="1AC34BB9"/>
    <w:rsid w:val="1ACA599D"/>
    <w:rsid w:val="1ACF029C"/>
    <w:rsid w:val="1AD9D098"/>
    <w:rsid w:val="1ADC9B56"/>
    <w:rsid w:val="1AF2967C"/>
    <w:rsid w:val="1AFF7A0F"/>
    <w:rsid w:val="1B17CB32"/>
    <w:rsid w:val="1B19074A"/>
    <w:rsid w:val="1B1D9C87"/>
    <w:rsid w:val="1B223E60"/>
    <w:rsid w:val="1B2FB249"/>
    <w:rsid w:val="1B36BBCE"/>
    <w:rsid w:val="1B3F6CA8"/>
    <w:rsid w:val="1B4B2FAE"/>
    <w:rsid w:val="1B524BE9"/>
    <w:rsid w:val="1B5E6757"/>
    <w:rsid w:val="1B5F4C68"/>
    <w:rsid w:val="1B7235DE"/>
    <w:rsid w:val="1B7342B9"/>
    <w:rsid w:val="1B7B93E7"/>
    <w:rsid w:val="1B8203A1"/>
    <w:rsid w:val="1B8CE7AA"/>
    <w:rsid w:val="1B8ECDF5"/>
    <w:rsid w:val="1BA27E99"/>
    <w:rsid w:val="1BA9935F"/>
    <w:rsid w:val="1BB43879"/>
    <w:rsid w:val="1BC0CDC1"/>
    <w:rsid w:val="1BCC2383"/>
    <w:rsid w:val="1BCE53A0"/>
    <w:rsid w:val="1BD0E2B7"/>
    <w:rsid w:val="1BD3D5CF"/>
    <w:rsid w:val="1BE58F1D"/>
    <w:rsid w:val="1BF0D5A0"/>
    <w:rsid w:val="1BF60487"/>
    <w:rsid w:val="1C137E52"/>
    <w:rsid w:val="1C1A6E71"/>
    <w:rsid w:val="1C225766"/>
    <w:rsid w:val="1C22E370"/>
    <w:rsid w:val="1C244C25"/>
    <w:rsid w:val="1C2F4B8D"/>
    <w:rsid w:val="1C33408B"/>
    <w:rsid w:val="1C38475C"/>
    <w:rsid w:val="1C5D55E1"/>
    <w:rsid w:val="1C5EAB73"/>
    <w:rsid w:val="1C642033"/>
    <w:rsid w:val="1C688BD5"/>
    <w:rsid w:val="1C6C1AF4"/>
    <w:rsid w:val="1C80FEC6"/>
    <w:rsid w:val="1C8F8542"/>
    <w:rsid w:val="1C978345"/>
    <w:rsid w:val="1CA926AC"/>
    <w:rsid w:val="1CB80732"/>
    <w:rsid w:val="1CC30C3C"/>
    <w:rsid w:val="1CFB04F8"/>
    <w:rsid w:val="1D1C3F62"/>
    <w:rsid w:val="1D35D795"/>
    <w:rsid w:val="1D407C04"/>
    <w:rsid w:val="1D42B0D0"/>
    <w:rsid w:val="1D513866"/>
    <w:rsid w:val="1D606D09"/>
    <w:rsid w:val="1D60EBFA"/>
    <w:rsid w:val="1D632154"/>
    <w:rsid w:val="1D637DE3"/>
    <w:rsid w:val="1D6EAA0D"/>
    <w:rsid w:val="1D779D04"/>
    <w:rsid w:val="1D893E5B"/>
    <w:rsid w:val="1D996AFB"/>
    <w:rsid w:val="1DA64EF3"/>
    <w:rsid w:val="1DAC99DC"/>
    <w:rsid w:val="1DACF954"/>
    <w:rsid w:val="1DC25B13"/>
    <w:rsid w:val="1DC4292C"/>
    <w:rsid w:val="1DCFDCF5"/>
    <w:rsid w:val="1DD2B3A7"/>
    <w:rsid w:val="1DDB81C5"/>
    <w:rsid w:val="1DE72750"/>
    <w:rsid w:val="1DF58B25"/>
    <w:rsid w:val="1DF9600B"/>
    <w:rsid w:val="1DFA84F2"/>
    <w:rsid w:val="1E2BB58F"/>
    <w:rsid w:val="1E33654E"/>
    <w:rsid w:val="1E5D9A12"/>
    <w:rsid w:val="1E63F797"/>
    <w:rsid w:val="1E6DD5D0"/>
    <w:rsid w:val="1E6E578F"/>
    <w:rsid w:val="1E7C9B5F"/>
    <w:rsid w:val="1E82D6BC"/>
    <w:rsid w:val="1E96C3F9"/>
    <w:rsid w:val="1EA2049C"/>
    <w:rsid w:val="1EAA4E19"/>
    <w:rsid w:val="1EAE0FD5"/>
    <w:rsid w:val="1EB2FB95"/>
    <w:rsid w:val="1EB4918A"/>
    <w:rsid w:val="1EB5D4BD"/>
    <w:rsid w:val="1EDC613B"/>
    <w:rsid w:val="1EF0C2D2"/>
    <w:rsid w:val="1EF7F1ED"/>
    <w:rsid w:val="1F0A674B"/>
    <w:rsid w:val="1F13A180"/>
    <w:rsid w:val="1F1AEB12"/>
    <w:rsid w:val="1F2CC6AF"/>
    <w:rsid w:val="1F320504"/>
    <w:rsid w:val="1F5621D5"/>
    <w:rsid w:val="1F5872BE"/>
    <w:rsid w:val="1F5A6C21"/>
    <w:rsid w:val="1F5CCA6F"/>
    <w:rsid w:val="1F702798"/>
    <w:rsid w:val="1F7062A3"/>
    <w:rsid w:val="1F731C7C"/>
    <w:rsid w:val="1F7FDE38"/>
    <w:rsid w:val="1F82BBA8"/>
    <w:rsid w:val="1F87D8B6"/>
    <w:rsid w:val="1F8C1DC7"/>
    <w:rsid w:val="1F9FA0AF"/>
    <w:rsid w:val="1FA7F11A"/>
    <w:rsid w:val="1FDE5895"/>
    <w:rsid w:val="1FE908B0"/>
    <w:rsid w:val="1FE98E1A"/>
    <w:rsid w:val="1FEAF99E"/>
    <w:rsid w:val="1FFBA487"/>
    <w:rsid w:val="1FFD8280"/>
    <w:rsid w:val="202809A8"/>
    <w:rsid w:val="20331A5A"/>
    <w:rsid w:val="2050A1B9"/>
    <w:rsid w:val="20708913"/>
    <w:rsid w:val="20A09C02"/>
    <w:rsid w:val="20A38202"/>
    <w:rsid w:val="20AED3C1"/>
    <w:rsid w:val="20DF02C7"/>
    <w:rsid w:val="20E0537C"/>
    <w:rsid w:val="21070842"/>
    <w:rsid w:val="21269EE1"/>
    <w:rsid w:val="212F94D1"/>
    <w:rsid w:val="21603206"/>
    <w:rsid w:val="216C49FB"/>
    <w:rsid w:val="2182B97E"/>
    <w:rsid w:val="21DB86CF"/>
    <w:rsid w:val="21F37830"/>
    <w:rsid w:val="2216C2CE"/>
    <w:rsid w:val="222F5D15"/>
    <w:rsid w:val="2234E3CB"/>
    <w:rsid w:val="223B3FB1"/>
    <w:rsid w:val="2249640B"/>
    <w:rsid w:val="2251FE92"/>
    <w:rsid w:val="22734183"/>
    <w:rsid w:val="2283AA58"/>
    <w:rsid w:val="228795DA"/>
    <w:rsid w:val="22C1BC1C"/>
    <w:rsid w:val="22CB4FD7"/>
    <w:rsid w:val="22DCFB13"/>
    <w:rsid w:val="22DD0D9F"/>
    <w:rsid w:val="22DD7878"/>
    <w:rsid w:val="22DF8302"/>
    <w:rsid w:val="22E5CE86"/>
    <w:rsid w:val="22E8F2D2"/>
    <w:rsid w:val="22EA82E4"/>
    <w:rsid w:val="22ECAC13"/>
    <w:rsid w:val="22F8EAFA"/>
    <w:rsid w:val="231086AC"/>
    <w:rsid w:val="23124136"/>
    <w:rsid w:val="2331B26A"/>
    <w:rsid w:val="23336925"/>
    <w:rsid w:val="2341B958"/>
    <w:rsid w:val="2353CB8B"/>
    <w:rsid w:val="23656377"/>
    <w:rsid w:val="236CC900"/>
    <w:rsid w:val="23764C8D"/>
    <w:rsid w:val="238E5513"/>
    <w:rsid w:val="23942CE4"/>
    <w:rsid w:val="23A104A9"/>
    <w:rsid w:val="23A1E80E"/>
    <w:rsid w:val="23AAB5FD"/>
    <w:rsid w:val="23BE1D5B"/>
    <w:rsid w:val="23DBBEF2"/>
    <w:rsid w:val="23E61B12"/>
    <w:rsid w:val="23EB0A43"/>
    <w:rsid w:val="24061D87"/>
    <w:rsid w:val="240AA32D"/>
    <w:rsid w:val="241A8B4E"/>
    <w:rsid w:val="242862E8"/>
    <w:rsid w:val="244E6B19"/>
    <w:rsid w:val="2455D6C6"/>
    <w:rsid w:val="246932FA"/>
    <w:rsid w:val="246E1F1E"/>
    <w:rsid w:val="24D7025C"/>
    <w:rsid w:val="24EACEBD"/>
    <w:rsid w:val="24F2F081"/>
    <w:rsid w:val="25040021"/>
    <w:rsid w:val="2504D20C"/>
    <w:rsid w:val="250A8BE1"/>
    <w:rsid w:val="251704DE"/>
    <w:rsid w:val="251A32F4"/>
    <w:rsid w:val="252A51CA"/>
    <w:rsid w:val="253C19E3"/>
    <w:rsid w:val="2547B079"/>
    <w:rsid w:val="254A1E8D"/>
    <w:rsid w:val="255A8EA2"/>
    <w:rsid w:val="256B2707"/>
    <w:rsid w:val="25720E0B"/>
    <w:rsid w:val="2596BC05"/>
    <w:rsid w:val="25AD99CC"/>
    <w:rsid w:val="25B06FD3"/>
    <w:rsid w:val="25C6006F"/>
    <w:rsid w:val="25EBA827"/>
    <w:rsid w:val="2602F85E"/>
    <w:rsid w:val="2608C753"/>
    <w:rsid w:val="260C22EB"/>
    <w:rsid w:val="2622CDF1"/>
    <w:rsid w:val="265247E5"/>
    <w:rsid w:val="2665D559"/>
    <w:rsid w:val="266D448A"/>
    <w:rsid w:val="26789D4B"/>
    <w:rsid w:val="267B880D"/>
    <w:rsid w:val="26A72766"/>
    <w:rsid w:val="26AD01B8"/>
    <w:rsid w:val="26AFDA8E"/>
    <w:rsid w:val="26BBC36E"/>
    <w:rsid w:val="26D555D3"/>
    <w:rsid w:val="2781DD6E"/>
    <w:rsid w:val="27AA206E"/>
    <w:rsid w:val="27F295BB"/>
    <w:rsid w:val="27F7841A"/>
    <w:rsid w:val="28188B66"/>
    <w:rsid w:val="281EE8F3"/>
    <w:rsid w:val="28287456"/>
    <w:rsid w:val="2834BF61"/>
    <w:rsid w:val="2841E01A"/>
    <w:rsid w:val="2852C66C"/>
    <w:rsid w:val="28577558"/>
    <w:rsid w:val="285A77F0"/>
    <w:rsid w:val="2861CAEE"/>
    <w:rsid w:val="287D45F0"/>
    <w:rsid w:val="288DC8FC"/>
    <w:rsid w:val="28989C44"/>
    <w:rsid w:val="289AB9A1"/>
    <w:rsid w:val="28B8E688"/>
    <w:rsid w:val="28C8DC5A"/>
    <w:rsid w:val="28D3E638"/>
    <w:rsid w:val="28E9901A"/>
    <w:rsid w:val="28FE23A3"/>
    <w:rsid w:val="29011CF6"/>
    <w:rsid w:val="29132FAB"/>
    <w:rsid w:val="2915BEBE"/>
    <w:rsid w:val="292D77AC"/>
    <w:rsid w:val="2939990E"/>
    <w:rsid w:val="294190D9"/>
    <w:rsid w:val="2958F764"/>
    <w:rsid w:val="296B43ED"/>
    <w:rsid w:val="29957D3E"/>
    <w:rsid w:val="29AE12DF"/>
    <w:rsid w:val="29B04B9A"/>
    <w:rsid w:val="29B90A4C"/>
    <w:rsid w:val="29C15652"/>
    <w:rsid w:val="29CA62C0"/>
    <w:rsid w:val="29CD1B6A"/>
    <w:rsid w:val="29F6985E"/>
    <w:rsid w:val="29FB6525"/>
    <w:rsid w:val="2A1D16CD"/>
    <w:rsid w:val="2A45E59A"/>
    <w:rsid w:val="2A54FC2F"/>
    <w:rsid w:val="2A570349"/>
    <w:rsid w:val="2A6C198C"/>
    <w:rsid w:val="2A6CC003"/>
    <w:rsid w:val="2A75D153"/>
    <w:rsid w:val="2A7AE36A"/>
    <w:rsid w:val="2AB713DA"/>
    <w:rsid w:val="2AC0B1B5"/>
    <w:rsid w:val="2ACC057D"/>
    <w:rsid w:val="2AD6DAEE"/>
    <w:rsid w:val="2AFC0813"/>
    <w:rsid w:val="2AFE9421"/>
    <w:rsid w:val="2B00C315"/>
    <w:rsid w:val="2B22FDEA"/>
    <w:rsid w:val="2B23E1DA"/>
    <w:rsid w:val="2B43711D"/>
    <w:rsid w:val="2B6963F3"/>
    <w:rsid w:val="2B75215F"/>
    <w:rsid w:val="2BAB5DE2"/>
    <w:rsid w:val="2BB40B11"/>
    <w:rsid w:val="2BC5282B"/>
    <w:rsid w:val="2BDD5976"/>
    <w:rsid w:val="2BE1A685"/>
    <w:rsid w:val="2BE846E2"/>
    <w:rsid w:val="2BF730C6"/>
    <w:rsid w:val="2BFE22D9"/>
    <w:rsid w:val="2C171810"/>
    <w:rsid w:val="2C1F6584"/>
    <w:rsid w:val="2C29098C"/>
    <w:rsid w:val="2C3795D2"/>
    <w:rsid w:val="2C387231"/>
    <w:rsid w:val="2C3D3CFA"/>
    <w:rsid w:val="2C4F2154"/>
    <w:rsid w:val="2C58010F"/>
    <w:rsid w:val="2C5FF1FE"/>
    <w:rsid w:val="2C6259EB"/>
    <w:rsid w:val="2C68B9A5"/>
    <w:rsid w:val="2C73F2F4"/>
    <w:rsid w:val="2C74D347"/>
    <w:rsid w:val="2C7514DC"/>
    <w:rsid w:val="2C775CB8"/>
    <w:rsid w:val="2C7C5741"/>
    <w:rsid w:val="2C7EEE23"/>
    <w:rsid w:val="2C96FCA2"/>
    <w:rsid w:val="2C9A1CC5"/>
    <w:rsid w:val="2CA74F5F"/>
    <w:rsid w:val="2CB652F2"/>
    <w:rsid w:val="2CBA1AF2"/>
    <w:rsid w:val="2CC8CB93"/>
    <w:rsid w:val="2CCF2F90"/>
    <w:rsid w:val="2CDBE528"/>
    <w:rsid w:val="2CDC2CA2"/>
    <w:rsid w:val="2CF96A8A"/>
    <w:rsid w:val="2D005F95"/>
    <w:rsid w:val="2D062850"/>
    <w:rsid w:val="2D17038C"/>
    <w:rsid w:val="2D1FA5C5"/>
    <w:rsid w:val="2D29C6D4"/>
    <w:rsid w:val="2D315E3F"/>
    <w:rsid w:val="2D332AFF"/>
    <w:rsid w:val="2D62CC2E"/>
    <w:rsid w:val="2D8D97B0"/>
    <w:rsid w:val="2D9B8F16"/>
    <w:rsid w:val="2DA402EA"/>
    <w:rsid w:val="2DAAE739"/>
    <w:rsid w:val="2DBFEE7A"/>
    <w:rsid w:val="2DC14A89"/>
    <w:rsid w:val="2DCF435E"/>
    <w:rsid w:val="2DD2CFB5"/>
    <w:rsid w:val="2DD7CE63"/>
    <w:rsid w:val="2DE2D704"/>
    <w:rsid w:val="2DE72B3C"/>
    <w:rsid w:val="2DEEC186"/>
    <w:rsid w:val="2E0F8B85"/>
    <w:rsid w:val="2E1735B9"/>
    <w:rsid w:val="2E32B671"/>
    <w:rsid w:val="2E3DEA3D"/>
    <w:rsid w:val="2E4E3CFF"/>
    <w:rsid w:val="2E5126E5"/>
    <w:rsid w:val="2E63C631"/>
    <w:rsid w:val="2E658A75"/>
    <w:rsid w:val="2E7CD718"/>
    <w:rsid w:val="2E84C73E"/>
    <w:rsid w:val="2E855E89"/>
    <w:rsid w:val="2E89B7B5"/>
    <w:rsid w:val="2ED66FBD"/>
    <w:rsid w:val="2EFCE819"/>
    <w:rsid w:val="2F0D3AE0"/>
    <w:rsid w:val="2F11CCBB"/>
    <w:rsid w:val="2F166BC7"/>
    <w:rsid w:val="2F191F6A"/>
    <w:rsid w:val="2F23D600"/>
    <w:rsid w:val="2F283759"/>
    <w:rsid w:val="2F33E057"/>
    <w:rsid w:val="2F377AE2"/>
    <w:rsid w:val="2F73C81F"/>
    <w:rsid w:val="2F96E4B8"/>
    <w:rsid w:val="2FA56234"/>
    <w:rsid w:val="2FB100BD"/>
    <w:rsid w:val="2FC483A8"/>
    <w:rsid w:val="2FC76368"/>
    <w:rsid w:val="2FCE4D50"/>
    <w:rsid w:val="2FE76FD3"/>
    <w:rsid w:val="301E2C0C"/>
    <w:rsid w:val="30440537"/>
    <w:rsid w:val="3066DEF7"/>
    <w:rsid w:val="307CD1AF"/>
    <w:rsid w:val="3087AB48"/>
    <w:rsid w:val="30A6906E"/>
    <w:rsid w:val="30B2309A"/>
    <w:rsid w:val="30B2C10F"/>
    <w:rsid w:val="30D8B1BE"/>
    <w:rsid w:val="3112719E"/>
    <w:rsid w:val="312602F5"/>
    <w:rsid w:val="31363D64"/>
    <w:rsid w:val="315B30C7"/>
    <w:rsid w:val="315BD6A0"/>
    <w:rsid w:val="316D30EA"/>
    <w:rsid w:val="3199053B"/>
    <w:rsid w:val="31AA8F49"/>
    <w:rsid w:val="31AB5EF9"/>
    <w:rsid w:val="31BE0AAA"/>
    <w:rsid w:val="31C69402"/>
    <w:rsid w:val="31C9D3BF"/>
    <w:rsid w:val="31E99EB4"/>
    <w:rsid w:val="31F78AEF"/>
    <w:rsid w:val="3217CCA2"/>
    <w:rsid w:val="321A551D"/>
    <w:rsid w:val="32447AE9"/>
    <w:rsid w:val="325933B1"/>
    <w:rsid w:val="3260A979"/>
    <w:rsid w:val="326B42BA"/>
    <w:rsid w:val="326F7D86"/>
    <w:rsid w:val="327C2BBF"/>
    <w:rsid w:val="327FA2C2"/>
    <w:rsid w:val="329092C1"/>
    <w:rsid w:val="329B89CC"/>
    <w:rsid w:val="32ACF189"/>
    <w:rsid w:val="32B4F6CA"/>
    <w:rsid w:val="32BD5886"/>
    <w:rsid w:val="32CE3A97"/>
    <w:rsid w:val="32CFFBB7"/>
    <w:rsid w:val="32D6C7BB"/>
    <w:rsid w:val="32D798E8"/>
    <w:rsid w:val="32E7EFE2"/>
    <w:rsid w:val="32EB23A3"/>
    <w:rsid w:val="32F89B21"/>
    <w:rsid w:val="32FB4C00"/>
    <w:rsid w:val="32FCE30F"/>
    <w:rsid w:val="3304C76F"/>
    <w:rsid w:val="330AE22D"/>
    <w:rsid w:val="33338577"/>
    <w:rsid w:val="33366AC8"/>
    <w:rsid w:val="333AF418"/>
    <w:rsid w:val="333C980B"/>
    <w:rsid w:val="3340A43D"/>
    <w:rsid w:val="3340E6E8"/>
    <w:rsid w:val="334B67FE"/>
    <w:rsid w:val="3364B9ED"/>
    <w:rsid w:val="3377078D"/>
    <w:rsid w:val="33C3A0B2"/>
    <w:rsid w:val="33C92DAA"/>
    <w:rsid w:val="33CA1821"/>
    <w:rsid w:val="33E7AA99"/>
    <w:rsid w:val="33F07A80"/>
    <w:rsid w:val="34027C39"/>
    <w:rsid w:val="340DBB6E"/>
    <w:rsid w:val="34141DAA"/>
    <w:rsid w:val="3415A6A6"/>
    <w:rsid w:val="3416EC9B"/>
    <w:rsid w:val="34355DC1"/>
    <w:rsid w:val="3456783A"/>
    <w:rsid w:val="34669F9A"/>
    <w:rsid w:val="3469F4B7"/>
    <w:rsid w:val="346C7074"/>
    <w:rsid w:val="346E6211"/>
    <w:rsid w:val="3478CF3B"/>
    <w:rsid w:val="3482BA85"/>
    <w:rsid w:val="348D6B9F"/>
    <w:rsid w:val="349640A6"/>
    <w:rsid w:val="34A5E485"/>
    <w:rsid w:val="34AD9A54"/>
    <w:rsid w:val="34B5F5C4"/>
    <w:rsid w:val="34BCCBFC"/>
    <w:rsid w:val="34C8CDA4"/>
    <w:rsid w:val="34D35B00"/>
    <w:rsid w:val="34E1CD8F"/>
    <w:rsid w:val="34F98486"/>
    <w:rsid w:val="3507EBCE"/>
    <w:rsid w:val="35172961"/>
    <w:rsid w:val="3517F137"/>
    <w:rsid w:val="3519088A"/>
    <w:rsid w:val="35301BD3"/>
    <w:rsid w:val="35314422"/>
    <w:rsid w:val="35369F15"/>
    <w:rsid w:val="3551A6DF"/>
    <w:rsid w:val="35730253"/>
    <w:rsid w:val="35748755"/>
    <w:rsid w:val="3577AD6D"/>
    <w:rsid w:val="35796B04"/>
    <w:rsid w:val="35930F4A"/>
    <w:rsid w:val="35A9B26D"/>
    <w:rsid w:val="35AABAE3"/>
    <w:rsid w:val="35B66080"/>
    <w:rsid w:val="35D43868"/>
    <w:rsid w:val="35F8CE15"/>
    <w:rsid w:val="35FA80D0"/>
    <w:rsid w:val="36015ADF"/>
    <w:rsid w:val="360205EB"/>
    <w:rsid w:val="36152BEB"/>
    <w:rsid w:val="3626E1AF"/>
    <w:rsid w:val="36642857"/>
    <w:rsid w:val="3678D6E1"/>
    <w:rsid w:val="3680E5AB"/>
    <w:rsid w:val="3687BB34"/>
    <w:rsid w:val="36963763"/>
    <w:rsid w:val="36989967"/>
    <w:rsid w:val="369FBC82"/>
    <w:rsid w:val="36A1D7B3"/>
    <w:rsid w:val="36BA39AF"/>
    <w:rsid w:val="36CA7A0B"/>
    <w:rsid w:val="36DAF299"/>
    <w:rsid w:val="36DB7F9E"/>
    <w:rsid w:val="36EAF199"/>
    <w:rsid w:val="36F56335"/>
    <w:rsid w:val="37339519"/>
    <w:rsid w:val="373D1CFF"/>
    <w:rsid w:val="373E2F22"/>
    <w:rsid w:val="374B7335"/>
    <w:rsid w:val="37588848"/>
    <w:rsid w:val="3758BD61"/>
    <w:rsid w:val="37647F06"/>
    <w:rsid w:val="3765E763"/>
    <w:rsid w:val="376D3E57"/>
    <w:rsid w:val="37915CCB"/>
    <w:rsid w:val="37BBB1C1"/>
    <w:rsid w:val="37BDD41F"/>
    <w:rsid w:val="37C3F9A8"/>
    <w:rsid w:val="37CBF4BF"/>
    <w:rsid w:val="37E54267"/>
    <w:rsid w:val="37EE9055"/>
    <w:rsid w:val="37EF2B70"/>
    <w:rsid w:val="37FBBAFC"/>
    <w:rsid w:val="37FE86CC"/>
    <w:rsid w:val="3809DF6C"/>
    <w:rsid w:val="383AC34E"/>
    <w:rsid w:val="3861E0EB"/>
    <w:rsid w:val="38686685"/>
    <w:rsid w:val="386B66CE"/>
    <w:rsid w:val="38BEDE7C"/>
    <w:rsid w:val="38C12F63"/>
    <w:rsid w:val="38E91CAD"/>
    <w:rsid w:val="3906DD12"/>
    <w:rsid w:val="39088A87"/>
    <w:rsid w:val="391C9A91"/>
    <w:rsid w:val="3921AB45"/>
    <w:rsid w:val="3965ADC1"/>
    <w:rsid w:val="396C6D2A"/>
    <w:rsid w:val="39A2196F"/>
    <w:rsid w:val="39B2466F"/>
    <w:rsid w:val="39B2514F"/>
    <w:rsid w:val="39B7F02D"/>
    <w:rsid w:val="39DD8FE7"/>
    <w:rsid w:val="39EB972A"/>
    <w:rsid w:val="39F3523E"/>
    <w:rsid w:val="3A04F32B"/>
    <w:rsid w:val="3A0814E6"/>
    <w:rsid w:val="3A1752ED"/>
    <w:rsid w:val="3A23BB6B"/>
    <w:rsid w:val="3A2EB1A9"/>
    <w:rsid w:val="3A41EC14"/>
    <w:rsid w:val="3A45FEC2"/>
    <w:rsid w:val="3A551589"/>
    <w:rsid w:val="3A66014C"/>
    <w:rsid w:val="3A72EBC0"/>
    <w:rsid w:val="3A83797B"/>
    <w:rsid w:val="3A9200C3"/>
    <w:rsid w:val="3A92D039"/>
    <w:rsid w:val="3AB20324"/>
    <w:rsid w:val="3AEE25BC"/>
    <w:rsid w:val="3B0E8304"/>
    <w:rsid w:val="3B10CAEA"/>
    <w:rsid w:val="3B1875BC"/>
    <w:rsid w:val="3B1F1BA0"/>
    <w:rsid w:val="3B4E3A9C"/>
    <w:rsid w:val="3B4F7757"/>
    <w:rsid w:val="3B5D3889"/>
    <w:rsid w:val="3B5E3C30"/>
    <w:rsid w:val="3B5E9597"/>
    <w:rsid w:val="3B928E64"/>
    <w:rsid w:val="3B95092C"/>
    <w:rsid w:val="3BB68690"/>
    <w:rsid w:val="3BC32FDA"/>
    <w:rsid w:val="3BCC6ACC"/>
    <w:rsid w:val="3BCD58EE"/>
    <w:rsid w:val="3BD991CA"/>
    <w:rsid w:val="3BE0C5AD"/>
    <w:rsid w:val="3BE3A313"/>
    <w:rsid w:val="3BF74A6F"/>
    <w:rsid w:val="3C025C02"/>
    <w:rsid w:val="3C15B6BE"/>
    <w:rsid w:val="3C1B6BBD"/>
    <w:rsid w:val="3C35B2E5"/>
    <w:rsid w:val="3C3863F4"/>
    <w:rsid w:val="3C3886AD"/>
    <w:rsid w:val="3C48DB5E"/>
    <w:rsid w:val="3C5AB84E"/>
    <w:rsid w:val="3C60EB1E"/>
    <w:rsid w:val="3C88C202"/>
    <w:rsid w:val="3C96DBB0"/>
    <w:rsid w:val="3C9BC427"/>
    <w:rsid w:val="3CB7B42E"/>
    <w:rsid w:val="3CBDC0DA"/>
    <w:rsid w:val="3CCAF039"/>
    <w:rsid w:val="3CCB2A1F"/>
    <w:rsid w:val="3CE75771"/>
    <w:rsid w:val="3CF9B456"/>
    <w:rsid w:val="3D09FC15"/>
    <w:rsid w:val="3D0DAAF0"/>
    <w:rsid w:val="3D18D561"/>
    <w:rsid w:val="3D395412"/>
    <w:rsid w:val="3D4A91A6"/>
    <w:rsid w:val="3D517C6F"/>
    <w:rsid w:val="3D58E09D"/>
    <w:rsid w:val="3D6B6600"/>
    <w:rsid w:val="3D79F39A"/>
    <w:rsid w:val="3D7E449A"/>
    <w:rsid w:val="3D832968"/>
    <w:rsid w:val="3D85500B"/>
    <w:rsid w:val="3D8ADE01"/>
    <w:rsid w:val="3D8F30EF"/>
    <w:rsid w:val="3D9B9BD0"/>
    <w:rsid w:val="3DE29395"/>
    <w:rsid w:val="3DE5AA2A"/>
    <w:rsid w:val="3DF83B83"/>
    <w:rsid w:val="3DFC0860"/>
    <w:rsid w:val="3E003BFC"/>
    <w:rsid w:val="3E159B2F"/>
    <w:rsid w:val="3E24C248"/>
    <w:rsid w:val="3E4D81C6"/>
    <w:rsid w:val="3E57E54E"/>
    <w:rsid w:val="3E70843F"/>
    <w:rsid w:val="3E7CA30E"/>
    <w:rsid w:val="3EBD1E62"/>
    <w:rsid w:val="3ED465FF"/>
    <w:rsid w:val="3ED8B85D"/>
    <w:rsid w:val="3EF21985"/>
    <w:rsid w:val="3F05B68D"/>
    <w:rsid w:val="3F0A24DA"/>
    <w:rsid w:val="3F0D8B81"/>
    <w:rsid w:val="3F0FECC2"/>
    <w:rsid w:val="3F249DD6"/>
    <w:rsid w:val="3F27D5ED"/>
    <w:rsid w:val="3F3E248C"/>
    <w:rsid w:val="3F8E46EB"/>
    <w:rsid w:val="3F99711E"/>
    <w:rsid w:val="3F9D4EDF"/>
    <w:rsid w:val="3FAFB505"/>
    <w:rsid w:val="3FB0E473"/>
    <w:rsid w:val="3FCBE825"/>
    <w:rsid w:val="3FCFC689"/>
    <w:rsid w:val="3FE69958"/>
    <w:rsid w:val="3FE95568"/>
    <w:rsid w:val="3FEDDF04"/>
    <w:rsid w:val="3FF636D9"/>
    <w:rsid w:val="402573A9"/>
    <w:rsid w:val="402C4E85"/>
    <w:rsid w:val="40327AE9"/>
    <w:rsid w:val="403F163F"/>
    <w:rsid w:val="4045FE08"/>
    <w:rsid w:val="406419C4"/>
    <w:rsid w:val="406F737C"/>
    <w:rsid w:val="40D0E881"/>
    <w:rsid w:val="40DC1628"/>
    <w:rsid w:val="40F1FB31"/>
    <w:rsid w:val="41604ACE"/>
    <w:rsid w:val="416AE4BF"/>
    <w:rsid w:val="41A476F9"/>
    <w:rsid w:val="41C802E1"/>
    <w:rsid w:val="41CF5F03"/>
    <w:rsid w:val="41D10831"/>
    <w:rsid w:val="41F9BD22"/>
    <w:rsid w:val="42074788"/>
    <w:rsid w:val="4210FDF1"/>
    <w:rsid w:val="422EDA76"/>
    <w:rsid w:val="42359489"/>
    <w:rsid w:val="4256C1AA"/>
    <w:rsid w:val="425A0D29"/>
    <w:rsid w:val="425B246D"/>
    <w:rsid w:val="425E9124"/>
    <w:rsid w:val="4266A029"/>
    <w:rsid w:val="429BF6DE"/>
    <w:rsid w:val="429E58D9"/>
    <w:rsid w:val="42A979B0"/>
    <w:rsid w:val="42CE47F4"/>
    <w:rsid w:val="42E5F5AD"/>
    <w:rsid w:val="42F3067D"/>
    <w:rsid w:val="42F642C4"/>
    <w:rsid w:val="43062CD1"/>
    <w:rsid w:val="4331D3C3"/>
    <w:rsid w:val="43393AAD"/>
    <w:rsid w:val="434A6169"/>
    <w:rsid w:val="435CC985"/>
    <w:rsid w:val="43634919"/>
    <w:rsid w:val="436D0176"/>
    <w:rsid w:val="436FEA16"/>
    <w:rsid w:val="438FBC49"/>
    <w:rsid w:val="43A4B2E8"/>
    <w:rsid w:val="43CA75C7"/>
    <w:rsid w:val="43CFB99D"/>
    <w:rsid w:val="43E42149"/>
    <w:rsid w:val="43FCE771"/>
    <w:rsid w:val="441F05DE"/>
    <w:rsid w:val="44487366"/>
    <w:rsid w:val="4454061F"/>
    <w:rsid w:val="447678DC"/>
    <w:rsid w:val="447C1484"/>
    <w:rsid w:val="44944D6B"/>
    <w:rsid w:val="449E4895"/>
    <w:rsid w:val="449F1AFD"/>
    <w:rsid w:val="44A0C8B2"/>
    <w:rsid w:val="44A12F9F"/>
    <w:rsid w:val="44AB1145"/>
    <w:rsid w:val="44E46DCC"/>
    <w:rsid w:val="44EE441A"/>
    <w:rsid w:val="44EF45A7"/>
    <w:rsid w:val="45324D45"/>
    <w:rsid w:val="4537C0D0"/>
    <w:rsid w:val="4543D4BB"/>
    <w:rsid w:val="454C67E9"/>
    <w:rsid w:val="45638D8D"/>
    <w:rsid w:val="4574A54C"/>
    <w:rsid w:val="45929C2E"/>
    <w:rsid w:val="459EAF7B"/>
    <w:rsid w:val="459FC0AD"/>
    <w:rsid w:val="45BFB7C1"/>
    <w:rsid w:val="45C8F785"/>
    <w:rsid w:val="45D45E17"/>
    <w:rsid w:val="45D7B3C0"/>
    <w:rsid w:val="45DFD496"/>
    <w:rsid w:val="45EB1336"/>
    <w:rsid w:val="45F01D32"/>
    <w:rsid w:val="45F4A554"/>
    <w:rsid w:val="45F6D349"/>
    <w:rsid w:val="45F6DE39"/>
    <w:rsid w:val="46138630"/>
    <w:rsid w:val="4614B6F0"/>
    <w:rsid w:val="462B211A"/>
    <w:rsid w:val="4647078A"/>
    <w:rsid w:val="4647B35B"/>
    <w:rsid w:val="46491E88"/>
    <w:rsid w:val="464A0493"/>
    <w:rsid w:val="465E7499"/>
    <w:rsid w:val="467A4276"/>
    <w:rsid w:val="467D6F15"/>
    <w:rsid w:val="4684AB7D"/>
    <w:rsid w:val="46910712"/>
    <w:rsid w:val="46A3FF71"/>
    <w:rsid w:val="46AF4FDB"/>
    <w:rsid w:val="46B0D0BD"/>
    <w:rsid w:val="46B12413"/>
    <w:rsid w:val="46BA3AAC"/>
    <w:rsid w:val="46BC21E9"/>
    <w:rsid w:val="46BF0CEC"/>
    <w:rsid w:val="46D4F679"/>
    <w:rsid w:val="46E08035"/>
    <w:rsid w:val="46ED6B94"/>
    <w:rsid w:val="46ED6D78"/>
    <w:rsid w:val="47027B7F"/>
    <w:rsid w:val="4716D09C"/>
    <w:rsid w:val="471CCA61"/>
    <w:rsid w:val="47279117"/>
    <w:rsid w:val="476811E1"/>
    <w:rsid w:val="47756DDE"/>
    <w:rsid w:val="4783928C"/>
    <w:rsid w:val="4786A502"/>
    <w:rsid w:val="4799C583"/>
    <w:rsid w:val="47B18816"/>
    <w:rsid w:val="47C0D5F2"/>
    <w:rsid w:val="47CA352D"/>
    <w:rsid w:val="47D8CC17"/>
    <w:rsid w:val="47EA5EB8"/>
    <w:rsid w:val="47EE6B2F"/>
    <w:rsid w:val="47F478FF"/>
    <w:rsid w:val="47F50716"/>
    <w:rsid w:val="480D54A5"/>
    <w:rsid w:val="482622AE"/>
    <w:rsid w:val="482EDC91"/>
    <w:rsid w:val="4836AE52"/>
    <w:rsid w:val="4840B213"/>
    <w:rsid w:val="48431901"/>
    <w:rsid w:val="484502A6"/>
    <w:rsid w:val="484A7848"/>
    <w:rsid w:val="484C28B3"/>
    <w:rsid w:val="485769BD"/>
    <w:rsid w:val="485D7A0B"/>
    <w:rsid w:val="4861688C"/>
    <w:rsid w:val="4879F129"/>
    <w:rsid w:val="48823983"/>
    <w:rsid w:val="4885C781"/>
    <w:rsid w:val="489DFBD5"/>
    <w:rsid w:val="48A2B389"/>
    <w:rsid w:val="48A4DFE3"/>
    <w:rsid w:val="48A6AEFA"/>
    <w:rsid w:val="48DEFBE0"/>
    <w:rsid w:val="48E4CB05"/>
    <w:rsid w:val="48E9D015"/>
    <w:rsid w:val="490391A3"/>
    <w:rsid w:val="4909D2B2"/>
    <w:rsid w:val="491AFDF7"/>
    <w:rsid w:val="492BBDEC"/>
    <w:rsid w:val="496AC85C"/>
    <w:rsid w:val="49750757"/>
    <w:rsid w:val="4981CB43"/>
    <w:rsid w:val="4981EFF6"/>
    <w:rsid w:val="4988F09D"/>
    <w:rsid w:val="49892D29"/>
    <w:rsid w:val="499387FE"/>
    <w:rsid w:val="49B588C9"/>
    <w:rsid w:val="49B5F823"/>
    <w:rsid w:val="49BCB93A"/>
    <w:rsid w:val="49BD1564"/>
    <w:rsid w:val="4A099793"/>
    <w:rsid w:val="4A1E5033"/>
    <w:rsid w:val="4A2A0AE0"/>
    <w:rsid w:val="4A351463"/>
    <w:rsid w:val="4A362328"/>
    <w:rsid w:val="4A5592D8"/>
    <w:rsid w:val="4A5B39F7"/>
    <w:rsid w:val="4A651734"/>
    <w:rsid w:val="4A7F19FA"/>
    <w:rsid w:val="4AAB0033"/>
    <w:rsid w:val="4ABB2BDC"/>
    <w:rsid w:val="4AD3C6BC"/>
    <w:rsid w:val="4AE4D948"/>
    <w:rsid w:val="4AEA17C8"/>
    <w:rsid w:val="4AF087A4"/>
    <w:rsid w:val="4B05DCB9"/>
    <w:rsid w:val="4B11C77C"/>
    <w:rsid w:val="4B194B45"/>
    <w:rsid w:val="4B2336E8"/>
    <w:rsid w:val="4B241552"/>
    <w:rsid w:val="4B38780F"/>
    <w:rsid w:val="4B440A75"/>
    <w:rsid w:val="4B4AD97C"/>
    <w:rsid w:val="4B6B9DFD"/>
    <w:rsid w:val="4B6D3D29"/>
    <w:rsid w:val="4B76D3C2"/>
    <w:rsid w:val="4B8D5082"/>
    <w:rsid w:val="4B94245E"/>
    <w:rsid w:val="4BC24B6D"/>
    <w:rsid w:val="4BC35C64"/>
    <w:rsid w:val="4BEA07F4"/>
    <w:rsid w:val="4BFED73A"/>
    <w:rsid w:val="4C2C059C"/>
    <w:rsid w:val="4C2CA864"/>
    <w:rsid w:val="4C660A4B"/>
    <w:rsid w:val="4C677265"/>
    <w:rsid w:val="4C866069"/>
    <w:rsid w:val="4C9298B4"/>
    <w:rsid w:val="4C99C4F2"/>
    <w:rsid w:val="4C9CE14B"/>
    <w:rsid w:val="4CCBF57F"/>
    <w:rsid w:val="4CE08E41"/>
    <w:rsid w:val="4CFEA6D0"/>
    <w:rsid w:val="4D1CE3BC"/>
    <w:rsid w:val="4D2F3C0D"/>
    <w:rsid w:val="4D3BE413"/>
    <w:rsid w:val="4D434947"/>
    <w:rsid w:val="4D54BE65"/>
    <w:rsid w:val="4D6D2D55"/>
    <w:rsid w:val="4D85BFE7"/>
    <w:rsid w:val="4D92A33B"/>
    <w:rsid w:val="4D989F16"/>
    <w:rsid w:val="4DC80FC6"/>
    <w:rsid w:val="4DD73ED4"/>
    <w:rsid w:val="4DD7E3D9"/>
    <w:rsid w:val="4DDE4FAA"/>
    <w:rsid w:val="4E07F927"/>
    <w:rsid w:val="4E14D421"/>
    <w:rsid w:val="4E17E24D"/>
    <w:rsid w:val="4E2AE59B"/>
    <w:rsid w:val="4E2DDCAC"/>
    <w:rsid w:val="4E5A7E2E"/>
    <w:rsid w:val="4E5D6A2A"/>
    <w:rsid w:val="4E604786"/>
    <w:rsid w:val="4E74F03C"/>
    <w:rsid w:val="4E8FA52D"/>
    <w:rsid w:val="4E9675A0"/>
    <w:rsid w:val="4E9C6AFD"/>
    <w:rsid w:val="4EA6488B"/>
    <w:rsid w:val="4EBD2838"/>
    <w:rsid w:val="4EEF7250"/>
    <w:rsid w:val="4F2669A3"/>
    <w:rsid w:val="4F2F2574"/>
    <w:rsid w:val="4F32AFB0"/>
    <w:rsid w:val="4F6EA7D6"/>
    <w:rsid w:val="4F740C6D"/>
    <w:rsid w:val="4F7D9614"/>
    <w:rsid w:val="4F825BBE"/>
    <w:rsid w:val="4F8F0596"/>
    <w:rsid w:val="4FB13BAC"/>
    <w:rsid w:val="4FBB189F"/>
    <w:rsid w:val="4FC52EF2"/>
    <w:rsid w:val="4FC58CA2"/>
    <w:rsid w:val="4FC7F283"/>
    <w:rsid w:val="4FCA531E"/>
    <w:rsid w:val="4FD7D504"/>
    <w:rsid w:val="4FF06B32"/>
    <w:rsid w:val="500B9166"/>
    <w:rsid w:val="50199E56"/>
    <w:rsid w:val="502A6D7C"/>
    <w:rsid w:val="50452772"/>
    <w:rsid w:val="504A4432"/>
    <w:rsid w:val="504C5029"/>
    <w:rsid w:val="50599BAA"/>
    <w:rsid w:val="50684C01"/>
    <w:rsid w:val="508FDE28"/>
    <w:rsid w:val="509B656B"/>
    <w:rsid w:val="50A9A9FB"/>
    <w:rsid w:val="50C25D4F"/>
    <w:rsid w:val="50C3BD27"/>
    <w:rsid w:val="50F0D39C"/>
    <w:rsid w:val="50F19AA4"/>
    <w:rsid w:val="50FC846D"/>
    <w:rsid w:val="5114C35B"/>
    <w:rsid w:val="513D74BC"/>
    <w:rsid w:val="5142C551"/>
    <w:rsid w:val="5146F0F5"/>
    <w:rsid w:val="5152EB92"/>
    <w:rsid w:val="515CA8A4"/>
    <w:rsid w:val="51645A16"/>
    <w:rsid w:val="51719081"/>
    <w:rsid w:val="51983C93"/>
    <w:rsid w:val="51B02A85"/>
    <w:rsid w:val="51BA670D"/>
    <w:rsid w:val="51D095B2"/>
    <w:rsid w:val="51E249C3"/>
    <w:rsid w:val="521D5235"/>
    <w:rsid w:val="522DF389"/>
    <w:rsid w:val="5234906F"/>
    <w:rsid w:val="526554BD"/>
    <w:rsid w:val="5284E3F8"/>
    <w:rsid w:val="52B4E84A"/>
    <w:rsid w:val="52C078B3"/>
    <w:rsid w:val="52C8CD82"/>
    <w:rsid w:val="52CC625C"/>
    <w:rsid w:val="52E66056"/>
    <w:rsid w:val="53019D16"/>
    <w:rsid w:val="5303451E"/>
    <w:rsid w:val="5315D1B4"/>
    <w:rsid w:val="5330FB0C"/>
    <w:rsid w:val="533450BD"/>
    <w:rsid w:val="5334FC31"/>
    <w:rsid w:val="533D8840"/>
    <w:rsid w:val="53475502"/>
    <w:rsid w:val="53675219"/>
    <w:rsid w:val="53713866"/>
    <w:rsid w:val="537917DD"/>
    <w:rsid w:val="537AFF35"/>
    <w:rsid w:val="538524AB"/>
    <w:rsid w:val="5385F454"/>
    <w:rsid w:val="5396C50A"/>
    <w:rsid w:val="539A9436"/>
    <w:rsid w:val="53AC211B"/>
    <w:rsid w:val="53AF3B36"/>
    <w:rsid w:val="53BB659B"/>
    <w:rsid w:val="53F49F5C"/>
    <w:rsid w:val="53F56D1F"/>
    <w:rsid w:val="53FA64E3"/>
    <w:rsid w:val="53FD4948"/>
    <w:rsid w:val="54224066"/>
    <w:rsid w:val="54421A02"/>
    <w:rsid w:val="54442420"/>
    <w:rsid w:val="545E3F0A"/>
    <w:rsid w:val="547FB484"/>
    <w:rsid w:val="548003F7"/>
    <w:rsid w:val="5491476F"/>
    <w:rsid w:val="54944036"/>
    <w:rsid w:val="549F202E"/>
    <w:rsid w:val="54B5F135"/>
    <w:rsid w:val="54C51ACF"/>
    <w:rsid w:val="54C8D953"/>
    <w:rsid w:val="54C9943A"/>
    <w:rsid w:val="54EFBC22"/>
    <w:rsid w:val="54F8213F"/>
    <w:rsid w:val="55291CBC"/>
    <w:rsid w:val="553650C8"/>
    <w:rsid w:val="553B1AAC"/>
    <w:rsid w:val="553D4ECE"/>
    <w:rsid w:val="553F9D1D"/>
    <w:rsid w:val="554A0009"/>
    <w:rsid w:val="554A0244"/>
    <w:rsid w:val="5556BDA0"/>
    <w:rsid w:val="555A32C7"/>
    <w:rsid w:val="55680C1B"/>
    <w:rsid w:val="557380B1"/>
    <w:rsid w:val="5581AFBF"/>
    <w:rsid w:val="5593418D"/>
    <w:rsid w:val="55934801"/>
    <w:rsid w:val="55B4E450"/>
    <w:rsid w:val="55BD53E4"/>
    <w:rsid w:val="55CDC16C"/>
    <w:rsid w:val="55E25BB6"/>
    <w:rsid w:val="565B06C8"/>
    <w:rsid w:val="565F5B4C"/>
    <w:rsid w:val="567BACB2"/>
    <w:rsid w:val="567D5B9B"/>
    <w:rsid w:val="56838CF2"/>
    <w:rsid w:val="5685D51B"/>
    <w:rsid w:val="568BA1A8"/>
    <w:rsid w:val="568DBE6C"/>
    <w:rsid w:val="56972710"/>
    <w:rsid w:val="56BEE2C7"/>
    <w:rsid w:val="56C115D6"/>
    <w:rsid w:val="56CAED3D"/>
    <w:rsid w:val="56D2AFCA"/>
    <w:rsid w:val="56DE3265"/>
    <w:rsid w:val="56E1D664"/>
    <w:rsid w:val="56F5DFE0"/>
    <w:rsid w:val="56FA1D7E"/>
    <w:rsid w:val="5705393F"/>
    <w:rsid w:val="5705966B"/>
    <w:rsid w:val="570B9AEF"/>
    <w:rsid w:val="571469D8"/>
    <w:rsid w:val="57290264"/>
    <w:rsid w:val="574393A6"/>
    <w:rsid w:val="578CC13E"/>
    <w:rsid w:val="57B72218"/>
    <w:rsid w:val="57DF97C6"/>
    <w:rsid w:val="57E4B3D6"/>
    <w:rsid w:val="57E7CF19"/>
    <w:rsid w:val="582AA803"/>
    <w:rsid w:val="586FC5E6"/>
    <w:rsid w:val="58758C01"/>
    <w:rsid w:val="58A0A85C"/>
    <w:rsid w:val="58A457DF"/>
    <w:rsid w:val="58B61A33"/>
    <w:rsid w:val="58B67440"/>
    <w:rsid w:val="58BE89CB"/>
    <w:rsid w:val="58C67907"/>
    <w:rsid w:val="58D81905"/>
    <w:rsid w:val="58E58B21"/>
    <w:rsid w:val="58FBC2DD"/>
    <w:rsid w:val="58FDEB66"/>
    <w:rsid w:val="590D4D8B"/>
    <w:rsid w:val="59198C5E"/>
    <w:rsid w:val="5932B18A"/>
    <w:rsid w:val="594A39D6"/>
    <w:rsid w:val="598707F7"/>
    <w:rsid w:val="5991DE39"/>
    <w:rsid w:val="5991F733"/>
    <w:rsid w:val="5993EE42"/>
    <w:rsid w:val="59BF1371"/>
    <w:rsid w:val="59C7C53F"/>
    <w:rsid w:val="59CBCF98"/>
    <w:rsid w:val="59D4E43E"/>
    <w:rsid w:val="59EBC3A9"/>
    <w:rsid w:val="59F1C173"/>
    <w:rsid w:val="5A01FDD8"/>
    <w:rsid w:val="5A0DE7C6"/>
    <w:rsid w:val="5A13CDFD"/>
    <w:rsid w:val="5A143423"/>
    <w:rsid w:val="5A296A44"/>
    <w:rsid w:val="5A48FE84"/>
    <w:rsid w:val="5A494C02"/>
    <w:rsid w:val="5A522E92"/>
    <w:rsid w:val="5A554794"/>
    <w:rsid w:val="5A971499"/>
    <w:rsid w:val="5A99812D"/>
    <w:rsid w:val="5A9F4FD9"/>
    <w:rsid w:val="5AADCA3A"/>
    <w:rsid w:val="5AC200AD"/>
    <w:rsid w:val="5AC84F5D"/>
    <w:rsid w:val="5B19F403"/>
    <w:rsid w:val="5B26EACA"/>
    <w:rsid w:val="5B30208C"/>
    <w:rsid w:val="5B440164"/>
    <w:rsid w:val="5B6A8AFC"/>
    <w:rsid w:val="5B6BB353"/>
    <w:rsid w:val="5B6C26B8"/>
    <w:rsid w:val="5B834DB4"/>
    <w:rsid w:val="5B85A63E"/>
    <w:rsid w:val="5B8C0C52"/>
    <w:rsid w:val="5B8FF93E"/>
    <w:rsid w:val="5B98474A"/>
    <w:rsid w:val="5B9A8FD6"/>
    <w:rsid w:val="5BB162E4"/>
    <w:rsid w:val="5BC778DB"/>
    <w:rsid w:val="5BD97D02"/>
    <w:rsid w:val="5BDF75D6"/>
    <w:rsid w:val="5BE08C3F"/>
    <w:rsid w:val="5BE5F60F"/>
    <w:rsid w:val="5BF507E5"/>
    <w:rsid w:val="5BF7C23C"/>
    <w:rsid w:val="5BFD30C6"/>
    <w:rsid w:val="5BFEAED3"/>
    <w:rsid w:val="5C05D807"/>
    <w:rsid w:val="5C24E4ED"/>
    <w:rsid w:val="5C3F2526"/>
    <w:rsid w:val="5C4CF2BC"/>
    <w:rsid w:val="5C598999"/>
    <w:rsid w:val="5C8008A1"/>
    <w:rsid w:val="5C94958E"/>
    <w:rsid w:val="5C976E9A"/>
    <w:rsid w:val="5CB75905"/>
    <w:rsid w:val="5CDA29F7"/>
    <w:rsid w:val="5CE02329"/>
    <w:rsid w:val="5CEE5100"/>
    <w:rsid w:val="5CF2B619"/>
    <w:rsid w:val="5D0DD57F"/>
    <w:rsid w:val="5D204963"/>
    <w:rsid w:val="5D2FC195"/>
    <w:rsid w:val="5D2FF93A"/>
    <w:rsid w:val="5D38B02B"/>
    <w:rsid w:val="5D4A3214"/>
    <w:rsid w:val="5D4B9392"/>
    <w:rsid w:val="5D6AC752"/>
    <w:rsid w:val="5D6D8C39"/>
    <w:rsid w:val="5D6E8CAE"/>
    <w:rsid w:val="5D817306"/>
    <w:rsid w:val="5D81BB61"/>
    <w:rsid w:val="5D936C54"/>
    <w:rsid w:val="5D9F4598"/>
    <w:rsid w:val="5DB30F8A"/>
    <w:rsid w:val="5DBD0B6C"/>
    <w:rsid w:val="5DE263ED"/>
    <w:rsid w:val="5DF84C8B"/>
    <w:rsid w:val="5E1E76A5"/>
    <w:rsid w:val="5E2830A3"/>
    <w:rsid w:val="5E30F4DC"/>
    <w:rsid w:val="5E35316E"/>
    <w:rsid w:val="5E389152"/>
    <w:rsid w:val="5E6A1518"/>
    <w:rsid w:val="5E6A20CE"/>
    <w:rsid w:val="5E737225"/>
    <w:rsid w:val="5EA403D7"/>
    <w:rsid w:val="5EBAEE02"/>
    <w:rsid w:val="5EC25DFF"/>
    <w:rsid w:val="5ED88326"/>
    <w:rsid w:val="5EDBCF68"/>
    <w:rsid w:val="5EFE6993"/>
    <w:rsid w:val="5F0897B5"/>
    <w:rsid w:val="5F095C7F"/>
    <w:rsid w:val="5F0FE1AE"/>
    <w:rsid w:val="5F171D4A"/>
    <w:rsid w:val="5F1BAF9B"/>
    <w:rsid w:val="5F35B13C"/>
    <w:rsid w:val="5F41C3DD"/>
    <w:rsid w:val="5F489EBF"/>
    <w:rsid w:val="5F5864E1"/>
    <w:rsid w:val="5F5B8A9A"/>
    <w:rsid w:val="5F937E01"/>
    <w:rsid w:val="5F9E7666"/>
    <w:rsid w:val="5FCD23AF"/>
    <w:rsid w:val="5FD20400"/>
    <w:rsid w:val="5FDEAA08"/>
    <w:rsid w:val="5FFA3DD9"/>
    <w:rsid w:val="600339A6"/>
    <w:rsid w:val="60042A3C"/>
    <w:rsid w:val="60059D05"/>
    <w:rsid w:val="600626C6"/>
    <w:rsid w:val="601594FB"/>
    <w:rsid w:val="60279BB9"/>
    <w:rsid w:val="60312E40"/>
    <w:rsid w:val="603534E2"/>
    <w:rsid w:val="603C202D"/>
    <w:rsid w:val="603D0696"/>
    <w:rsid w:val="6042B53A"/>
    <w:rsid w:val="60501E5E"/>
    <w:rsid w:val="606A112E"/>
    <w:rsid w:val="607AC09A"/>
    <w:rsid w:val="60896E31"/>
    <w:rsid w:val="60C8B7D2"/>
    <w:rsid w:val="60CC798F"/>
    <w:rsid w:val="60CDF0FF"/>
    <w:rsid w:val="60D5431E"/>
    <w:rsid w:val="60DFC33C"/>
    <w:rsid w:val="60FA61DC"/>
    <w:rsid w:val="6109DD09"/>
    <w:rsid w:val="6135DF0A"/>
    <w:rsid w:val="6136145A"/>
    <w:rsid w:val="613BDDC1"/>
    <w:rsid w:val="61444E36"/>
    <w:rsid w:val="61836A9A"/>
    <w:rsid w:val="618E2518"/>
    <w:rsid w:val="61900EE4"/>
    <w:rsid w:val="61956E85"/>
    <w:rsid w:val="61A28D7A"/>
    <w:rsid w:val="61A2B859"/>
    <w:rsid w:val="61B89370"/>
    <w:rsid w:val="61BF434C"/>
    <w:rsid w:val="61F6E43A"/>
    <w:rsid w:val="62099190"/>
    <w:rsid w:val="62191C5E"/>
    <w:rsid w:val="621E7B31"/>
    <w:rsid w:val="62262C20"/>
    <w:rsid w:val="622C6212"/>
    <w:rsid w:val="6235F6D2"/>
    <w:rsid w:val="623B6512"/>
    <w:rsid w:val="624A7F7A"/>
    <w:rsid w:val="624B3807"/>
    <w:rsid w:val="625A03C2"/>
    <w:rsid w:val="626D964C"/>
    <w:rsid w:val="62712BB2"/>
    <w:rsid w:val="6277681A"/>
    <w:rsid w:val="628D76E3"/>
    <w:rsid w:val="629F2250"/>
    <w:rsid w:val="62D30558"/>
    <w:rsid w:val="630B7B10"/>
    <w:rsid w:val="631A3977"/>
    <w:rsid w:val="631DC453"/>
    <w:rsid w:val="631FE3DB"/>
    <w:rsid w:val="632C713A"/>
    <w:rsid w:val="6332F982"/>
    <w:rsid w:val="633DB9C2"/>
    <w:rsid w:val="6377AA86"/>
    <w:rsid w:val="63918609"/>
    <w:rsid w:val="6391BF9B"/>
    <w:rsid w:val="6395A746"/>
    <w:rsid w:val="63D9868D"/>
    <w:rsid w:val="63E0DF31"/>
    <w:rsid w:val="63E5ADAC"/>
    <w:rsid w:val="63F8F54B"/>
    <w:rsid w:val="640AF7DC"/>
    <w:rsid w:val="64106CD2"/>
    <w:rsid w:val="641C9C66"/>
    <w:rsid w:val="645D0DC2"/>
    <w:rsid w:val="6486B26B"/>
    <w:rsid w:val="648E7583"/>
    <w:rsid w:val="64908718"/>
    <w:rsid w:val="64CEFFEC"/>
    <w:rsid w:val="64DCAAED"/>
    <w:rsid w:val="64F2522E"/>
    <w:rsid w:val="64F2BED4"/>
    <w:rsid w:val="652884E2"/>
    <w:rsid w:val="65477A4D"/>
    <w:rsid w:val="6559A63B"/>
    <w:rsid w:val="6563C17F"/>
    <w:rsid w:val="6564BE7F"/>
    <w:rsid w:val="657CF698"/>
    <w:rsid w:val="6586C3FE"/>
    <w:rsid w:val="659F0ABD"/>
    <w:rsid w:val="65AD27C6"/>
    <w:rsid w:val="65B17B1F"/>
    <w:rsid w:val="65DF924B"/>
    <w:rsid w:val="65DFBC62"/>
    <w:rsid w:val="65E58011"/>
    <w:rsid w:val="65F91D9B"/>
    <w:rsid w:val="65FF1749"/>
    <w:rsid w:val="661CD8F4"/>
    <w:rsid w:val="6625A249"/>
    <w:rsid w:val="668B71F3"/>
    <w:rsid w:val="669A1C22"/>
    <w:rsid w:val="669FF602"/>
    <w:rsid w:val="66B4AAB5"/>
    <w:rsid w:val="66C8D52D"/>
    <w:rsid w:val="66EE799D"/>
    <w:rsid w:val="6707F126"/>
    <w:rsid w:val="670F7916"/>
    <w:rsid w:val="6715F171"/>
    <w:rsid w:val="671AA4FE"/>
    <w:rsid w:val="67208785"/>
    <w:rsid w:val="6736D472"/>
    <w:rsid w:val="673A85DA"/>
    <w:rsid w:val="673B8662"/>
    <w:rsid w:val="6758299E"/>
    <w:rsid w:val="676325B8"/>
    <w:rsid w:val="677265B9"/>
    <w:rsid w:val="679CD062"/>
    <w:rsid w:val="67E4E6FD"/>
    <w:rsid w:val="67E5DD9F"/>
    <w:rsid w:val="67F4ED32"/>
    <w:rsid w:val="6812ED8F"/>
    <w:rsid w:val="6830E4B1"/>
    <w:rsid w:val="683A0FD2"/>
    <w:rsid w:val="683B954D"/>
    <w:rsid w:val="684C1880"/>
    <w:rsid w:val="6857EF0A"/>
    <w:rsid w:val="686420C5"/>
    <w:rsid w:val="6880EA3E"/>
    <w:rsid w:val="68840763"/>
    <w:rsid w:val="689AF095"/>
    <w:rsid w:val="68A5F078"/>
    <w:rsid w:val="68AA7BC6"/>
    <w:rsid w:val="68ADB760"/>
    <w:rsid w:val="68AE52E6"/>
    <w:rsid w:val="68AFD983"/>
    <w:rsid w:val="68C55A74"/>
    <w:rsid w:val="68C81435"/>
    <w:rsid w:val="68CDCFBF"/>
    <w:rsid w:val="68D16C93"/>
    <w:rsid w:val="68EA7413"/>
    <w:rsid w:val="691FD4E5"/>
    <w:rsid w:val="6931352B"/>
    <w:rsid w:val="694A7B31"/>
    <w:rsid w:val="6963569D"/>
    <w:rsid w:val="69722008"/>
    <w:rsid w:val="69867D79"/>
    <w:rsid w:val="69988BD7"/>
    <w:rsid w:val="69A2330C"/>
    <w:rsid w:val="69B304BD"/>
    <w:rsid w:val="69BFBD7C"/>
    <w:rsid w:val="69C5D599"/>
    <w:rsid w:val="69C6142E"/>
    <w:rsid w:val="69DFC2DD"/>
    <w:rsid w:val="69FCB1DA"/>
    <w:rsid w:val="6A07A86B"/>
    <w:rsid w:val="6A07F9D2"/>
    <w:rsid w:val="6A15742D"/>
    <w:rsid w:val="6A163B23"/>
    <w:rsid w:val="6A16DD1E"/>
    <w:rsid w:val="6A1C5C37"/>
    <w:rsid w:val="6A2AB7DB"/>
    <w:rsid w:val="6A3486F0"/>
    <w:rsid w:val="6A593947"/>
    <w:rsid w:val="6A5ED0BA"/>
    <w:rsid w:val="6A6A8CC8"/>
    <w:rsid w:val="6A6D781F"/>
    <w:rsid w:val="6A7BCA90"/>
    <w:rsid w:val="6A9BD22A"/>
    <w:rsid w:val="6A9D62A6"/>
    <w:rsid w:val="6AA6640A"/>
    <w:rsid w:val="6AAA5FE8"/>
    <w:rsid w:val="6AB7538E"/>
    <w:rsid w:val="6AC15E62"/>
    <w:rsid w:val="6ADA3847"/>
    <w:rsid w:val="6AFA37FD"/>
    <w:rsid w:val="6B563505"/>
    <w:rsid w:val="6B5C7856"/>
    <w:rsid w:val="6B614B55"/>
    <w:rsid w:val="6B701499"/>
    <w:rsid w:val="6B7B3929"/>
    <w:rsid w:val="6B880961"/>
    <w:rsid w:val="6BA374B3"/>
    <w:rsid w:val="6BC073C4"/>
    <w:rsid w:val="6BCFA383"/>
    <w:rsid w:val="6BDC6AB3"/>
    <w:rsid w:val="6BEFD514"/>
    <w:rsid w:val="6BF8FACF"/>
    <w:rsid w:val="6BFFBF01"/>
    <w:rsid w:val="6C275309"/>
    <w:rsid w:val="6C371AD3"/>
    <w:rsid w:val="6C3AB989"/>
    <w:rsid w:val="6C3D189F"/>
    <w:rsid w:val="6C464559"/>
    <w:rsid w:val="6C6363A2"/>
    <w:rsid w:val="6C6EF072"/>
    <w:rsid w:val="6C75FD00"/>
    <w:rsid w:val="6C78D697"/>
    <w:rsid w:val="6C8A5771"/>
    <w:rsid w:val="6C8EEA00"/>
    <w:rsid w:val="6CA3E6ED"/>
    <w:rsid w:val="6CACFD6E"/>
    <w:rsid w:val="6CB3F4B7"/>
    <w:rsid w:val="6CC2B276"/>
    <w:rsid w:val="6CD46EE1"/>
    <w:rsid w:val="6CE51CB1"/>
    <w:rsid w:val="6D07873A"/>
    <w:rsid w:val="6D0FCD6C"/>
    <w:rsid w:val="6D103146"/>
    <w:rsid w:val="6D1072FE"/>
    <w:rsid w:val="6D176F77"/>
    <w:rsid w:val="6D1A28C0"/>
    <w:rsid w:val="6D283F79"/>
    <w:rsid w:val="6D418135"/>
    <w:rsid w:val="6D4E3179"/>
    <w:rsid w:val="6D528495"/>
    <w:rsid w:val="6D5B3DA0"/>
    <w:rsid w:val="6D621E7F"/>
    <w:rsid w:val="6D662DB6"/>
    <w:rsid w:val="6D87BCE5"/>
    <w:rsid w:val="6D8C2419"/>
    <w:rsid w:val="6D9A8DF3"/>
    <w:rsid w:val="6D9B7F10"/>
    <w:rsid w:val="6D9E760B"/>
    <w:rsid w:val="6DADD365"/>
    <w:rsid w:val="6DAE4CA0"/>
    <w:rsid w:val="6DCF26D3"/>
    <w:rsid w:val="6DD74A26"/>
    <w:rsid w:val="6DE76F2C"/>
    <w:rsid w:val="6E0B9FA9"/>
    <w:rsid w:val="6E187D67"/>
    <w:rsid w:val="6E257337"/>
    <w:rsid w:val="6E2992BD"/>
    <w:rsid w:val="6E30D91B"/>
    <w:rsid w:val="6E37520D"/>
    <w:rsid w:val="6E3D6FBA"/>
    <w:rsid w:val="6E426284"/>
    <w:rsid w:val="6E5A78DD"/>
    <w:rsid w:val="6E68AB7E"/>
    <w:rsid w:val="6E6F4D60"/>
    <w:rsid w:val="6E77CCF9"/>
    <w:rsid w:val="6E8C0948"/>
    <w:rsid w:val="6E92C46D"/>
    <w:rsid w:val="6EC93EBF"/>
    <w:rsid w:val="6EEB7A45"/>
    <w:rsid w:val="6EFB43E7"/>
    <w:rsid w:val="6F02E424"/>
    <w:rsid w:val="6F17079F"/>
    <w:rsid w:val="6F1F72BD"/>
    <w:rsid w:val="6F25CE85"/>
    <w:rsid w:val="6F37830A"/>
    <w:rsid w:val="6F38D46E"/>
    <w:rsid w:val="6F46A808"/>
    <w:rsid w:val="6F569CE0"/>
    <w:rsid w:val="6F666D84"/>
    <w:rsid w:val="6F691D02"/>
    <w:rsid w:val="6F7A2E74"/>
    <w:rsid w:val="6F94C1EB"/>
    <w:rsid w:val="6F9A27F0"/>
    <w:rsid w:val="6FB3C0B8"/>
    <w:rsid w:val="6FB4484F"/>
    <w:rsid w:val="6FD7D8D0"/>
    <w:rsid w:val="6FE88428"/>
    <w:rsid w:val="6FF4F293"/>
    <w:rsid w:val="6FF685D3"/>
    <w:rsid w:val="701B4E09"/>
    <w:rsid w:val="7021CC80"/>
    <w:rsid w:val="7024797B"/>
    <w:rsid w:val="702D5F38"/>
    <w:rsid w:val="70399600"/>
    <w:rsid w:val="704BDAD3"/>
    <w:rsid w:val="7054F926"/>
    <w:rsid w:val="7058E738"/>
    <w:rsid w:val="70611432"/>
    <w:rsid w:val="706FE880"/>
    <w:rsid w:val="70820935"/>
    <w:rsid w:val="7090D34F"/>
    <w:rsid w:val="70AA6D57"/>
    <w:rsid w:val="70CE2A8C"/>
    <w:rsid w:val="70E7DACA"/>
    <w:rsid w:val="710832D8"/>
    <w:rsid w:val="710E99B4"/>
    <w:rsid w:val="712BC7DF"/>
    <w:rsid w:val="71416FF4"/>
    <w:rsid w:val="71533709"/>
    <w:rsid w:val="715908CD"/>
    <w:rsid w:val="7174EB52"/>
    <w:rsid w:val="7177D7A5"/>
    <w:rsid w:val="719919E6"/>
    <w:rsid w:val="71A557C1"/>
    <w:rsid w:val="71E19D11"/>
    <w:rsid w:val="7230CDC7"/>
    <w:rsid w:val="723875FF"/>
    <w:rsid w:val="72420F59"/>
    <w:rsid w:val="727783AD"/>
    <w:rsid w:val="72AFDC66"/>
    <w:rsid w:val="72D41BD6"/>
    <w:rsid w:val="72E24DBD"/>
    <w:rsid w:val="72E3E5C3"/>
    <w:rsid w:val="7314A861"/>
    <w:rsid w:val="7317B8EB"/>
    <w:rsid w:val="731BCFE4"/>
    <w:rsid w:val="73258170"/>
    <w:rsid w:val="73272BF1"/>
    <w:rsid w:val="733F2EE0"/>
    <w:rsid w:val="734CBFAC"/>
    <w:rsid w:val="73782617"/>
    <w:rsid w:val="737B1AD6"/>
    <w:rsid w:val="73A1B29E"/>
    <w:rsid w:val="73B24FAA"/>
    <w:rsid w:val="73B9BF85"/>
    <w:rsid w:val="73C92E31"/>
    <w:rsid w:val="742D6EC2"/>
    <w:rsid w:val="744406DD"/>
    <w:rsid w:val="748483E0"/>
    <w:rsid w:val="748EC203"/>
    <w:rsid w:val="7491E6C2"/>
    <w:rsid w:val="7492A770"/>
    <w:rsid w:val="74C8CB57"/>
    <w:rsid w:val="74DE9FBB"/>
    <w:rsid w:val="74EB619F"/>
    <w:rsid w:val="74F02062"/>
    <w:rsid w:val="74FC9949"/>
    <w:rsid w:val="750D09DE"/>
    <w:rsid w:val="750EAA5C"/>
    <w:rsid w:val="7518C1EF"/>
    <w:rsid w:val="7525232F"/>
    <w:rsid w:val="752BE587"/>
    <w:rsid w:val="753E0495"/>
    <w:rsid w:val="7541682F"/>
    <w:rsid w:val="7549CE55"/>
    <w:rsid w:val="754B091E"/>
    <w:rsid w:val="755D0A7C"/>
    <w:rsid w:val="75B6EA5C"/>
    <w:rsid w:val="75BA8E56"/>
    <w:rsid w:val="75BAF2C8"/>
    <w:rsid w:val="75BD038B"/>
    <w:rsid w:val="75BDFDA7"/>
    <w:rsid w:val="75D225DF"/>
    <w:rsid w:val="75F492F5"/>
    <w:rsid w:val="75F7CD8C"/>
    <w:rsid w:val="7606DE9E"/>
    <w:rsid w:val="76085117"/>
    <w:rsid w:val="760ED254"/>
    <w:rsid w:val="7632C9E2"/>
    <w:rsid w:val="76402F21"/>
    <w:rsid w:val="766474D8"/>
    <w:rsid w:val="7676BC95"/>
    <w:rsid w:val="76886F7A"/>
    <w:rsid w:val="768D3BCA"/>
    <w:rsid w:val="76AC4E18"/>
    <w:rsid w:val="76D572E2"/>
    <w:rsid w:val="76E119BD"/>
    <w:rsid w:val="76E52D22"/>
    <w:rsid w:val="76E5AA56"/>
    <w:rsid w:val="76F08080"/>
    <w:rsid w:val="770882E9"/>
    <w:rsid w:val="771AAC28"/>
    <w:rsid w:val="7728B6E6"/>
    <w:rsid w:val="772ADC9D"/>
    <w:rsid w:val="772EB621"/>
    <w:rsid w:val="773EE2AD"/>
    <w:rsid w:val="775484AC"/>
    <w:rsid w:val="775B9FB2"/>
    <w:rsid w:val="77814C1A"/>
    <w:rsid w:val="77A33549"/>
    <w:rsid w:val="77BD36C2"/>
    <w:rsid w:val="77C94DF6"/>
    <w:rsid w:val="77CB1F94"/>
    <w:rsid w:val="77D248BD"/>
    <w:rsid w:val="77DF6AF9"/>
    <w:rsid w:val="77DFF971"/>
    <w:rsid w:val="77E40654"/>
    <w:rsid w:val="780A5FE9"/>
    <w:rsid w:val="78109ECF"/>
    <w:rsid w:val="782A7886"/>
    <w:rsid w:val="784C59BB"/>
    <w:rsid w:val="78752A7A"/>
    <w:rsid w:val="7877E862"/>
    <w:rsid w:val="78888A32"/>
    <w:rsid w:val="78A725F2"/>
    <w:rsid w:val="78B025F5"/>
    <w:rsid w:val="78B079B6"/>
    <w:rsid w:val="78C00BC1"/>
    <w:rsid w:val="790C3245"/>
    <w:rsid w:val="790E02CF"/>
    <w:rsid w:val="791DB1F8"/>
    <w:rsid w:val="792FB6C3"/>
    <w:rsid w:val="79333869"/>
    <w:rsid w:val="7948D9DA"/>
    <w:rsid w:val="797F6DE4"/>
    <w:rsid w:val="7995CAAC"/>
    <w:rsid w:val="79AB5389"/>
    <w:rsid w:val="79BB32BE"/>
    <w:rsid w:val="79BB4129"/>
    <w:rsid w:val="79C3B065"/>
    <w:rsid w:val="79E03A88"/>
    <w:rsid w:val="79E0B9F7"/>
    <w:rsid w:val="7A09A4FC"/>
    <w:rsid w:val="7A3170D6"/>
    <w:rsid w:val="7A34FFC6"/>
    <w:rsid w:val="7A3E5E6B"/>
    <w:rsid w:val="7A55F78C"/>
    <w:rsid w:val="7AB692C0"/>
    <w:rsid w:val="7AB75F16"/>
    <w:rsid w:val="7AB8468A"/>
    <w:rsid w:val="7ACE99FD"/>
    <w:rsid w:val="7AD06EB1"/>
    <w:rsid w:val="7ADED25A"/>
    <w:rsid w:val="7B10CC32"/>
    <w:rsid w:val="7B14A935"/>
    <w:rsid w:val="7B1DC55E"/>
    <w:rsid w:val="7B257CAF"/>
    <w:rsid w:val="7B2B9E54"/>
    <w:rsid w:val="7B3AD805"/>
    <w:rsid w:val="7B43882A"/>
    <w:rsid w:val="7B46A2BE"/>
    <w:rsid w:val="7B5F33E8"/>
    <w:rsid w:val="7B6B4A5B"/>
    <w:rsid w:val="7B6C2E8F"/>
    <w:rsid w:val="7B7D84DA"/>
    <w:rsid w:val="7B8139D6"/>
    <w:rsid w:val="7B86D205"/>
    <w:rsid w:val="7B8A186D"/>
    <w:rsid w:val="7B95BB95"/>
    <w:rsid w:val="7BA2A9CF"/>
    <w:rsid w:val="7BBBC6EF"/>
    <w:rsid w:val="7BCC352C"/>
    <w:rsid w:val="7BE384C3"/>
    <w:rsid w:val="7BFBF614"/>
    <w:rsid w:val="7C00C9C0"/>
    <w:rsid w:val="7C147D04"/>
    <w:rsid w:val="7C606425"/>
    <w:rsid w:val="7C7169FA"/>
    <w:rsid w:val="7C8CFDB5"/>
    <w:rsid w:val="7C8D45C1"/>
    <w:rsid w:val="7CA2535A"/>
    <w:rsid w:val="7CAD3218"/>
    <w:rsid w:val="7CAE27E0"/>
    <w:rsid w:val="7CB26EC4"/>
    <w:rsid w:val="7CC34E13"/>
    <w:rsid w:val="7CD7286A"/>
    <w:rsid w:val="7CE80B25"/>
    <w:rsid w:val="7D069F06"/>
    <w:rsid w:val="7D1B23A2"/>
    <w:rsid w:val="7D3BB252"/>
    <w:rsid w:val="7D582570"/>
    <w:rsid w:val="7D6DE777"/>
    <w:rsid w:val="7D7399C9"/>
    <w:rsid w:val="7D7D6224"/>
    <w:rsid w:val="7D8448D9"/>
    <w:rsid w:val="7D898E59"/>
    <w:rsid w:val="7D8EF4D5"/>
    <w:rsid w:val="7DA1206D"/>
    <w:rsid w:val="7DA3DD70"/>
    <w:rsid w:val="7DA61A96"/>
    <w:rsid w:val="7DB16B1A"/>
    <w:rsid w:val="7DC1BACA"/>
    <w:rsid w:val="7DC2E164"/>
    <w:rsid w:val="7DED9A89"/>
    <w:rsid w:val="7DF4CB74"/>
    <w:rsid w:val="7DF9EF69"/>
    <w:rsid w:val="7E0434AA"/>
    <w:rsid w:val="7E0846D0"/>
    <w:rsid w:val="7E09FB93"/>
    <w:rsid w:val="7E3B73B2"/>
    <w:rsid w:val="7E449282"/>
    <w:rsid w:val="7E4B5606"/>
    <w:rsid w:val="7E4E0CC5"/>
    <w:rsid w:val="7E855835"/>
    <w:rsid w:val="7EA432D3"/>
    <w:rsid w:val="7EB10875"/>
    <w:rsid w:val="7EBB3CF8"/>
    <w:rsid w:val="7ED3B488"/>
    <w:rsid w:val="7EDBC904"/>
    <w:rsid w:val="7F02FEF0"/>
    <w:rsid w:val="7F08DC11"/>
    <w:rsid w:val="7F143F89"/>
    <w:rsid w:val="7F189430"/>
    <w:rsid w:val="7F18B3AE"/>
    <w:rsid w:val="7F35B50D"/>
    <w:rsid w:val="7F486C33"/>
    <w:rsid w:val="7F550757"/>
    <w:rsid w:val="7F5A164F"/>
    <w:rsid w:val="7F66AC7A"/>
    <w:rsid w:val="7F72831B"/>
    <w:rsid w:val="7F73D6DB"/>
    <w:rsid w:val="7F780A97"/>
    <w:rsid w:val="7F8E7C2C"/>
    <w:rsid w:val="7FA8F16C"/>
    <w:rsid w:val="7FAA90F3"/>
    <w:rsid w:val="7FAD572C"/>
    <w:rsid w:val="7FC5E24F"/>
    <w:rsid w:val="7FC83F38"/>
    <w:rsid w:val="7FCB710D"/>
    <w:rsid w:val="7FE53628"/>
    <w:rsid w:val="7FE61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0C9"/>
  <w15:docId w15:val="{652C2FAC-3AE4-414B-A297-961867542A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35872"/>
    <w:rPr>
      <w:rFonts w:ascii="Bookman Old Style" w:eastAsia="Bookman Old Style" w:hAnsi="Bookman Old Style" w:cs="Bookman Old Style"/>
    </w:rPr>
  </w:style>
  <w:style w:type="paragraph" w:styleId="Heading1">
    <w:name w:val="heading 1"/>
    <w:link w:val="Heading1Char"/>
    <w:uiPriority w:val="9"/>
    <w:qFormat/>
    <w:rsid w:val="007B6202"/>
    <w:pPr>
      <w:spacing w:before="120" w:after="120"/>
      <w:outlineLvl w:val="0"/>
    </w:pPr>
    <w:rPr>
      <w:rFonts w:ascii="Bookman Old Style" w:eastAsia="Bookman Old Style" w:hAnsi="Bookman Old Style" w:cs="Bookman Old Style"/>
      <w:b/>
      <w:color w:val="2F5496" w:themeColor="accent1" w:themeShade="BF"/>
      <w:sz w:val="34"/>
      <w:szCs w:val="32"/>
    </w:rPr>
  </w:style>
  <w:style w:type="paragraph" w:styleId="Heading2">
    <w:name w:val="heading 2"/>
    <w:next w:val="Normal"/>
    <w:link w:val="Heading2Char"/>
    <w:uiPriority w:val="9"/>
    <w:unhideWhenUsed/>
    <w:qFormat/>
    <w:rsid w:val="00774C54"/>
    <w:pPr>
      <w:spacing w:before="120" w:after="120"/>
      <w:outlineLvl w:val="1"/>
    </w:pPr>
    <w:rPr>
      <w:rFonts w:ascii="Bookman Old Style" w:eastAsia="Bookman Old Style" w:hAnsi="Bookman Old Style" w:cs="Bookman Old Style"/>
      <w:b/>
      <w:color w:val="2F5496" w:themeColor="accent1" w:themeShade="BF"/>
      <w:sz w:val="28"/>
      <w:szCs w:val="26"/>
    </w:rPr>
  </w:style>
  <w:style w:type="paragraph" w:styleId="Heading3">
    <w:name w:val="heading 3"/>
    <w:link w:val="Heading3Char"/>
    <w:uiPriority w:val="9"/>
    <w:unhideWhenUsed/>
    <w:qFormat/>
    <w:rsid w:val="008E4640"/>
    <w:pPr>
      <w:spacing w:before="240" w:after="240"/>
      <w:outlineLvl w:val="2"/>
    </w:pPr>
    <w:rPr>
      <w:rFonts w:ascii="Bookman Old Style" w:eastAsia="Bookman Old Style" w:hAnsi="Bookman Old Style" w:cs="Bookman Old Style"/>
      <w:b/>
      <w:color w:val="2F5496" w:themeColor="accent1" w:themeShade="BF"/>
      <w:sz w:val="26"/>
      <w:szCs w:val="24"/>
    </w:rPr>
  </w:style>
  <w:style w:type="paragraph" w:styleId="Heading4">
    <w:name w:val="heading 4"/>
    <w:uiPriority w:val="9"/>
    <w:unhideWhenUsed/>
    <w:qFormat/>
    <w:rsid w:val="00EC0C59"/>
    <w:pPr>
      <w:spacing w:before="240" w:after="240"/>
      <w:outlineLvl w:val="3"/>
    </w:pPr>
    <w:rPr>
      <w:rFonts w:ascii="Bookman Old Style" w:eastAsia="Bookman Old Style" w:hAnsi="Bookman Old Style" w:cs="Bookman Old Style"/>
      <w:b/>
      <w:iCs/>
      <w:color w:val="000000" w:themeColor="text1"/>
      <w:u w:val="single"/>
    </w:rPr>
  </w:style>
  <w:style w:type="paragraph" w:styleId="Heading5">
    <w:name w:val="heading 5"/>
    <w:uiPriority w:val="9"/>
    <w:semiHidden/>
    <w:unhideWhenUsed/>
    <w:qFormat/>
    <w:pPr>
      <w:outlineLvl w:val="4"/>
    </w:pPr>
    <w:rPr>
      <w:rFonts w:ascii="Bookman Old Style" w:eastAsia="Bookman Old Style" w:hAnsi="Bookman Old Style" w:cs="Bookman Old Style"/>
      <w:color w:val="2E74B5"/>
    </w:rPr>
  </w:style>
  <w:style w:type="paragraph" w:styleId="Heading6">
    <w:name w:val="heading 6"/>
    <w:uiPriority w:val="9"/>
    <w:semiHidden/>
    <w:unhideWhenUsed/>
    <w:qFormat/>
    <w:pPr>
      <w:outlineLvl w:val="5"/>
    </w:pPr>
    <w:rPr>
      <w:rFonts w:ascii="Bookman Old Style" w:eastAsia="Bookman Old Style" w:hAnsi="Bookman Old Style" w:cs="Bookman Old Style"/>
      <w:color w:val="1F4D78"/>
    </w:rPr>
  </w:style>
  <w:style w:type="paragraph" w:styleId="Heading9">
    <w:name w:val="heading 9"/>
    <w:basedOn w:val="Normal"/>
    <w:next w:val="Normal"/>
    <w:uiPriority w:val="9"/>
    <w:unhideWhenUsed/>
    <w:qFormat/>
    <w:rsid w:val="11C080E7"/>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ookman Old Style" w:eastAsia="Bookman Old Style" w:hAnsi="Bookman Old Style" w:cs="Bookman Old Style"/>
      <w:sz w:val="56"/>
      <w:szCs w:val="56"/>
    </w:rPr>
  </w:style>
  <w:style w:type="paragraph" w:customStyle="1" w:styleId="Strong1">
    <w:name w:val="Strong1"/>
    <w:qFormat/>
    <w:rPr>
      <w:rFonts w:ascii="Bookman Old Style" w:eastAsia="Bookman Old Style" w:hAnsi="Bookman Old Style" w:cs="Bookman Old Style"/>
      <w:b/>
      <w:bCs/>
    </w:rPr>
  </w:style>
  <w:style w:type="paragraph" w:styleId="ListParagraph">
    <w:name w:val="List Paragraph"/>
    <w:qFormat/>
    <w:rPr>
      <w:rFonts w:ascii="Bookman Old Style" w:eastAsia="Bookman Old Style" w:hAnsi="Bookman Old Style" w:cs="Bookman Old Style"/>
    </w:rPr>
  </w:style>
  <w:style w:type="character" w:styleId="Hyperlink">
    <w:name w:val="Hyperlink"/>
    <w:uiPriority w:val="99"/>
    <w:unhideWhenUsed/>
    <w:rPr>
      <w:rFonts w:ascii="Bookman Old Style" w:eastAsia="Bookman Old Style" w:hAnsi="Bookman Old Style" w:cs="Bookman Old Style"/>
      <w:color w:val="0563C1"/>
      <w:u w:val="single"/>
    </w:rPr>
  </w:style>
  <w:style w:type="character" w:styleId="FootnoteReference">
    <w:name w:val="footnote reference"/>
    <w:uiPriority w:val="99"/>
    <w:semiHidden/>
    <w:unhideWhenUsed/>
    <w:rPr>
      <w:rFonts w:ascii="Bookman Old Style" w:eastAsia="Bookman Old Style" w:hAnsi="Bookman Old Style" w:cs="Bookman Old Style"/>
      <w:vertAlign w:val="superscript"/>
    </w:rPr>
  </w:style>
  <w:style w:type="paragraph" w:styleId="FootnoteText">
    <w:name w:val="footnote text"/>
    <w:link w:val="FootnoteTextChar"/>
    <w:uiPriority w:val="99"/>
    <w:semiHidden/>
    <w:unhideWhenUsed/>
    <w:rPr>
      <w:rFonts w:ascii="Bookman Old Style" w:eastAsia="Bookman Old Style" w:hAnsi="Bookman Old Style" w:cs="Bookman Old Style"/>
      <w:sz w:val="20"/>
      <w:szCs w:val="20"/>
    </w:rPr>
  </w:style>
  <w:style w:type="character" w:customStyle="1" w:styleId="FootnoteTextChar">
    <w:name w:val="Footnote Text Char"/>
    <w:link w:val="FootnoteText"/>
    <w:uiPriority w:val="99"/>
    <w:semiHidden/>
    <w:unhideWhenUsed/>
    <w:rPr>
      <w:rFonts w:ascii="Bookman Old Style" w:eastAsia="Bookman Old Style" w:hAnsi="Bookman Old Style" w:cs="Bookman Old Style"/>
      <w:sz w:val="20"/>
      <w:szCs w:val="20"/>
    </w:rPr>
  </w:style>
  <w:style w:type="paragraph" w:customStyle="1" w:styleId="heading10">
    <w:name w:val="heading 10"/>
    <w:qFormat/>
    <w:pPr>
      <w:spacing w:before="360" w:after="180"/>
      <w:outlineLvl w:val="0"/>
    </w:pPr>
    <w:rPr>
      <w:rFonts w:ascii="Bookman Old Style" w:eastAsia="Bookman Old Style" w:hAnsi="Bookman Old Style" w:cs="Bookman Old Style"/>
      <w:b/>
      <w:bCs/>
      <w:color w:val="1F4E79"/>
      <w:sz w:val="30"/>
      <w:szCs w:val="30"/>
    </w:rPr>
  </w:style>
  <w:style w:type="paragraph" w:customStyle="1" w:styleId="heading20">
    <w:name w:val="heading 20"/>
    <w:qFormat/>
    <w:pPr>
      <w:spacing w:before="260" w:after="120"/>
      <w:outlineLvl w:val="1"/>
    </w:pPr>
    <w:rPr>
      <w:rFonts w:ascii="Bookman Old Style" w:eastAsia="Bookman Old Style" w:hAnsi="Bookman Old Style" w:cs="Bookman Old Style"/>
      <w:b/>
      <w:bCs/>
      <w:color w:val="2E75B6"/>
      <w:sz w:val="24"/>
      <w:szCs w:val="24"/>
    </w:rPr>
  </w:style>
  <w:style w:type="paragraph" w:styleId="TOC1">
    <w:name w:val="toc 1"/>
    <w:basedOn w:val="Normal"/>
    <w:next w:val="Normal"/>
    <w:uiPriority w:val="39"/>
    <w:unhideWhenUsed/>
    <w:rsid w:val="005237C8"/>
    <w:pPr>
      <w:spacing w:before="240" w:after="240"/>
    </w:pPr>
    <w:rPr>
      <w:rFonts w:cstheme="minorHAnsi"/>
      <w:b/>
      <w:bCs/>
      <w:caps/>
      <w:sz w:val="20"/>
      <w:szCs w:val="20"/>
    </w:rPr>
  </w:style>
  <w:style w:type="paragraph" w:styleId="TOC2">
    <w:name w:val="toc 2"/>
    <w:basedOn w:val="Normal"/>
    <w:next w:val="Normal"/>
    <w:uiPriority w:val="39"/>
    <w:unhideWhenUsed/>
    <w:rsid w:val="005237C8"/>
    <w:pPr>
      <w:spacing w:before="120" w:after="120"/>
      <w:ind w:left="220"/>
    </w:pPr>
    <w:rPr>
      <w:rFonts w:cstheme="minorHAnsi"/>
      <w:smallCaps/>
      <w:sz w:val="20"/>
      <w:szCs w:val="20"/>
    </w:rPr>
  </w:style>
  <w:style w:type="table" w:styleId="TableGrid">
    <w:name w:val="Table Grid"/>
    <w:basedOn w:val="TableNormal"/>
    <w:uiPriority w:val="59"/>
    <w:rsid w:val="00FB4123"/>
    <w:rPr>
      <w:rFonts w:ascii="Bookman Old Style" w:eastAsia="Bookman Old Style" w:hAnsi="Bookman Old Style" w:cs="Bookman Old Styl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Pr>
      <w:rFonts w:ascii="Bookman Old Style" w:eastAsia="Bookman Old Style" w:hAnsi="Bookman Old Style" w:cs="Bookman Old Styl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uiPriority w:val="99"/>
    <w:semiHidden/>
    <w:unhideWhenUsed/>
    <w:rsid w:val="29CD1B6A"/>
    <w:rPr>
      <w:sz w:val="20"/>
      <w:szCs w:val="20"/>
    </w:rPr>
  </w:style>
  <w:style w:type="character" w:styleId="EndnoteReference">
    <w:name w:val="endnote reference"/>
    <w:basedOn w:val="DefaultParagraphFont"/>
    <w:uiPriority w:val="99"/>
    <w:semiHidden/>
    <w:unhideWhenUsed/>
    <w:rsid w:val="29CD1B6A"/>
    <w:rPr>
      <w:rFonts w:ascii="Bookman Old Style" w:eastAsia="Bookman Old Style" w:hAnsi="Bookman Old Style" w:cs="Bookman Old Style"/>
      <w:vertAlign w:val="superscript"/>
    </w:rPr>
  </w:style>
  <w:style w:type="paragraph" w:styleId="TOC3">
    <w:name w:val="toc 3"/>
    <w:basedOn w:val="Normal"/>
    <w:next w:val="Normal"/>
    <w:uiPriority w:val="39"/>
    <w:unhideWhenUsed/>
    <w:rsid w:val="000B52D0"/>
    <w:pPr>
      <w:ind w:left="440"/>
    </w:pPr>
    <w:rPr>
      <w:rFonts w:cstheme="minorHAnsi"/>
      <w:i/>
      <w:i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man Old Style" w:eastAsia="Bookman Old Style" w:hAnsi="Bookman Old Style" w:cs="Bookman Old Style"/>
      <w:sz w:val="20"/>
      <w:szCs w:val="20"/>
    </w:rPr>
  </w:style>
  <w:style w:type="character" w:styleId="CommentReference">
    <w:name w:val="annotation reference"/>
    <w:basedOn w:val="DefaultParagraphFont"/>
    <w:uiPriority w:val="99"/>
    <w:semiHidden/>
    <w:unhideWhenUsed/>
    <w:rPr>
      <w:rFonts w:ascii="Bookman Old Style" w:eastAsia="Bookman Old Style" w:hAnsi="Bookman Old Style" w:cs="Bookman Old Style"/>
      <w:sz w:val="16"/>
      <w:szCs w:val="16"/>
    </w:rPr>
  </w:style>
  <w:style w:type="paragraph" w:styleId="BalloonText">
    <w:name w:val="Balloon Text"/>
    <w:basedOn w:val="Normal"/>
    <w:link w:val="BalloonTextChar"/>
    <w:uiPriority w:val="99"/>
    <w:semiHidden/>
    <w:unhideWhenUsed/>
    <w:rsid w:val="006618CF"/>
    <w:rPr>
      <w:sz w:val="18"/>
      <w:szCs w:val="18"/>
    </w:rPr>
  </w:style>
  <w:style w:type="character" w:customStyle="1" w:styleId="BalloonTextChar">
    <w:name w:val="Balloon Text Char"/>
    <w:basedOn w:val="DefaultParagraphFont"/>
    <w:link w:val="BalloonText"/>
    <w:uiPriority w:val="99"/>
    <w:semiHidden/>
    <w:rsid w:val="006618CF"/>
    <w:rPr>
      <w:rFonts w:ascii="Bookman Old Style" w:eastAsia="Bookman Old Style" w:hAnsi="Bookman Old Style" w:cs="Bookman Old Style"/>
      <w:sz w:val="18"/>
      <w:szCs w:val="18"/>
    </w:rPr>
  </w:style>
  <w:style w:type="paragraph" w:styleId="CommentSubject">
    <w:name w:val="annotation subject"/>
    <w:basedOn w:val="CommentText"/>
    <w:next w:val="CommentText"/>
    <w:link w:val="CommentSubjectChar"/>
    <w:uiPriority w:val="99"/>
    <w:semiHidden/>
    <w:unhideWhenUsed/>
    <w:rsid w:val="0035627B"/>
    <w:rPr>
      <w:b/>
      <w:bCs/>
    </w:rPr>
  </w:style>
  <w:style w:type="character" w:customStyle="1" w:styleId="CommentSubjectChar">
    <w:name w:val="Comment Subject Char"/>
    <w:basedOn w:val="CommentTextChar"/>
    <w:link w:val="CommentSubject"/>
    <w:uiPriority w:val="99"/>
    <w:semiHidden/>
    <w:rsid w:val="0035627B"/>
    <w:rPr>
      <w:rFonts w:ascii="Bookman Old Style" w:eastAsia="Bookman Old Style" w:hAnsi="Bookman Old Style" w:cs="Bookman Old Style"/>
      <w:b/>
      <w:bCs/>
      <w:sz w:val="20"/>
      <w:szCs w:val="20"/>
    </w:rPr>
  </w:style>
  <w:style w:type="character" w:styleId="Emphasis">
    <w:name w:val="Emphasis"/>
    <w:basedOn w:val="DefaultParagraphFont"/>
    <w:uiPriority w:val="20"/>
    <w:qFormat/>
    <w:rsid w:val="00D62D4C"/>
    <w:rPr>
      <w:rFonts w:ascii="Bookman Old Style" w:eastAsia="Bookman Old Style" w:hAnsi="Bookman Old Style" w:cs="Bookman Old Style"/>
      <w:i/>
      <w:iCs/>
    </w:rPr>
  </w:style>
  <w:style w:type="paragraph" w:customStyle="1" w:styleId="font-claude-response-body">
    <w:name w:val="font-claude-response-body"/>
    <w:basedOn w:val="Normal"/>
    <w:rsid w:val="00EA235F"/>
    <w:pPr>
      <w:spacing w:before="100" w:beforeAutospacing="1" w:after="100" w:afterAutospacing="1"/>
    </w:pPr>
    <w:rPr>
      <w:sz w:val="24"/>
      <w:szCs w:val="24"/>
      <w:lang w:val="en-GB" w:eastAsia="en-GB"/>
    </w:rPr>
  </w:style>
  <w:style w:type="character" w:styleId="Strong">
    <w:name w:val="Strong"/>
    <w:basedOn w:val="DefaultParagraphFont"/>
    <w:uiPriority w:val="22"/>
    <w:qFormat/>
    <w:rsid w:val="00EA235F"/>
    <w:rPr>
      <w:rFonts w:ascii="Bookman Old Style" w:eastAsia="Bookman Old Style" w:hAnsi="Bookman Old Style" w:cs="Bookman Old Style"/>
      <w:b/>
      <w:bCs/>
    </w:rPr>
  </w:style>
  <w:style w:type="character" w:styleId="HTMLCode">
    <w:name w:val="HTML Code"/>
    <w:basedOn w:val="DefaultParagraphFont"/>
    <w:uiPriority w:val="99"/>
    <w:semiHidden/>
    <w:unhideWhenUsed/>
    <w:rsid w:val="00EA235F"/>
    <w:rPr>
      <w:rFonts w:ascii="Bookman Old Style" w:eastAsia="Bookman Old Style" w:hAnsi="Bookman Old Style" w:cs="Bookman Old Style"/>
      <w:sz w:val="20"/>
      <w:szCs w:val="20"/>
    </w:rPr>
  </w:style>
  <w:style w:type="paragraph" w:styleId="Header">
    <w:name w:val="header"/>
    <w:basedOn w:val="Normal"/>
    <w:uiPriority w:val="99"/>
    <w:unhideWhenUsed/>
    <w:rsid w:val="7D3BB252"/>
    <w:pPr>
      <w:tabs>
        <w:tab w:val="center" w:pos="4680"/>
        <w:tab w:val="right" w:pos="9360"/>
      </w:tabs>
    </w:pPr>
  </w:style>
  <w:style w:type="paragraph" w:styleId="Footer">
    <w:name w:val="footer"/>
    <w:basedOn w:val="Normal"/>
    <w:link w:val="FooterChar"/>
    <w:uiPriority w:val="99"/>
    <w:unhideWhenUsed/>
    <w:rsid w:val="7D3BB252"/>
    <w:pPr>
      <w:tabs>
        <w:tab w:val="center" w:pos="4680"/>
        <w:tab w:val="right" w:pos="9360"/>
      </w:tabs>
    </w:pPr>
  </w:style>
  <w:style w:type="character" w:customStyle="1" w:styleId="Heading3Char">
    <w:name w:val="Heading 3 Char"/>
    <w:basedOn w:val="DefaultParagraphFont"/>
    <w:link w:val="Heading3"/>
    <w:uiPriority w:val="9"/>
    <w:rsid w:val="008E4640"/>
    <w:rPr>
      <w:rFonts w:ascii="Bookman Old Style" w:eastAsia="Bookman Old Style" w:hAnsi="Bookman Old Style" w:cs="Bookman Old Style"/>
      <w:b/>
      <w:color w:val="2F5496" w:themeColor="accent1" w:themeShade="BF"/>
      <w:sz w:val="26"/>
      <w:szCs w:val="24"/>
    </w:rPr>
  </w:style>
  <w:style w:type="table" w:styleId="PlainTable1">
    <w:name w:val="Plain Table 1"/>
    <w:basedOn w:val="TableNormal"/>
    <w:uiPriority w:val="41"/>
    <w:rsid w:val="00C234E1"/>
    <w:rPr>
      <w:rFonts w:ascii="Bookman Old Style" w:eastAsia="Bookman Old Style" w:hAnsi="Bookman Old Style" w:cs="Bookman Old Styl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481AC3"/>
    <w:pPr>
      <w:widowControl w:val="0"/>
      <w:autoSpaceDE w:val="0"/>
      <w:autoSpaceDN w:val="0"/>
      <w:spacing w:before="35"/>
    </w:pPr>
    <w:rPr>
      <w:sz w:val="20"/>
      <w:szCs w:val="20"/>
      <w:lang w:eastAsia="en-US"/>
    </w:rPr>
  </w:style>
  <w:style w:type="character" w:styleId="PageNumber">
    <w:name w:val="page number"/>
    <w:basedOn w:val="DefaultParagraphFont"/>
    <w:uiPriority w:val="99"/>
    <w:semiHidden/>
    <w:unhideWhenUsed/>
    <w:rsid w:val="003E5402"/>
    <w:rPr>
      <w:rFonts w:ascii="Bookman Old Style" w:eastAsia="Bookman Old Style" w:hAnsi="Bookman Old Style" w:cs="Bookman Old Style"/>
    </w:rPr>
  </w:style>
  <w:style w:type="character" w:customStyle="1" w:styleId="FooterChar">
    <w:name w:val="Footer Char"/>
    <w:basedOn w:val="DefaultParagraphFont"/>
    <w:link w:val="Footer"/>
    <w:uiPriority w:val="99"/>
    <w:rsid w:val="003E5402"/>
    <w:rPr>
      <w:rFonts w:ascii="Bookman Old Style" w:eastAsia="Bookman Old Style" w:hAnsi="Bookman Old Style" w:cs="Bookman Old Style"/>
    </w:rPr>
  </w:style>
  <w:style w:type="paragraph" w:styleId="TOCHeading">
    <w:name w:val="TOC Heading"/>
    <w:next w:val="Normal"/>
    <w:uiPriority w:val="39"/>
    <w:unhideWhenUsed/>
    <w:qFormat/>
    <w:rsid w:val="004A28DD"/>
    <w:pPr>
      <w:spacing w:before="120" w:after="120"/>
    </w:pPr>
    <w:rPr>
      <w:rFonts w:ascii="Bookman Old Style" w:eastAsia="Bookman Old Style" w:hAnsi="Bookman Old Style" w:cs="Bookman Old Style"/>
      <w:b/>
      <w:color w:val="2F5496" w:themeColor="accent1" w:themeShade="BF"/>
      <w:sz w:val="34"/>
      <w:szCs w:val="32"/>
    </w:rPr>
  </w:style>
  <w:style w:type="paragraph" w:styleId="TOC4">
    <w:name w:val="toc 4"/>
    <w:basedOn w:val="Normal"/>
    <w:next w:val="Normal"/>
    <w:autoRedefine/>
    <w:uiPriority w:val="39"/>
    <w:semiHidden/>
    <w:unhideWhenUsed/>
    <w:rsid w:val="008C320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C320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C320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C320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C320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C320A"/>
    <w:pPr>
      <w:ind w:left="1760"/>
    </w:pPr>
    <w:rPr>
      <w:rFonts w:asciiTheme="minorHAnsi" w:hAnsiTheme="minorHAnsi" w:cstheme="minorHAnsi"/>
      <w:sz w:val="18"/>
      <w:szCs w:val="18"/>
    </w:rPr>
  </w:style>
  <w:style w:type="paragraph" w:customStyle="1" w:styleId="Paragraph">
    <w:name w:val="Paragraph"/>
    <w:qFormat/>
    <w:rsid w:val="00F737DD"/>
    <w:pPr>
      <w:spacing w:before="1" w:after="240"/>
      <w:jc w:val="both"/>
    </w:pPr>
    <w:rPr>
      <w:rFonts w:ascii="Bookman Old Style" w:eastAsia="Bookman Old Style" w:hAnsi="Bookman Old Style" w:cs="Bookman Old Style"/>
      <w:sz w:val="24"/>
      <w:szCs w:val="24"/>
      <w:lang w:val="en-MY"/>
    </w:rPr>
  </w:style>
  <w:style w:type="character" w:customStyle="1" w:styleId="Heading1Char">
    <w:name w:val="Heading 1 Char"/>
    <w:basedOn w:val="DefaultParagraphFont"/>
    <w:link w:val="Heading1"/>
    <w:uiPriority w:val="9"/>
    <w:rsid w:val="00993937"/>
    <w:rPr>
      <w:rFonts w:ascii="Bookman Old Style" w:eastAsia="Bookman Old Style" w:hAnsi="Bookman Old Style" w:cs="Bookman Old Style"/>
      <w:b/>
      <w:color w:val="2F5496" w:themeColor="accent1" w:themeShade="BF"/>
      <w:sz w:val="34"/>
      <w:szCs w:val="32"/>
    </w:rPr>
  </w:style>
  <w:style w:type="paragraph" w:styleId="Caption">
    <w:name w:val="caption"/>
    <w:basedOn w:val="Normal"/>
    <w:next w:val="Normal"/>
    <w:uiPriority w:val="35"/>
    <w:unhideWhenUsed/>
    <w:qFormat/>
    <w:rsid w:val="00B84D1F"/>
    <w:pPr>
      <w:keepNext/>
      <w:spacing w:after="200"/>
    </w:pPr>
    <w:rPr>
      <w:i/>
      <w:iCs/>
      <w:color w:val="2F5496" w:themeColor="accent1" w:themeShade="BF"/>
      <w:sz w:val="20"/>
      <w:szCs w:val="18"/>
    </w:rPr>
  </w:style>
  <w:style w:type="paragraph" w:styleId="TableofFigures">
    <w:name w:val="table of figures"/>
    <w:basedOn w:val="Normal"/>
    <w:next w:val="Normal"/>
    <w:uiPriority w:val="99"/>
    <w:unhideWhenUsed/>
    <w:rsid w:val="00CA18E9"/>
    <w:pPr>
      <w:spacing w:before="120" w:after="120"/>
    </w:pPr>
  </w:style>
  <w:style w:type="character" w:customStyle="1" w:styleId="Heading2Char">
    <w:name w:val="Heading 2 Char"/>
    <w:basedOn w:val="DefaultParagraphFont"/>
    <w:link w:val="Heading2"/>
    <w:uiPriority w:val="9"/>
    <w:rsid w:val="00635872"/>
    <w:rPr>
      <w:rFonts w:ascii="Bookman Old Style" w:eastAsia="Bookman Old Style" w:hAnsi="Bookman Old Style" w:cs="Bookman Old Style"/>
      <w:b/>
      <w:color w:val="2F5496" w:themeColor="accent1" w:themeShade="BF"/>
      <w:sz w:val="28"/>
      <w:szCs w:val="26"/>
    </w:rPr>
  </w:style>
  <w:style w:type="table" w:styleId="GridTable1Light-Accent1">
    <w:name w:val="Grid Table 1 Light Accent 1"/>
    <w:basedOn w:val="TableNormal"/>
    <w:uiPriority w:val="46"/>
    <w:rsid w:val="003F4D2D"/>
    <w:rPr>
      <w:rFonts w:ascii="Bookman Old Style" w:eastAsia="Bookman Old Style" w:hAnsi="Bookman Old Style" w:cs="Bookman Old Styl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2D6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lang w:eastAsia="en-US"/>
    </w:rPr>
  </w:style>
  <w:style w:type="character" w:customStyle="1" w:styleId="HTMLPreformattedChar">
    <w:name w:val="HTML Preformatted Char"/>
    <w:basedOn w:val="DefaultParagraphFont"/>
    <w:link w:val="HTMLPreformatted"/>
    <w:uiPriority w:val="99"/>
    <w:semiHidden/>
    <w:rsid w:val="002D6A5C"/>
    <w:rPr>
      <w:rFonts w:ascii="Bookman Old Style" w:eastAsia="Bookman Old Style" w:hAnsi="Bookman Old Style" w:cs="Bookman Old Style"/>
      <w:sz w:val="20"/>
      <w:szCs w:val="20"/>
      <w:lang w:eastAsia="en-US"/>
    </w:rPr>
  </w:style>
  <w:style w:type="character" w:customStyle="1" w:styleId="linewrapper">
    <w:name w:val="line_wrapper"/>
    <w:basedOn w:val="DefaultParagraphFont"/>
    <w:rsid w:val="002D6A5C"/>
    <w:rPr>
      <w:rFonts w:ascii="Bookman Old Style" w:eastAsia="Bookman Old Style" w:hAnsi="Bookman Old Style" w:cs="Bookman Old Style"/>
    </w:rPr>
  </w:style>
  <w:style w:type="paragraph" w:styleId="NormalWeb">
    <w:name w:val="Normal (Web)"/>
    <w:basedOn w:val="Normal"/>
    <w:uiPriority w:val="99"/>
    <w:semiHidden/>
    <w:unhideWhenUsed/>
    <w:rsid w:val="00AD6744"/>
    <w:pPr>
      <w:spacing w:before="100" w:beforeAutospacing="1" w:after="100" w:afterAutospacing="1"/>
    </w:pPr>
    <w:rPr>
      <w:sz w:val="24"/>
      <w:szCs w:val="24"/>
      <w:lang w:eastAsia="en-US"/>
    </w:rPr>
  </w:style>
  <w:style w:type="paragraph" w:styleId="Revision">
    <w:name w:val="Revision"/>
    <w:hidden/>
    <w:uiPriority w:val="99"/>
    <w:semiHidden/>
    <w:rsid w:val="00B226DA"/>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5120">
      <w:bodyDiv w:val="1"/>
      <w:marLeft w:val="0"/>
      <w:marRight w:val="0"/>
      <w:marTop w:val="0"/>
      <w:marBottom w:val="0"/>
      <w:divBdr>
        <w:top w:val="none" w:sz="0" w:space="0" w:color="auto"/>
        <w:left w:val="none" w:sz="0" w:space="0" w:color="auto"/>
        <w:bottom w:val="none" w:sz="0" w:space="0" w:color="auto"/>
        <w:right w:val="none" w:sz="0" w:space="0" w:color="auto"/>
      </w:divBdr>
    </w:div>
    <w:div w:id="436562406">
      <w:bodyDiv w:val="1"/>
      <w:marLeft w:val="0"/>
      <w:marRight w:val="0"/>
      <w:marTop w:val="0"/>
      <w:marBottom w:val="0"/>
      <w:divBdr>
        <w:top w:val="none" w:sz="0" w:space="0" w:color="auto"/>
        <w:left w:val="none" w:sz="0" w:space="0" w:color="auto"/>
        <w:bottom w:val="none" w:sz="0" w:space="0" w:color="auto"/>
        <w:right w:val="none" w:sz="0" w:space="0" w:color="auto"/>
      </w:divBdr>
    </w:div>
    <w:div w:id="650528229">
      <w:bodyDiv w:val="1"/>
      <w:marLeft w:val="0"/>
      <w:marRight w:val="0"/>
      <w:marTop w:val="0"/>
      <w:marBottom w:val="0"/>
      <w:divBdr>
        <w:top w:val="none" w:sz="0" w:space="0" w:color="auto"/>
        <w:left w:val="none" w:sz="0" w:space="0" w:color="auto"/>
        <w:bottom w:val="none" w:sz="0" w:space="0" w:color="auto"/>
        <w:right w:val="none" w:sz="0" w:space="0" w:color="auto"/>
      </w:divBdr>
    </w:div>
    <w:div w:id="779490794">
      <w:bodyDiv w:val="1"/>
      <w:marLeft w:val="0"/>
      <w:marRight w:val="0"/>
      <w:marTop w:val="0"/>
      <w:marBottom w:val="0"/>
      <w:divBdr>
        <w:top w:val="none" w:sz="0" w:space="0" w:color="auto"/>
        <w:left w:val="none" w:sz="0" w:space="0" w:color="auto"/>
        <w:bottom w:val="none" w:sz="0" w:space="0" w:color="auto"/>
        <w:right w:val="none" w:sz="0" w:space="0" w:color="auto"/>
      </w:divBdr>
    </w:div>
    <w:div w:id="856425180">
      <w:bodyDiv w:val="1"/>
      <w:marLeft w:val="0"/>
      <w:marRight w:val="0"/>
      <w:marTop w:val="0"/>
      <w:marBottom w:val="0"/>
      <w:divBdr>
        <w:top w:val="none" w:sz="0" w:space="0" w:color="auto"/>
        <w:left w:val="none" w:sz="0" w:space="0" w:color="auto"/>
        <w:bottom w:val="none" w:sz="0" w:space="0" w:color="auto"/>
        <w:right w:val="none" w:sz="0" w:space="0" w:color="auto"/>
      </w:divBdr>
    </w:div>
    <w:div w:id="877010906">
      <w:bodyDiv w:val="1"/>
      <w:marLeft w:val="0"/>
      <w:marRight w:val="0"/>
      <w:marTop w:val="0"/>
      <w:marBottom w:val="0"/>
      <w:divBdr>
        <w:top w:val="none" w:sz="0" w:space="0" w:color="auto"/>
        <w:left w:val="none" w:sz="0" w:space="0" w:color="auto"/>
        <w:bottom w:val="none" w:sz="0" w:space="0" w:color="auto"/>
        <w:right w:val="none" w:sz="0" w:space="0" w:color="auto"/>
      </w:divBdr>
    </w:div>
    <w:div w:id="892817112">
      <w:bodyDiv w:val="1"/>
      <w:marLeft w:val="0"/>
      <w:marRight w:val="0"/>
      <w:marTop w:val="0"/>
      <w:marBottom w:val="0"/>
      <w:divBdr>
        <w:top w:val="none" w:sz="0" w:space="0" w:color="auto"/>
        <w:left w:val="none" w:sz="0" w:space="0" w:color="auto"/>
        <w:bottom w:val="none" w:sz="0" w:space="0" w:color="auto"/>
        <w:right w:val="none" w:sz="0" w:space="0" w:color="auto"/>
      </w:divBdr>
    </w:div>
    <w:div w:id="1282879601">
      <w:bodyDiv w:val="1"/>
      <w:marLeft w:val="0"/>
      <w:marRight w:val="0"/>
      <w:marTop w:val="0"/>
      <w:marBottom w:val="0"/>
      <w:divBdr>
        <w:top w:val="none" w:sz="0" w:space="0" w:color="auto"/>
        <w:left w:val="none" w:sz="0" w:space="0" w:color="auto"/>
        <w:bottom w:val="none" w:sz="0" w:space="0" w:color="auto"/>
        <w:right w:val="none" w:sz="0" w:space="0" w:color="auto"/>
      </w:divBdr>
    </w:div>
    <w:div w:id="1425691765">
      <w:bodyDiv w:val="1"/>
      <w:marLeft w:val="0"/>
      <w:marRight w:val="0"/>
      <w:marTop w:val="0"/>
      <w:marBottom w:val="0"/>
      <w:divBdr>
        <w:top w:val="none" w:sz="0" w:space="0" w:color="auto"/>
        <w:left w:val="none" w:sz="0" w:space="0" w:color="auto"/>
        <w:bottom w:val="none" w:sz="0" w:space="0" w:color="auto"/>
        <w:right w:val="none" w:sz="0" w:space="0" w:color="auto"/>
      </w:divBdr>
    </w:div>
    <w:div w:id="1692760867">
      <w:bodyDiv w:val="1"/>
      <w:marLeft w:val="0"/>
      <w:marRight w:val="0"/>
      <w:marTop w:val="0"/>
      <w:marBottom w:val="0"/>
      <w:divBdr>
        <w:top w:val="none" w:sz="0" w:space="0" w:color="auto"/>
        <w:left w:val="none" w:sz="0" w:space="0" w:color="auto"/>
        <w:bottom w:val="none" w:sz="0" w:space="0" w:color="auto"/>
        <w:right w:val="none" w:sz="0" w:space="0" w:color="auto"/>
      </w:divBdr>
    </w:div>
    <w:div w:id="1774278522">
      <w:bodyDiv w:val="1"/>
      <w:marLeft w:val="0"/>
      <w:marRight w:val="0"/>
      <w:marTop w:val="0"/>
      <w:marBottom w:val="0"/>
      <w:divBdr>
        <w:top w:val="none" w:sz="0" w:space="0" w:color="auto"/>
        <w:left w:val="none" w:sz="0" w:space="0" w:color="auto"/>
        <w:bottom w:val="none" w:sz="0" w:space="0" w:color="auto"/>
        <w:right w:val="none" w:sz="0" w:space="0" w:color="auto"/>
      </w:divBdr>
    </w:div>
    <w:div w:id="1878279213">
      <w:bodyDiv w:val="1"/>
      <w:marLeft w:val="0"/>
      <w:marRight w:val="0"/>
      <w:marTop w:val="0"/>
      <w:marBottom w:val="0"/>
      <w:divBdr>
        <w:top w:val="none" w:sz="0" w:space="0" w:color="auto"/>
        <w:left w:val="none" w:sz="0" w:space="0" w:color="auto"/>
        <w:bottom w:val="none" w:sz="0" w:space="0" w:color="auto"/>
        <w:right w:val="none" w:sz="0" w:space="0" w:color="auto"/>
      </w:divBdr>
    </w:div>
    <w:div w:id="1932228800">
      <w:bodyDiv w:val="1"/>
      <w:marLeft w:val="0"/>
      <w:marRight w:val="0"/>
      <w:marTop w:val="0"/>
      <w:marBottom w:val="0"/>
      <w:divBdr>
        <w:top w:val="none" w:sz="0" w:space="0" w:color="auto"/>
        <w:left w:val="none" w:sz="0" w:space="0" w:color="auto"/>
        <w:bottom w:val="none" w:sz="0" w:space="0" w:color="auto"/>
        <w:right w:val="none" w:sz="0" w:space="0" w:color="auto"/>
      </w:divBdr>
    </w:div>
    <w:div w:id="2005739856">
      <w:bodyDiv w:val="1"/>
      <w:marLeft w:val="0"/>
      <w:marRight w:val="0"/>
      <w:marTop w:val="0"/>
      <w:marBottom w:val="0"/>
      <w:divBdr>
        <w:top w:val="none" w:sz="0" w:space="0" w:color="auto"/>
        <w:left w:val="none" w:sz="0" w:space="0" w:color="auto"/>
        <w:bottom w:val="none" w:sz="0" w:space="0" w:color="auto"/>
        <w:right w:val="none" w:sz="0" w:space="0" w:color="auto"/>
      </w:divBdr>
    </w:div>
    <w:div w:id="2075816947">
      <w:bodyDiv w:val="1"/>
      <w:marLeft w:val="0"/>
      <w:marRight w:val="0"/>
      <w:marTop w:val="0"/>
      <w:marBottom w:val="0"/>
      <w:divBdr>
        <w:top w:val="none" w:sz="0" w:space="0" w:color="auto"/>
        <w:left w:val="none" w:sz="0" w:space="0" w:color="auto"/>
        <w:bottom w:val="none" w:sz="0" w:space="0" w:color="auto"/>
        <w:right w:val="none" w:sz="0" w:space="0" w:color="auto"/>
      </w:divBdr>
    </w:div>
    <w:div w:id="212966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11" Type="http://schemas.openxmlformats.org/officeDocument/2006/relationships/footer" Target="footer5.xml"/><Relationship Id="rId18" Type="http://schemas.openxmlformats.org/officeDocument/2006/relationships/header" Target="header3.xml"/><Relationship Id="rId19" Type="http://schemas.openxmlformats.org/officeDocument/2006/relationships/image" Target="media/image1.png"/><Relationship Id="rId21" Type="http://schemas.openxmlformats.org/officeDocument/2006/relationships/footer" Target="footer6.xml"/><Relationship Id="rId24" Type="http://schemas.openxmlformats.org/officeDocument/2006/relationships/header" Target="header4.xml"/><Relationship Id="rId25" Type="http://schemas.openxmlformats.org/officeDocument/2006/relationships/footer" Target="footer7.xml"/><Relationship Id="rId2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okman Old Style"/>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man Old Style"/>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b675e6-5cdc-4ec3-887e-cce341d2c644">
      <Terms xmlns="http://schemas.microsoft.com/office/infopath/2007/PartnerControls"/>
    </lcf76f155ced4ddcb4097134ff3c332f>
    <TaxCatchAll xmlns="271f0a6e-7570-4ec4-b0a6-bb08bdd325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C911938B8104EAF7D536C7AC491FF" ma:contentTypeVersion="13" ma:contentTypeDescription="Create a new document." ma:contentTypeScope="" ma:versionID="4346f776a97e773bb1545585e241ee47">
  <xsd:schema xmlns:xsd="http://www.w3.org/2001/XMLSchema" xmlns:xs="http://www.w3.org/2001/XMLSchema" xmlns:p="http://schemas.microsoft.com/office/2006/metadata/properties" xmlns:ns1="http://schemas.microsoft.com/sharepoint/v3" xmlns:ns2="ebb675e6-5cdc-4ec3-887e-cce341d2c644" xmlns:ns3="271f0a6e-7570-4ec4-b0a6-bb08bdd32529" targetNamespace="http://schemas.microsoft.com/office/2006/metadata/properties" ma:root="true" ma:fieldsID="bb0b3a2430b723da69e279d06b1f13dc" ns1:_="" ns2:_="" ns3:_="">
    <xsd:import namespace="http://schemas.microsoft.com/sharepoint/v3"/>
    <xsd:import namespace="ebb675e6-5cdc-4ec3-887e-cce341d2c644"/>
    <xsd:import namespace="271f0a6e-7570-4ec4-b0a6-bb08bdd325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675e6-5cdc-4ec3-887e-cce341d2c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fd136-2241-4aa2-b44a-6d1f559fe3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1f0a6e-7570-4ec4-b0a6-bb08bdd325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0ce7f-5168-4b68-9bdf-537e0dab33d7}" ma:internalName="TaxCatchAll" ma:showField="CatchAllData" ma:web="271f0a6e-7570-4ec4-b0a6-bb08bdd32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13B174-CE2D-4E3B-BAB7-C322D57FFC9D}">
  <ds:schemaRefs>
    <ds:schemaRef ds:uri="http://schemas.microsoft.com/office/2006/metadata/properties"/>
    <ds:schemaRef ds:uri="http://schemas.microsoft.com/office/infopath/2007/PartnerControls"/>
    <ds:schemaRef ds:uri="http://schemas.microsoft.com/sharepoint/v3"/>
    <ds:schemaRef ds:uri="ebb675e6-5cdc-4ec3-887e-cce341d2c644"/>
    <ds:schemaRef ds:uri="271f0a6e-7570-4ec4-b0a6-bb08bdd32529"/>
  </ds:schemaRefs>
</ds:datastoreItem>
</file>

<file path=customXml/itemProps2.xml><?xml version="1.0" encoding="utf-8"?>
<ds:datastoreItem xmlns:ds="http://schemas.openxmlformats.org/officeDocument/2006/customXml" ds:itemID="{257AA997-03F8-4EA9-9AD9-9AD3D680AEE7}">
  <ds:schemaRefs>
    <ds:schemaRef ds:uri="http://schemas.microsoft.com/sharepoint/v3/contenttype/forms"/>
  </ds:schemaRefs>
</ds:datastoreItem>
</file>

<file path=customXml/itemProps3.xml><?xml version="1.0" encoding="utf-8"?>
<ds:datastoreItem xmlns:ds="http://schemas.openxmlformats.org/officeDocument/2006/customXml" ds:itemID="{02487380-A9A9-44AB-9B9F-65DDB4E09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b675e6-5cdc-4ec3-887e-cce341d2c644"/>
    <ds:schemaRef ds:uri="271f0a6e-7570-4ec4-b0a6-bb08bdd32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B94C88-4D53-4496-A896-EF452AE2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10148</Words>
  <Characters>57849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 document template</dc:title>
  <dc:subject/>
  <dc:creator>Data Science</dc:creator>
  <cp:keywords/>
  <cp:lastModifiedBy>Ethan Kawamara Mugire</cp:lastModifiedBy>
  <cp:revision>2</cp:revision>
  <cp:lastPrinted>2026-08-09T16:42:00Z</cp:lastPrinted>
  <dcterms:created xsi:type="dcterms:W3CDTF">2026-08-10T06:02:00Z</dcterms:created>
  <dcterms:modified xsi:type="dcterms:W3CDTF">2026-08-10T06:02:00Z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1d4df2-78d1-4025-b4f3-390f587087e3_Enabled">
    <vt:lpwstr>true</vt:lpwstr>
  </property>
  <property fmtid="{D5CDD505-2E9C-101B-9397-08002B2CF9AE}" pid="3" name="MSIP_Label_0a1d4df2-78d1-4025-b4f3-390f587087e3_SetDate">
    <vt:lpwstr>2026-02-25T09:50:16Z</vt:lpwstr>
  </property>
  <property fmtid="{D5CDD505-2E9C-101B-9397-08002B2CF9AE}" pid="4" name="MSIP_Label_0a1d4df2-78d1-4025-b4f3-390f587087e3_Method">
    <vt:lpwstr>Standard</vt:lpwstr>
  </property>
  <property fmtid="{D5CDD505-2E9C-101B-9397-08002B2CF9AE}" pid="5" name="MSIP_Label_0a1d4df2-78d1-4025-b4f3-390f587087e3_Name">
    <vt:lpwstr>URA OFFICIAL LABEL</vt:lpwstr>
  </property>
  <property fmtid="{D5CDD505-2E9C-101B-9397-08002B2CF9AE}" pid="6" name="MSIP_Label_0a1d4df2-78d1-4025-b4f3-390f587087e3_SiteId">
    <vt:lpwstr>2010a227-d6b7-4ace-b38b-02444d74b904</vt:lpwstr>
  </property>
  <property fmtid="{D5CDD505-2E9C-101B-9397-08002B2CF9AE}" pid="7" name="MSIP_Label_0a1d4df2-78d1-4025-b4f3-390f587087e3_ActionId">
    <vt:lpwstr>a632c54e-c736-4a27-b4ec-72eff2ffc745</vt:lpwstr>
  </property>
  <property fmtid="{D5CDD505-2E9C-101B-9397-08002B2CF9AE}" pid="8" name="MSIP_Label_0a1d4df2-78d1-4025-b4f3-390f587087e3_ContentBits">
    <vt:lpwstr>0</vt:lpwstr>
  </property>
  <property fmtid="{D5CDD505-2E9C-101B-9397-08002B2CF9AE}" pid="9" name="MSIP_Label_0a1d4df2-78d1-4025-b4f3-390f587087e3_Tag">
    <vt:lpwstr>10, 3, 0, 2</vt:lpwstr>
  </property>
  <property fmtid="{D5CDD505-2E9C-101B-9397-08002B2CF9AE}" pid="10" name="MediaServiceImageTags">
    <vt:lpwstr/>
  </property>
  <property fmtid="{D5CDD505-2E9C-101B-9397-08002B2CF9AE}" pid="11" name="ContentTypeId">
    <vt:lpwstr>0x010100CC5C911938B8104EAF7D536C7AC491FF</vt:lpwstr>
  </property>
  <property fmtid="{D5CDD505-2E9C-101B-9397-08002B2CF9AE}" pid="12" name="ComplianceAssetId">
    <vt:lpwstr/>
  </property>
  <property fmtid="{D5CDD505-2E9C-101B-9397-08002B2CF9AE}" pid="13" name="_ExtendedDescription">
    <vt:lpwstr/>
  </property>
  <property fmtid="{D5CDD505-2E9C-101B-9397-08002B2CF9AE}" pid="14" name="_activity">
    <vt:lpwstr>{"FileActivityType":"9","FileActivityTimeStamp":"2026-03-03T10:55:19.527Z","FileActivityUsersOnPage":[{"DisplayName":"Ethan Kawamara Mugire","Id":"emugire@ura.go.ug"}],"FileActivityNavigationId":null}</vt:lpwstr>
  </property>
  <property fmtid="{D5CDD505-2E9C-101B-9397-08002B2CF9AE}" pid="15" name="TriggerFlowInfo">
    <vt:lpwstr/>
  </property>
  <property fmtid="{D5CDD505-2E9C-101B-9397-08002B2CF9AE}" pid="16" name="GrammarlyDocumentId">
    <vt:lpwstr>4dc63219-7958-4000-a47a-f92408aee2a1</vt:lpwstr>
  </property>
  <property fmtid="{D5CDD505-2E9C-101B-9397-08002B2CF9AE}" pid="17" name="docLang">
    <vt:lpwstr>en</vt:lpwstr>
  </property>
</Properties>
</file>