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050"/>
          <w:sz w:val="28"/>
        </w:rPr>
        <w:t>NovaTech Solutions</w:t>
      </w:r>
    </w:p>
    <w:p>
      <w:pPr>
        <w:pStyle w:val="Title"/>
        <w:jc w:val="center"/>
      </w:pPr>
      <w:r>
        <w:t>Code of Conduct</w:t>
      </w:r>
    </w:p>
    <w:tbl>
      <w:tblPr>
        <w:tblStyle w:val="TableGrid"/>
        <w:tblW w:type="auto" w:w="0"/>
        <w:jc w:val="center"/>
        <w:tblLook w:firstColumn="1" w:firstRow="1" w:lastColumn="0" w:lastRow="0" w:noHBand="0" w:noVBand="1" w:val="04A0"/>
      </w:tblPr>
      <w:tblGrid>
        <w:gridCol w:w="3216"/>
        <w:gridCol w:w="3216"/>
        <w:gridCol w:w="3216"/>
      </w:tblGrid>
      <w:tr>
        <w:tc>
          <w:tcPr>
            <w:tcW w:type="dxa" w:w="3216"/>
            <w:tcMar>
              <w:top w:w="100" w:type="dxa"/>
              <w:start w:w="120" w:type="dxa"/>
              <w:bottom w:w="100" w:type="dxa"/>
              <w:end w:w="120" w:type="dxa"/>
            </w:tcMar>
            <w:vAlign w:val="center"/>
            <w:shd w:fill="D9EAF7"/>
          </w:tcPr>
          <w:p>
            <w:pPr>
              <w:spacing w:after="0"/>
            </w:pPr>
            <w:r>
              <w:rPr>
                <w:rFonts w:ascii="Arial" w:hAnsi="Arial"/>
                <w:b/>
                <w:color w:val="1F4E78"/>
                <w:sz w:val="18"/>
              </w:rPr>
              <w:t>Document Version</w:t>
            </w:r>
          </w:p>
        </w:tc>
        <w:tc>
          <w:tcPr>
            <w:tcW w:type="dxa" w:w="3216"/>
            <w:tcMar>
              <w:top w:w="100" w:type="dxa"/>
              <w:start w:w="120" w:type="dxa"/>
              <w:bottom w:w="100" w:type="dxa"/>
              <w:end w:w="120" w:type="dxa"/>
            </w:tcMar>
            <w:vAlign w:val="center"/>
          </w:tcPr>
          <w:p>
            <w:pPr>
              <w:spacing w:after="0"/>
            </w:pPr>
            <w:r>
              <w:rPr>
                <w:rFonts w:ascii="Arial" w:hAnsi="Arial"/>
                <w:sz w:val="18"/>
              </w:rPr>
              <w:t>1.0</w:t>
            </w:r>
          </w:p>
        </w:tc>
        <w:tc>
          <w:tcPr>
            <w:tcW w:type="dxa" w:w="3216"/>
            <w:tcMar>
              <w:top w:w="100" w:type="dxa"/>
              <w:start w:w="120" w:type="dxa"/>
              <w:bottom w:w="100" w:type="dxa"/>
              <w:end w:w="120" w:type="dxa"/>
            </w:tcMar>
            <w:vAlign w:val="center"/>
            <w:shd w:fill="D9EAF7"/>
          </w:tcPr>
          <w:p>
            <w:pPr>
              <w:spacing w:after="0"/>
            </w:pPr>
            <w:r>
              <w:rPr>
                <w:rFonts w:ascii="Arial" w:hAnsi="Arial"/>
                <w:b/>
                <w:color w:val="1F4E78"/>
                <w:sz w:val="18"/>
              </w:rPr>
              <w:t>Effective Date</w:t>
            </w:r>
          </w:p>
        </w:tc>
      </w:tr>
      <w:tr>
        <w:tc>
          <w:tcPr>
            <w:tcW w:type="dxa" w:w="3216"/>
            <w:tcMar>
              <w:top w:w="100" w:type="dxa"/>
              <w:start w:w="120" w:type="dxa"/>
              <w:bottom w:w="100" w:type="dxa"/>
              <w:end w:w="120" w:type="dxa"/>
            </w:tcMar>
            <w:vAlign w:val="center"/>
            <w:shd w:fill="D9EAF7"/>
          </w:tcPr>
          <w:p>
            <w:pPr>
              <w:spacing w:after="0"/>
            </w:pPr>
            <w:r>
              <w:rPr>
                <w:rFonts w:ascii="Arial" w:hAnsi="Arial"/>
                <w:b/>
                <w:color w:val="1F4E78"/>
                <w:sz w:val="18"/>
              </w:rPr>
              <w:t>Policy Owner</w:t>
            </w:r>
          </w:p>
        </w:tc>
        <w:tc>
          <w:tcPr>
            <w:tcW w:type="dxa" w:w="3216"/>
            <w:tcMar>
              <w:top w:w="100" w:type="dxa"/>
              <w:start w:w="120" w:type="dxa"/>
              <w:bottom w:w="100" w:type="dxa"/>
              <w:end w:w="120" w:type="dxa"/>
            </w:tcMar>
            <w:vAlign w:val="center"/>
          </w:tcPr>
          <w:p>
            <w:pPr>
              <w:spacing w:after="0"/>
            </w:pPr>
            <w:r>
              <w:rPr>
                <w:rFonts w:ascii="Arial" w:hAnsi="Arial"/>
                <w:sz w:val="18"/>
              </w:rPr>
              <w:t>Human Resources and Compliance</w:t>
            </w:r>
          </w:p>
        </w:tc>
        <w:tc>
          <w:tcPr>
            <w:tcW w:type="dxa" w:w="3216"/>
            <w:tcMar>
              <w:top w:w="100" w:type="dxa"/>
              <w:start w:w="120" w:type="dxa"/>
              <w:bottom w:w="100" w:type="dxa"/>
              <w:end w:w="120" w:type="dxa"/>
            </w:tcMar>
            <w:vAlign w:val="center"/>
          </w:tcPr>
          <w:p>
            <w:pPr>
              <w:spacing w:after="0"/>
            </w:pPr>
            <w:r>
              <w:rPr>
                <w:rFonts w:ascii="Arial" w:hAnsi="Arial"/>
                <w:sz w:val="18"/>
              </w:rPr>
              <w:t>January 1, 2026</w:t>
            </w:r>
          </w:p>
        </w:tc>
      </w:tr>
    </w:tbl>
    <w:p/>
    <w:p>
      <w:pPr>
        <w:pStyle w:val="Heading1"/>
        <w:keepNext/>
      </w:pPr>
      <w:r>
        <w:t>1. Purpose</w:t>
      </w:r>
    </w:p>
    <w:p>
      <w:r>
        <w:t>This Code of Conduct defines the standards of professional behavior expected from employees of NovaTech Solutions.</w:t>
      </w:r>
    </w:p>
    <w:p>
      <w:pPr>
        <w:pStyle w:val="Heading1"/>
        <w:keepNext/>
      </w:pPr>
      <w:r>
        <w:t>2. Scope</w:t>
      </w:r>
    </w:p>
    <w:p>
      <w:r>
        <w:t>This Code applies to all employees, contractors, and other individuals representing NovaTech Solutions.</w:t>
      </w:r>
    </w:p>
    <w:p>
      <w:pPr>
        <w:pStyle w:val="Heading1"/>
        <w:keepNext/>
      </w:pPr>
      <w:r>
        <w:t>3. Professional Conduct</w:t>
      </w:r>
    </w:p>
    <w:p>
      <w:r>
        <w:t>Employees are expected to act professionally and respectfully, follow applicable company policies and procedures, perform their responsibilities honestly, and avoid conduct that could damage the reputation or interests of NovaTech Solutions.</w:t>
      </w:r>
    </w:p>
    <w:p>
      <w:pPr>
        <w:pStyle w:val="Heading1"/>
        <w:keepNext/>
      </w:pPr>
      <w:r>
        <w:t>4. Respectful Workplace</w:t>
      </w:r>
    </w:p>
    <w:p>
      <w:r>
        <w:t>NovaTech Solutions is committed to maintaining a respectful workplace. Harassment, bullying, intimidation, discrimination, retaliation, or other inappropriate behavior is not acceptable.</w:t>
      </w:r>
    </w:p>
    <w:p>
      <w:pPr>
        <w:pStyle w:val="Heading1"/>
        <w:keepNext/>
      </w:pPr>
      <w:r>
        <w:t>5. Equal Opportunity</w:t>
      </w:r>
    </w:p>
    <w:p>
      <w:r>
        <w:t>Employment-related decisions should be based on legitimate business requirements, qualifications, performance, and other appropriate factors.</w:t>
      </w:r>
    </w:p>
    <w:p>
      <w:pPr>
        <w:pStyle w:val="Heading1"/>
        <w:keepNext/>
      </w:pPr>
      <w:r>
        <w:t>6. Harassment and Bullying</w:t>
      </w:r>
    </w:p>
    <w:p>
      <w:r>
        <w:t>Employees must not engage in verbal, physical, written, or online behavior that constitutes harassment, bullying, or intimidation.</w:t>
      </w:r>
    </w:p>
    <w:p>
      <w:pPr>
        <w:pStyle w:val="Heading1"/>
        <w:keepNext/>
      </w:pPr>
      <w:r>
        <w:t>7. Confidential Information</w:t>
      </w:r>
    </w:p>
    <w:p>
      <w:r>
        <w:t>Employees must protect confidential company, employee, customer, and business-partner information. Confidential information must only be accessed or shared when there is a legitimate business need.</w:t>
      </w:r>
    </w:p>
    <w:p>
      <w:pPr>
        <w:pStyle w:val="Heading1"/>
        <w:keepNext/>
      </w:pPr>
      <w:r>
        <w:t>8. Data and Information Security</w:t>
      </w:r>
    </w:p>
    <w:p>
      <w:r>
        <w:t>Employees must comply with the NovaTech Solutions IT Security Policy when accessing or handling company information.</w:t>
      </w:r>
    </w:p>
    <w:p>
      <w:pPr>
        <w:pStyle w:val="Heading1"/>
        <w:keepNext/>
      </w:pPr>
      <w:r>
        <w:t>9. Conflicts of Interest</w:t>
      </w:r>
    </w:p>
    <w:p>
      <w:r>
        <w:t>Employees must avoid situations where personal interests could improperly influence business decisions. Potential conflicts should be disclosed promptly.</w:t>
      </w:r>
    </w:p>
    <w:p>
      <w:pPr>
        <w:pStyle w:val="Heading1"/>
        <w:keepNext/>
      </w:pPr>
      <w:r>
        <w:t>10. Gifts and Entertainment</w:t>
      </w:r>
    </w:p>
    <w:p>
      <w:r>
        <w:t>Employees should not offer or accept gifts, entertainment, or other benefits that could improperly influence, or appear to influence, a business decision.</w:t>
      </w:r>
    </w:p>
    <w:p>
      <w:pPr>
        <w:pStyle w:val="Heading1"/>
        <w:keepNext/>
      </w:pPr>
      <w:r>
        <w:t>11. Bribery and Corruption</w:t>
      </w:r>
    </w:p>
    <w:p>
      <w:r>
        <w:t>NovaTech Solutions does not permit bribery, kickbacks, or other improper payments. Suspected bribery or corruption must be reported.</w:t>
      </w:r>
    </w:p>
    <w:p>
      <w:pPr>
        <w:pStyle w:val="Heading1"/>
        <w:keepNext/>
      </w:pPr>
      <w:r>
        <w:t>12. Company Assets</w:t>
      </w:r>
    </w:p>
    <w:p>
      <w:r>
        <w:t>Employees must use company property responsibly and take reasonable steps to protect company assets from loss, theft, damage, or misuse.</w:t>
      </w:r>
    </w:p>
    <w:p>
      <w:pPr>
        <w:pStyle w:val="Heading1"/>
        <w:keepNext/>
      </w:pPr>
      <w:r>
        <w:t>13. Business Records</w:t>
      </w:r>
    </w:p>
    <w:p>
      <w:r>
        <w:t>Employees must maintain accurate and complete business records and must not create false records or submit fraudulent expense claims.</w:t>
      </w:r>
    </w:p>
    <w:p>
      <w:pPr>
        <w:pStyle w:val="Heading1"/>
        <w:keepNext/>
      </w:pPr>
      <w:r>
        <w:t>14. Travel and Expenses</w:t>
      </w:r>
    </w:p>
    <w:p>
      <w:r>
        <w:t>Employees must submit accurate business travel and expense claims. Travel expenses must comply with the NovaTech Solutions Travel and Expense Policy.</w:t>
      </w:r>
    </w:p>
    <w:p>
      <w:pPr>
        <w:pStyle w:val="Heading1"/>
        <w:keepNext/>
      </w:pPr>
      <w:r>
        <w:t>15. Use of Company Technology</w:t>
      </w:r>
    </w:p>
    <w:p>
      <w:r>
        <w:t>Company technology must be used responsibly and in accordance with applicable IT policies.</w:t>
      </w:r>
    </w:p>
    <w:p>
      <w:pPr>
        <w:pStyle w:val="Heading1"/>
        <w:keepNext/>
      </w:pPr>
      <w:r>
        <w:t>16. Social Media and Public Communication</w:t>
      </w:r>
    </w:p>
    <w:p>
      <w:r>
        <w:t>Employees should use good judgment when referring to NovaTech Solutions on social media and must not disclose confidential company information.</w:t>
      </w:r>
    </w:p>
    <w:p>
      <w:pPr>
        <w:pStyle w:val="Heading1"/>
        <w:keepNext/>
      </w:pPr>
      <w:r>
        <w:t>17. External Employment and Business Activities</w:t>
      </w:r>
    </w:p>
    <w:p>
      <w:r>
        <w:t>Employees should ensure that outside employment or business activities do not create a conflict of interest or interfere with NovaTech Solutions responsibilities.</w:t>
      </w:r>
    </w:p>
    <w:p>
      <w:pPr>
        <w:pStyle w:val="Heading1"/>
        <w:keepNext/>
      </w:pPr>
      <w:r>
        <w:t>18. Health and Safety</w:t>
      </w:r>
    </w:p>
    <w:p>
      <w:r>
        <w:t>Employees are expected to follow workplace health and safety requirements and report unsafe conditions promptly.</w:t>
      </w:r>
    </w:p>
    <w:p>
      <w:pPr>
        <w:pStyle w:val="Heading1"/>
        <w:keepNext/>
      </w:pPr>
      <w:r>
        <w:t>19. Reporting Concerns</w:t>
      </w:r>
    </w:p>
    <w:p>
      <w:r>
        <w:t>Employees are encouraged to report suspected violations of law, company policy, or this Code through their manager, Human Resources, Compliance, or another available reporting channel.</w:t>
      </w:r>
    </w:p>
    <w:p>
      <w:pPr>
        <w:pStyle w:val="Heading1"/>
        <w:keepNext/>
      </w:pPr>
      <w:r>
        <w:t>20. Non-Retaliation</w:t>
      </w:r>
    </w:p>
    <w:p>
      <w:r>
        <w:t>NovaTech Solutions prohibits retaliation against an employee who raises a concern in good faith or participates in an authorized investigation.</w:t>
      </w:r>
    </w:p>
    <w:p>
      <w:pPr>
        <w:pStyle w:val="Heading1"/>
        <w:keepNext/>
      </w:pPr>
      <w:r>
        <w:t>21. Investigations</w:t>
      </w:r>
    </w:p>
    <w:p>
      <w:r>
        <w:t>Employees are expected to cooperate honestly with authorized company investigations.</w:t>
      </w:r>
    </w:p>
    <w:p>
      <w:pPr>
        <w:pStyle w:val="Heading1"/>
        <w:keepNext/>
      </w:pPr>
      <w:r>
        <w:t>22. Violations</w:t>
      </w:r>
    </w:p>
    <w:p>
      <w:r>
        <w:t>Violations of this Code of Conduct may result in corrective or disciplinary action, up to and including termination where appropriate.</w:t>
      </w:r>
    </w:p>
    <w:p>
      <w:pPr>
        <w:pStyle w:val="Heading1"/>
        <w:keepNext/>
      </w:pPr>
      <w:r>
        <w:t>23. Questions</w:t>
      </w:r>
    </w:p>
    <w:p>
      <w:r>
        <w:t>Employees should contact their manager, Human Resources, or Compliance if they need clarification regarding this Code of Conduct.</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Internal Sample Policy - Fictional Organization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NovaTech Solutions | Code of Conduct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