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5050"/>
          <w:sz w:val="28"/>
        </w:rPr>
        <w:t>NovaTech Solutions</w:t>
      </w:r>
    </w:p>
    <w:p>
      <w:pPr>
        <w:pStyle w:val="Title"/>
        <w:jc w:val="center"/>
      </w:pPr>
      <w:r>
        <w:t>Remote Work Policy</w:t>
      </w:r>
    </w:p>
    <w:tbl>
      <w:tblPr>
        <w:tblStyle w:val="TableGrid"/>
        <w:tblW w:type="auto" w:w="0"/>
        <w:jc w:val="center"/>
        <w:tblLook w:firstColumn="1" w:firstRow="1" w:lastColumn="0" w:lastRow="0" w:noHBand="0" w:noVBand="1" w:val="04A0"/>
      </w:tblPr>
      <w:tblGrid>
        <w:gridCol w:w="3216"/>
        <w:gridCol w:w="3216"/>
        <w:gridCol w:w="3216"/>
      </w:tblGrid>
      <w:tr>
        <w:tc>
          <w:tcPr>
            <w:tcW w:type="dxa" w:w="3216"/>
            <w:tcMar>
              <w:top w:w="100" w:type="dxa"/>
              <w:start w:w="120" w:type="dxa"/>
              <w:bottom w:w="100" w:type="dxa"/>
              <w:end w:w="120" w:type="dxa"/>
            </w:tcMar>
            <w:vAlign w:val="center"/>
            <w:shd w:fill="D9EAF7"/>
          </w:tcPr>
          <w:p>
            <w:pPr>
              <w:spacing w:after="0"/>
            </w:pPr>
            <w:r>
              <w:rPr>
                <w:rFonts w:ascii="Arial" w:hAnsi="Arial"/>
                <w:b/>
                <w:color w:val="1F4E78"/>
                <w:sz w:val="18"/>
              </w:rPr>
              <w:t>Document Version</w:t>
            </w:r>
          </w:p>
        </w:tc>
        <w:tc>
          <w:tcPr>
            <w:tcW w:type="dxa" w:w="3216"/>
            <w:tcMar>
              <w:top w:w="100" w:type="dxa"/>
              <w:start w:w="120" w:type="dxa"/>
              <w:bottom w:w="100" w:type="dxa"/>
              <w:end w:w="120" w:type="dxa"/>
            </w:tcMar>
            <w:vAlign w:val="center"/>
          </w:tcPr>
          <w:p>
            <w:pPr>
              <w:spacing w:after="0"/>
            </w:pPr>
            <w:r>
              <w:rPr>
                <w:rFonts w:ascii="Arial" w:hAnsi="Arial"/>
                <w:sz w:val="18"/>
              </w:rPr>
              <w:t>1.0</w:t>
            </w:r>
          </w:p>
        </w:tc>
        <w:tc>
          <w:tcPr>
            <w:tcW w:type="dxa" w:w="3216"/>
            <w:tcMar>
              <w:top w:w="100" w:type="dxa"/>
              <w:start w:w="120" w:type="dxa"/>
              <w:bottom w:w="100" w:type="dxa"/>
              <w:end w:w="120" w:type="dxa"/>
            </w:tcMar>
            <w:vAlign w:val="center"/>
            <w:shd w:fill="D9EAF7"/>
          </w:tcPr>
          <w:p>
            <w:pPr>
              <w:spacing w:after="0"/>
            </w:pPr>
            <w:r>
              <w:rPr>
                <w:rFonts w:ascii="Arial" w:hAnsi="Arial"/>
                <w:b/>
                <w:color w:val="1F4E78"/>
                <w:sz w:val="18"/>
              </w:rPr>
              <w:t>Effective Date</w:t>
            </w:r>
          </w:p>
        </w:tc>
      </w:tr>
      <w:tr>
        <w:tc>
          <w:tcPr>
            <w:tcW w:type="dxa" w:w="3216"/>
            <w:tcMar>
              <w:top w:w="100" w:type="dxa"/>
              <w:start w:w="120" w:type="dxa"/>
              <w:bottom w:w="100" w:type="dxa"/>
              <w:end w:w="120" w:type="dxa"/>
            </w:tcMar>
            <w:vAlign w:val="center"/>
            <w:shd w:fill="D9EAF7"/>
          </w:tcPr>
          <w:p>
            <w:pPr>
              <w:spacing w:after="0"/>
            </w:pPr>
            <w:r>
              <w:rPr>
                <w:rFonts w:ascii="Arial" w:hAnsi="Arial"/>
                <w:b/>
                <w:color w:val="1F4E78"/>
                <w:sz w:val="18"/>
              </w:rPr>
              <w:t>Policy Owner</w:t>
            </w:r>
          </w:p>
        </w:tc>
        <w:tc>
          <w:tcPr>
            <w:tcW w:type="dxa" w:w="3216"/>
            <w:tcMar>
              <w:top w:w="100" w:type="dxa"/>
              <w:start w:w="120" w:type="dxa"/>
              <w:bottom w:w="100" w:type="dxa"/>
              <w:end w:w="120" w:type="dxa"/>
            </w:tcMar>
            <w:vAlign w:val="center"/>
          </w:tcPr>
          <w:p>
            <w:pPr>
              <w:spacing w:after="0"/>
            </w:pPr>
            <w:r>
              <w:rPr>
                <w:rFonts w:ascii="Arial" w:hAnsi="Arial"/>
                <w:sz w:val="18"/>
              </w:rPr>
              <w:t>Human Resources and Information Technology</w:t>
            </w:r>
          </w:p>
        </w:tc>
        <w:tc>
          <w:tcPr>
            <w:tcW w:type="dxa" w:w="3216"/>
            <w:tcMar>
              <w:top w:w="100" w:type="dxa"/>
              <w:start w:w="120" w:type="dxa"/>
              <w:bottom w:w="100" w:type="dxa"/>
              <w:end w:w="120" w:type="dxa"/>
            </w:tcMar>
            <w:vAlign w:val="center"/>
          </w:tcPr>
          <w:p>
            <w:pPr>
              <w:spacing w:after="0"/>
            </w:pPr>
            <w:r>
              <w:rPr>
                <w:rFonts w:ascii="Arial" w:hAnsi="Arial"/>
                <w:sz w:val="18"/>
              </w:rPr>
              <w:t>January 1, 2026</w:t>
            </w:r>
          </w:p>
        </w:tc>
      </w:tr>
    </w:tbl>
    <w:p/>
    <w:p>
      <w:pPr>
        <w:pStyle w:val="Heading1"/>
        <w:keepNext/>
      </w:pPr>
      <w:r>
        <w:t>1. Purpose</w:t>
      </w:r>
    </w:p>
    <w:p>
      <w:r>
        <w:t>This policy defines the requirements and expectations for employees who are approved to work remotely for NovaTech Solutions.</w:t>
      </w:r>
    </w:p>
    <w:p>
      <w:pPr>
        <w:pStyle w:val="Heading1"/>
        <w:keepNext/>
      </w:pPr>
      <w:r>
        <w:t>2. Eligibility</w:t>
      </w:r>
    </w:p>
    <w:p>
      <w:r>
        <w:t>Remote work may be available to employees whose roles can be performed effectively outside a NovaTech Solutions office. Eligibility depends on role responsibilities, business requirements, performance expectations, manager approval, and information-security requirements. Remote work is not an automatic entitlement.</w:t>
      </w:r>
    </w:p>
    <w:p>
      <w:pPr>
        <w:pStyle w:val="Heading1"/>
        <w:keepNext/>
      </w:pPr>
      <w:r>
        <w:t>3. Approval</w:t>
      </w:r>
    </w:p>
    <w:p>
      <w:r>
        <w:t>Employees must obtain manager approval before beginning a regular remote-work arrangement.</w:t>
      </w:r>
    </w:p>
    <w:p>
      <w:pPr>
        <w:pStyle w:val="Heading1"/>
        <w:keepNext/>
      </w:pPr>
      <w:r>
        <w:t>4. Office Attendance</w:t>
      </w:r>
    </w:p>
    <w:p>
      <w:r>
        <w:t>Employees may be required to attend the office for team meetings, customer meetings, training, planning sessions, or other business activities.</w:t>
      </w:r>
    </w:p>
    <w:p>
      <w:pPr>
        <w:pStyle w:val="Heading1"/>
        <w:keepNext/>
      </w:pPr>
      <w:r>
        <w:t>5. Working Hours</w:t>
      </w:r>
    </w:p>
    <w:p>
      <w:r>
        <w:t>Employees working remotely are expected to remain available during agreed working hours. Remote work does not change the employee's normal responsibilities or performance expectations.</w:t>
      </w:r>
    </w:p>
    <w:p>
      <w:pPr>
        <w:pStyle w:val="Heading1"/>
        <w:keepNext/>
      </w:pPr>
      <w:r>
        <w:t>6. Work Environment</w:t>
      </w:r>
    </w:p>
    <w:p>
      <w:r>
        <w:t>Employees should maintain a safe and appropriate workspace and protect confidential company information from unauthorized individuals.</w:t>
      </w:r>
    </w:p>
    <w:p>
      <w:pPr>
        <w:pStyle w:val="Heading1"/>
        <w:keepNext/>
      </w:pPr>
      <w:r>
        <w:t>7. Internet Connectivity</w:t>
      </w:r>
    </w:p>
    <w:p>
      <w:r>
        <w:t>Eligible employees may claim up to INR 1,500 per month toward approved home-internet expenses. Claims must follow the company-approved reimbursement process. Unused monthly internet-reimbursement amounts cannot be carried forward.</w:t>
      </w:r>
    </w:p>
    <w:p>
      <w:pPr>
        <w:pStyle w:val="Heading1"/>
        <w:keepNext/>
      </w:pPr>
      <w:r>
        <w:t>8. Company Equipment</w:t>
      </w:r>
    </w:p>
    <w:p>
      <w:r>
        <w:t>NovaTech Solutions may provide approved equipment required for remote work, such as a laptop, power adapter, headset, and approved accessories. Company equipment remains company property.</w:t>
      </w:r>
    </w:p>
    <w:p>
      <w:pPr>
        <w:pStyle w:val="Heading1"/>
        <w:keepNext/>
      </w:pPr>
      <w:r>
        <w:t>9. Personal Equipment</w:t>
      </w:r>
    </w:p>
    <w:p>
      <w:r>
        <w:t>Personal devices must not be used to store confidential company information unless explicitly authorized.</w:t>
      </w:r>
    </w:p>
    <w:p>
      <w:pPr>
        <w:pStyle w:val="Heading1"/>
        <w:keepNext/>
      </w:pPr>
      <w:r>
        <w:t>10. Information Security</w:t>
      </w:r>
    </w:p>
    <w:p>
      <w:r>
        <w:t>All employees working remotely must comply with the NovaTech Solutions IT Security Policy. Confidential company information must not be shared with unauthorized individuals, stored in personal email accounts, or stored in personal cloud-storage services.</w:t>
      </w:r>
    </w:p>
    <w:p>
      <w:pPr>
        <w:pStyle w:val="Heading1"/>
        <w:keepNext/>
      </w:pPr>
      <w:r>
        <w:t>11. VPN and Remote Access</w:t>
      </w:r>
    </w:p>
    <w:p>
      <w:r>
        <w:t>Employees must use company-approved remote-access methods. A company VPN must be used whenever required by the relevant company system or Information Security team.</w:t>
      </w:r>
    </w:p>
    <w:p>
      <w:pPr>
        <w:pStyle w:val="Heading1"/>
        <w:keepNext/>
      </w:pPr>
      <w:r>
        <w:t>12. Public Wi-Fi</w:t>
      </w:r>
    </w:p>
    <w:p>
      <w:r>
        <w:t>Employees should avoid accessing sensitive company information over unsecured public Wi-Fi.</w:t>
      </w:r>
    </w:p>
    <w:p>
      <w:pPr>
        <w:pStyle w:val="Heading1"/>
        <w:keepNext/>
      </w:pPr>
      <w:r>
        <w:t>13. Confidential Discussions</w:t>
      </w:r>
    </w:p>
    <w:p>
      <w:r>
        <w:t>Employees should avoid discussing confidential or sensitive company information where unauthorized individuals may overhear the conversation.</w:t>
      </w:r>
    </w:p>
    <w:p>
      <w:pPr>
        <w:pStyle w:val="Heading1"/>
        <w:keepNext/>
      </w:pPr>
      <w:r>
        <w:t>14. Data and Document Handling</w:t>
      </w:r>
    </w:p>
    <w:p>
      <w:r>
        <w:t>Company documents should be stored only on company-approved systems. Employees must not transfer company files to personal storage locations for convenience.</w:t>
      </w:r>
    </w:p>
    <w:p>
      <w:pPr>
        <w:pStyle w:val="Heading1"/>
        <w:keepNext/>
      </w:pPr>
      <w:r>
        <w:t>15. Meetings and Communication</w:t>
      </w:r>
    </w:p>
    <w:p>
      <w:r>
        <w:t>Remote employees are expected to participate in required meetings and maintain appropriate communication with their manager and team.</w:t>
      </w:r>
    </w:p>
    <w:p>
      <w:pPr>
        <w:pStyle w:val="Heading1"/>
        <w:keepNext/>
      </w:pPr>
      <w:r>
        <w:t>16. Performance Expectations</w:t>
      </w:r>
    </w:p>
    <w:p>
      <w:r>
        <w:t>Employees working remotely are subject to the same performance standards as employees working from company offices.</w:t>
      </w:r>
    </w:p>
    <w:p>
      <w:pPr>
        <w:pStyle w:val="Heading1"/>
        <w:keepNext/>
      </w:pPr>
      <w:r>
        <w:t>17. Business Travel and Office Visits</w:t>
      </w:r>
    </w:p>
    <w:p>
      <w:r>
        <w:t>Travel to customer locations or other business locations is governed by the Travel and Expense Policy. Normal travel between home and the assigned office is considered commuting and is not normally reimbursable.</w:t>
      </w:r>
    </w:p>
    <w:p>
      <w:pPr>
        <w:pStyle w:val="Heading1"/>
        <w:keepNext/>
      </w:pPr>
      <w:r>
        <w:t>18. Working From Another Country</w:t>
      </w:r>
    </w:p>
    <w:p>
      <w:r>
        <w:t>Employees must not work remotely from another country without prior approval from Human Resources, their manager, and any other required company function.</w:t>
      </w:r>
    </w:p>
    <w:p>
      <w:pPr>
        <w:pStyle w:val="Heading1"/>
        <w:keepNext/>
      </w:pPr>
      <w:r>
        <w:t>19. Security Incidents</w:t>
      </w:r>
    </w:p>
    <w:p>
      <w:r>
        <w:t>Employees must report suspected security incidents promptly in accordance with the IT Security Policy.</w:t>
      </w:r>
    </w:p>
    <w:p>
      <w:pPr>
        <w:pStyle w:val="Heading1"/>
        <w:keepNext/>
      </w:pPr>
      <w:r>
        <w:t>20. Changes or Withdrawal of Remote Work</w:t>
      </w:r>
    </w:p>
    <w:p>
      <w:r>
        <w:t>NovaTech Solutions may modify, suspend, or withdraw a remote-work arrangement based on business needs, security concerns, policy compliance, or performance requirements.</w:t>
      </w:r>
    </w:p>
    <w:p>
      <w:pPr>
        <w:pStyle w:val="Heading1"/>
        <w:keepNext/>
      </w:pPr>
      <w:r>
        <w:t>21. Questions</w:t>
      </w:r>
    </w:p>
    <w:p>
      <w:r>
        <w:t>Employees should contact their manager or Human Resources for questions about remote-work eligibility or arrangements.</w:t>
      </w:r>
    </w:p>
    <w:sectPr w:rsidR="00FC693F" w:rsidRPr="0006063C" w:rsidSect="00034616">
      <w:headerReference w:type="default" r:id="rId9"/>
      <w:footerReference w:type="default" r:id="rId10"/>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Internal Sample Policy - Fictional Organization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NovaTech Solutions | Remote Work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2323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