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3 - Optimal Behavior, Emotions, and Relabeling Actors and Objects after Events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following lab, you will be largely using the 3 identities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Doctor, Nurse, and Patient.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EPA values for the characteristic emotions of Doctor, Nurse, and Patient and the closest measured term for each: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measured emotion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which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dimension (Evaluation, Potency, or Activity) do these characteristic emotions differ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this surprise you? 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of the possible dyads, find the 3 digit EPA profile for the optimal behavior to occur between the two and the closest measured behavior.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measured 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closest measured behavior to simulate the 6 optimally confirming events, and report the: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 and object emotions following the event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 and object labels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 and object next behaviors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Doctor _______ Nurse 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Doctor _______ Patient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Nurse _______ Doctor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Nurse _______ Patient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 _______ Doctor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 _______ Nurse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Closest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Questions: 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the predicted behaviors to occur within these healthcare dyads follow what you would expect? 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resulting emotions and behaviors of the identities have implications for healthcare interactions? 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