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4931" w14:textId="77777777" w:rsidR="0005375F" w:rsidRPr="0005375F" w:rsidRDefault="0005375F" w:rsidP="000537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375F">
        <w:rPr>
          <w:rFonts w:ascii="Times New Roman" w:eastAsia="Times New Roman" w:hAnsi="Times New Roman" w:cs="Times New Roman"/>
          <w:b/>
          <w:bCs/>
          <w:kern w:val="0"/>
          <w:sz w:val="36"/>
          <w:szCs w:val="36"/>
          <w14:ligatures w14:val="none"/>
        </w:rPr>
        <w:t>Pengertian "Infeksi yang Virulen" dalam Konteks PPI 3 (e)</w:t>
      </w:r>
    </w:p>
    <w:p w14:paraId="3EC4C89B" w14:textId="77777777" w:rsidR="0005375F" w:rsidRPr="0005375F" w:rsidRDefault="0005375F" w:rsidP="0005375F">
      <w:pPr>
        <w:spacing w:before="100" w:beforeAutospacing="1" w:after="100" w:afterAutospacing="1" w:line="240" w:lineRule="auto"/>
        <w:jc w:val="both"/>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Virulensi</w:t>
      </w:r>
      <w:r w:rsidRPr="0005375F">
        <w:rPr>
          <w:rFonts w:ascii="Times New Roman" w:eastAsia="Times New Roman" w:hAnsi="Times New Roman" w:cs="Times New Roman"/>
          <w:kern w:val="0"/>
          <w14:ligatures w14:val="none"/>
        </w:rPr>
        <w:t xml:space="preserve"> adalah kemampuan suatu mikroorganisme untuk menyebabkan penyakit yang berat, menyebar cepat, dan/atau sulit dikendalikan. "Infeksi yang virulen" merujuk pada infeksi yang disebabkan oleh patogen dengan daya rusak tinggi terhadap jaringan inang, kemampuan mengelak sistem imun, dan/atau potensi penyebaran luas di rumah sakit maupun komunitas.</w:t>
      </w:r>
    </w:p>
    <w:p w14:paraId="17ED6AE5" w14:textId="77777777" w:rsidR="0005375F" w:rsidRPr="0005375F" w:rsidRDefault="0005375F" w:rsidP="000537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375F">
        <w:rPr>
          <w:rFonts w:ascii="Times New Roman" w:eastAsia="Times New Roman" w:hAnsi="Times New Roman" w:cs="Times New Roman"/>
          <w:b/>
          <w:bCs/>
          <w:kern w:val="0"/>
          <w:sz w:val="27"/>
          <w:szCs w:val="27"/>
          <w14:ligatures w14:val="none"/>
        </w:rPr>
        <w:t>Komponen Virulensi yang Dimaksud</w:t>
      </w:r>
    </w:p>
    <w:p w14:paraId="0A2AA3E5"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Virulensi suatu patogen ditentukan oleh kombinasi faktor berikut:</w:t>
      </w:r>
    </w:p>
    <w:p w14:paraId="20DE2D5C"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1. Invasivitas</w:t>
      </w:r>
      <w:r w:rsidRPr="0005375F">
        <w:rPr>
          <w:rFonts w:ascii="Times New Roman" w:eastAsia="Times New Roman" w:hAnsi="Times New Roman" w:cs="Times New Roman"/>
          <w:kern w:val="0"/>
          <w14:ligatures w14:val="none"/>
        </w:rPr>
        <w:t xml:space="preserve"> — kemampuan menembus jaringan dan menyebar ke organ lain (contoh: </w:t>
      </w:r>
      <w:r w:rsidRPr="0005375F">
        <w:rPr>
          <w:rFonts w:ascii="Times New Roman" w:eastAsia="Times New Roman" w:hAnsi="Times New Roman" w:cs="Times New Roman"/>
          <w:i/>
          <w:iCs/>
          <w:kern w:val="0"/>
          <w14:ligatures w14:val="none"/>
        </w:rPr>
        <w:t>Streptococcus pyogenes</w:t>
      </w:r>
      <w:r w:rsidRPr="0005375F">
        <w:rPr>
          <w:rFonts w:ascii="Times New Roman" w:eastAsia="Times New Roman" w:hAnsi="Times New Roman" w:cs="Times New Roman"/>
          <w:kern w:val="0"/>
          <w14:ligatures w14:val="none"/>
        </w:rPr>
        <w:t xml:space="preserve"> grup A penyebab fasciitis nekrotikans)</w:t>
      </w:r>
    </w:p>
    <w:p w14:paraId="067ED97F"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2. Toksigenisitas</w:t>
      </w:r>
      <w:r w:rsidRPr="0005375F">
        <w:rPr>
          <w:rFonts w:ascii="Times New Roman" w:eastAsia="Times New Roman" w:hAnsi="Times New Roman" w:cs="Times New Roman"/>
          <w:kern w:val="0"/>
          <w14:ligatures w14:val="none"/>
        </w:rPr>
        <w:t xml:space="preserve"> — kemampuan memproduksi toksin yang merusak sel/organ:</w:t>
      </w:r>
    </w:p>
    <w:p w14:paraId="4B6AA405" w14:textId="77777777" w:rsidR="0005375F" w:rsidRPr="0005375F" w:rsidRDefault="0005375F" w:rsidP="000537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 xml:space="preserve">Eksotoksin: </w:t>
      </w:r>
      <w:r w:rsidRPr="0005375F">
        <w:rPr>
          <w:rFonts w:ascii="Times New Roman" w:eastAsia="Times New Roman" w:hAnsi="Times New Roman" w:cs="Times New Roman"/>
          <w:i/>
          <w:iCs/>
          <w:kern w:val="0"/>
          <w14:ligatures w14:val="none"/>
        </w:rPr>
        <w:t>Clostridium difficile</w:t>
      </w:r>
      <w:r w:rsidRPr="0005375F">
        <w:rPr>
          <w:rFonts w:ascii="Times New Roman" w:eastAsia="Times New Roman" w:hAnsi="Times New Roman" w:cs="Times New Roman"/>
          <w:kern w:val="0"/>
          <w14:ligatures w14:val="none"/>
        </w:rPr>
        <w:t xml:space="preserve"> (toksin A &amp; B), </w:t>
      </w:r>
      <w:r w:rsidRPr="0005375F">
        <w:rPr>
          <w:rFonts w:ascii="Times New Roman" w:eastAsia="Times New Roman" w:hAnsi="Times New Roman" w:cs="Times New Roman"/>
          <w:i/>
          <w:iCs/>
          <w:kern w:val="0"/>
          <w14:ligatures w14:val="none"/>
        </w:rPr>
        <w:t>Staphylococcus aureus</w:t>
      </w:r>
      <w:r w:rsidRPr="0005375F">
        <w:rPr>
          <w:rFonts w:ascii="Times New Roman" w:eastAsia="Times New Roman" w:hAnsi="Times New Roman" w:cs="Times New Roman"/>
          <w:kern w:val="0"/>
          <w14:ligatures w14:val="none"/>
        </w:rPr>
        <w:t xml:space="preserve"> (TSST-1)</w:t>
      </w:r>
    </w:p>
    <w:p w14:paraId="55232736" w14:textId="77777777" w:rsidR="0005375F" w:rsidRPr="0005375F" w:rsidRDefault="0005375F" w:rsidP="000537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Endotoksin: bakteri gram-negatif → sepsis berat</w:t>
      </w:r>
    </w:p>
    <w:p w14:paraId="40A422D3"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3. Kemampuan mengelak sistem imun</w:t>
      </w:r>
      <w:r w:rsidRPr="0005375F">
        <w:rPr>
          <w:rFonts w:ascii="Times New Roman" w:eastAsia="Times New Roman" w:hAnsi="Times New Roman" w:cs="Times New Roman"/>
          <w:kern w:val="0"/>
          <w14:ligatures w14:val="none"/>
        </w:rPr>
        <w:t xml:space="preserve"> — misalnya kapsul polisakarida (</w:t>
      </w:r>
      <w:r w:rsidRPr="0005375F">
        <w:rPr>
          <w:rFonts w:ascii="Times New Roman" w:eastAsia="Times New Roman" w:hAnsi="Times New Roman" w:cs="Times New Roman"/>
          <w:i/>
          <w:iCs/>
          <w:kern w:val="0"/>
          <w14:ligatures w14:val="none"/>
        </w:rPr>
        <w:t>Klebsiella pneumoniae</w:t>
      </w:r>
      <w:r w:rsidRPr="0005375F">
        <w:rPr>
          <w:rFonts w:ascii="Times New Roman" w:eastAsia="Times New Roman" w:hAnsi="Times New Roman" w:cs="Times New Roman"/>
          <w:kern w:val="0"/>
          <w14:ligatures w14:val="none"/>
        </w:rPr>
        <w:t xml:space="preserve">, </w:t>
      </w:r>
      <w:r w:rsidRPr="0005375F">
        <w:rPr>
          <w:rFonts w:ascii="Times New Roman" w:eastAsia="Times New Roman" w:hAnsi="Times New Roman" w:cs="Times New Roman"/>
          <w:i/>
          <w:iCs/>
          <w:kern w:val="0"/>
          <w14:ligatures w14:val="none"/>
        </w:rPr>
        <w:t>Streptococcus pneumoniae</w:t>
      </w:r>
      <w:r w:rsidRPr="0005375F">
        <w:rPr>
          <w:rFonts w:ascii="Times New Roman" w:eastAsia="Times New Roman" w:hAnsi="Times New Roman" w:cs="Times New Roman"/>
          <w:kern w:val="0"/>
          <w14:ligatures w14:val="none"/>
        </w:rPr>
        <w:t>), biofilm (</w:t>
      </w:r>
      <w:r w:rsidRPr="0005375F">
        <w:rPr>
          <w:rFonts w:ascii="Times New Roman" w:eastAsia="Times New Roman" w:hAnsi="Times New Roman" w:cs="Times New Roman"/>
          <w:i/>
          <w:iCs/>
          <w:kern w:val="0"/>
          <w14:ligatures w14:val="none"/>
        </w:rPr>
        <w:t>Pseudomonas aeruginosa</w:t>
      </w:r>
      <w:r w:rsidRPr="0005375F">
        <w:rPr>
          <w:rFonts w:ascii="Times New Roman" w:eastAsia="Times New Roman" w:hAnsi="Times New Roman" w:cs="Times New Roman"/>
          <w:kern w:val="0"/>
          <w14:ligatures w14:val="none"/>
        </w:rPr>
        <w:t>)</w:t>
      </w:r>
    </w:p>
    <w:p w14:paraId="73D8DB2E"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4. Dosis infeksi rendah</w:t>
      </w:r>
      <w:r w:rsidRPr="0005375F">
        <w:rPr>
          <w:rFonts w:ascii="Times New Roman" w:eastAsia="Times New Roman" w:hAnsi="Times New Roman" w:cs="Times New Roman"/>
          <w:kern w:val="0"/>
          <w14:ligatures w14:val="none"/>
        </w:rPr>
        <w:t xml:space="preserve"> — cukup sedikit organisme untuk menimbulkan infeksi berat (contoh: </w:t>
      </w:r>
      <w:r w:rsidRPr="0005375F">
        <w:rPr>
          <w:rFonts w:ascii="Times New Roman" w:eastAsia="Times New Roman" w:hAnsi="Times New Roman" w:cs="Times New Roman"/>
          <w:i/>
          <w:iCs/>
          <w:kern w:val="0"/>
          <w14:ligatures w14:val="none"/>
        </w:rPr>
        <w:t>Clostridioides difficile</w:t>
      </w:r>
      <w:r w:rsidRPr="0005375F">
        <w:rPr>
          <w:rFonts w:ascii="Times New Roman" w:eastAsia="Times New Roman" w:hAnsi="Times New Roman" w:cs="Times New Roman"/>
          <w:kern w:val="0"/>
          <w14:ligatures w14:val="none"/>
        </w:rPr>
        <w:t>, norovirus)</w:t>
      </w:r>
    </w:p>
    <w:p w14:paraId="615D6E71"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5. Case Fatality Rate (CFR) tinggi</w:t>
      </w:r>
      <w:r w:rsidRPr="0005375F">
        <w:rPr>
          <w:rFonts w:ascii="Times New Roman" w:eastAsia="Times New Roman" w:hAnsi="Times New Roman" w:cs="Times New Roman"/>
          <w:kern w:val="0"/>
          <w14:ligatures w14:val="none"/>
        </w:rPr>
        <w:t xml:space="preserve"> — angka kematian bermakna bila tidak ditangani segera</w:t>
      </w:r>
    </w:p>
    <w:p w14:paraId="624A1F95" w14:textId="77777777" w:rsidR="0005375F" w:rsidRPr="0005375F" w:rsidRDefault="0005375F" w:rsidP="000537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375F">
        <w:rPr>
          <w:rFonts w:ascii="Times New Roman" w:eastAsia="Times New Roman" w:hAnsi="Times New Roman" w:cs="Times New Roman"/>
          <w:b/>
          <w:bCs/>
          <w:kern w:val="0"/>
          <w:sz w:val="27"/>
          <w:szCs w:val="27"/>
          <w14:ligatures w14:val="none"/>
        </w:rPr>
        <w:t>Contoh Konkret "Infeksi Virulen" yang Dipantau dalam Surveilens PPI</w:t>
      </w:r>
    </w:p>
    <w:tbl>
      <w:tblPr>
        <w:tblStyle w:val="TableGrid"/>
        <w:tblW w:w="0" w:type="auto"/>
        <w:tblLook w:val="04A0" w:firstRow="1" w:lastRow="0" w:firstColumn="1" w:lastColumn="0" w:noHBand="0" w:noVBand="1"/>
      </w:tblPr>
      <w:tblGrid>
        <w:gridCol w:w="2891"/>
        <w:gridCol w:w="4955"/>
        <w:gridCol w:w="2484"/>
      </w:tblGrid>
      <w:tr w:rsidR="0005375F" w:rsidRPr="0005375F" w14:paraId="33C8AED3" w14:textId="77777777" w:rsidTr="0005375F">
        <w:trPr>
          <w:trHeight w:val="397"/>
        </w:trPr>
        <w:tc>
          <w:tcPr>
            <w:tcW w:w="0" w:type="auto"/>
            <w:hideMark/>
          </w:tcPr>
          <w:p w14:paraId="50AA705E"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Patogen/Kondisi</w:t>
            </w:r>
          </w:p>
        </w:tc>
        <w:tc>
          <w:tcPr>
            <w:tcW w:w="0" w:type="auto"/>
            <w:hideMark/>
          </w:tcPr>
          <w:p w14:paraId="35A5ACCD"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Mengapa Dikatakan Virulen</w:t>
            </w:r>
          </w:p>
        </w:tc>
        <w:tc>
          <w:tcPr>
            <w:tcW w:w="0" w:type="auto"/>
            <w:hideMark/>
          </w:tcPr>
          <w:p w14:paraId="2FE30878"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Relevansi di RS</w:t>
            </w:r>
          </w:p>
        </w:tc>
      </w:tr>
      <w:tr w:rsidR="0005375F" w:rsidRPr="0005375F" w14:paraId="6C4A925D" w14:textId="77777777" w:rsidTr="0005375F">
        <w:tc>
          <w:tcPr>
            <w:tcW w:w="0" w:type="auto"/>
            <w:hideMark/>
          </w:tcPr>
          <w:p w14:paraId="34E79637"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Clostridioides difficile (CDI)</w:t>
            </w:r>
          </w:p>
        </w:tc>
        <w:tc>
          <w:tcPr>
            <w:tcW w:w="0" w:type="auto"/>
            <w:hideMark/>
          </w:tcPr>
          <w:p w14:paraId="337A9359"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Toksin A&amp;B merusak mukosa kolon; spora tahan desinfektan biasa; rekurensi tinggi</w:t>
            </w:r>
          </w:p>
        </w:tc>
        <w:tc>
          <w:tcPr>
            <w:tcW w:w="0" w:type="auto"/>
            <w:hideMark/>
          </w:tcPr>
          <w:p w14:paraId="00738F3C"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HAI terkait penggunaan antibiotik</w:t>
            </w:r>
          </w:p>
        </w:tc>
      </w:tr>
      <w:tr w:rsidR="0005375F" w:rsidRPr="0005375F" w14:paraId="0508CDEF" w14:textId="77777777" w:rsidTr="0005375F">
        <w:tc>
          <w:tcPr>
            <w:tcW w:w="0" w:type="auto"/>
            <w:hideMark/>
          </w:tcPr>
          <w:p w14:paraId="03DDE204"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Staphylococcus aureus</w:t>
            </w:r>
            <w:r w:rsidRPr="0005375F">
              <w:rPr>
                <w:rFonts w:ascii="Times New Roman" w:eastAsia="Times New Roman" w:hAnsi="Times New Roman" w:cs="Times New Roman"/>
                <w:kern w:val="0"/>
                <w14:ligatures w14:val="none"/>
              </w:rPr>
              <w:t xml:space="preserve"> (termasuk MRSA)</w:t>
            </w:r>
          </w:p>
        </w:tc>
        <w:tc>
          <w:tcPr>
            <w:tcW w:w="0" w:type="auto"/>
            <w:hideMark/>
          </w:tcPr>
          <w:p w14:paraId="7234656D"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TSST-1, leukotoksin PVL; abses invasif; endokarditis; sepsis</w:t>
            </w:r>
          </w:p>
        </w:tc>
        <w:tc>
          <w:tcPr>
            <w:tcW w:w="0" w:type="auto"/>
            <w:hideMark/>
          </w:tcPr>
          <w:p w14:paraId="5F240CB8"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MDRO sekaligus virulen</w:t>
            </w:r>
          </w:p>
        </w:tc>
      </w:tr>
      <w:tr w:rsidR="0005375F" w:rsidRPr="0005375F" w14:paraId="6A997265" w14:textId="77777777" w:rsidTr="0005375F">
        <w:tc>
          <w:tcPr>
            <w:tcW w:w="0" w:type="auto"/>
            <w:hideMark/>
          </w:tcPr>
          <w:p w14:paraId="3DD0EA32"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Klebsiella pneumoniae</w:t>
            </w:r>
            <w:r w:rsidRPr="0005375F">
              <w:rPr>
                <w:rFonts w:ascii="Times New Roman" w:eastAsia="Times New Roman" w:hAnsi="Times New Roman" w:cs="Times New Roman"/>
                <w:kern w:val="0"/>
                <w14:ligatures w14:val="none"/>
              </w:rPr>
              <w:t xml:space="preserve"> hiper-virulen (hvKP)</w:t>
            </w:r>
          </w:p>
        </w:tc>
        <w:tc>
          <w:tcPr>
            <w:tcW w:w="0" w:type="auto"/>
            <w:hideMark/>
          </w:tcPr>
          <w:p w14:paraId="12B545A0"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Hipermukoid; produksi siderophor tinggi; menyerang orang imunokompeten; metastatic infection</w:t>
            </w:r>
          </w:p>
        </w:tc>
        <w:tc>
          <w:tcPr>
            <w:tcW w:w="0" w:type="auto"/>
            <w:hideMark/>
          </w:tcPr>
          <w:p w14:paraId="4F3CCD36"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Berbeda dari Klebsiella biasa</w:t>
            </w:r>
          </w:p>
        </w:tc>
      </w:tr>
      <w:tr w:rsidR="0005375F" w:rsidRPr="0005375F" w14:paraId="21227855" w14:textId="77777777" w:rsidTr="0005375F">
        <w:tc>
          <w:tcPr>
            <w:tcW w:w="0" w:type="auto"/>
            <w:hideMark/>
          </w:tcPr>
          <w:p w14:paraId="1BC68E78"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Streptococcus pyogenes</w:t>
            </w:r>
            <w:r w:rsidRPr="0005375F">
              <w:rPr>
                <w:rFonts w:ascii="Times New Roman" w:eastAsia="Times New Roman" w:hAnsi="Times New Roman" w:cs="Times New Roman"/>
                <w:kern w:val="0"/>
                <w14:ligatures w14:val="none"/>
              </w:rPr>
              <w:t xml:space="preserve"> grup A</w:t>
            </w:r>
          </w:p>
        </w:tc>
        <w:tc>
          <w:tcPr>
            <w:tcW w:w="0" w:type="auto"/>
            <w:hideMark/>
          </w:tcPr>
          <w:p w14:paraId="2B545C26"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Fasciitis nekrotikans; toxic shock syndrome; penyebaran cepat</w:t>
            </w:r>
          </w:p>
        </w:tc>
        <w:tc>
          <w:tcPr>
            <w:tcW w:w="0" w:type="auto"/>
            <w:hideMark/>
          </w:tcPr>
          <w:p w14:paraId="5E5FED61"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KLB nosokomial pascaoperasi</w:t>
            </w:r>
          </w:p>
        </w:tc>
      </w:tr>
      <w:tr w:rsidR="0005375F" w:rsidRPr="0005375F" w14:paraId="2E7D9694" w14:textId="77777777" w:rsidTr="0005375F">
        <w:tc>
          <w:tcPr>
            <w:tcW w:w="0" w:type="auto"/>
            <w:hideMark/>
          </w:tcPr>
          <w:p w14:paraId="426F2367"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Candida auris</w:t>
            </w:r>
          </w:p>
        </w:tc>
        <w:tc>
          <w:tcPr>
            <w:tcW w:w="0" w:type="auto"/>
            <w:hideMark/>
          </w:tcPr>
          <w:p w14:paraId="3CAE0E0B"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Resistensi multi-antijamur; bertahan lama di lingkungan; angka kematian 30-60%</w:t>
            </w:r>
          </w:p>
        </w:tc>
        <w:tc>
          <w:tcPr>
            <w:tcW w:w="0" w:type="auto"/>
            <w:hideMark/>
          </w:tcPr>
          <w:p w14:paraId="7C5D9DD9"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Emerging, sulit dieradikasi di RS</w:t>
            </w:r>
          </w:p>
        </w:tc>
      </w:tr>
      <w:tr w:rsidR="0005375F" w:rsidRPr="0005375F" w14:paraId="2D871B51" w14:textId="77777777" w:rsidTr="0005375F">
        <w:tc>
          <w:tcPr>
            <w:tcW w:w="0" w:type="auto"/>
            <w:hideMark/>
          </w:tcPr>
          <w:p w14:paraId="23067246"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lastRenderedPageBreak/>
              <w:t>Virus Influenza</w:t>
            </w:r>
            <w:r w:rsidRPr="0005375F">
              <w:rPr>
                <w:rFonts w:ascii="Times New Roman" w:eastAsia="Times New Roman" w:hAnsi="Times New Roman" w:cs="Times New Roman"/>
                <w:kern w:val="0"/>
                <w14:ligatures w14:val="none"/>
              </w:rPr>
              <w:t xml:space="preserve"> (terutama novel strain)</w:t>
            </w:r>
          </w:p>
        </w:tc>
        <w:tc>
          <w:tcPr>
            <w:tcW w:w="0" w:type="auto"/>
            <w:hideMark/>
          </w:tcPr>
          <w:p w14:paraId="495ABE59"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Airborne; CFR tinggi pada kelompok rentan; potensi pandemi</w:t>
            </w:r>
          </w:p>
        </w:tc>
        <w:tc>
          <w:tcPr>
            <w:tcW w:w="0" w:type="auto"/>
            <w:hideMark/>
          </w:tcPr>
          <w:p w14:paraId="39452AC8"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Tumpang tindih dengan Emerging Disease</w:t>
            </w:r>
          </w:p>
        </w:tc>
      </w:tr>
      <w:tr w:rsidR="0005375F" w:rsidRPr="0005375F" w14:paraId="3767B1F6" w14:textId="77777777" w:rsidTr="0005375F">
        <w:tc>
          <w:tcPr>
            <w:tcW w:w="0" w:type="auto"/>
            <w:hideMark/>
          </w:tcPr>
          <w:p w14:paraId="332FB20A"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SARS-CoV-2 / varian baru</w:t>
            </w:r>
          </w:p>
        </w:tc>
        <w:tc>
          <w:tcPr>
            <w:tcW w:w="0" w:type="auto"/>
            <w:hideMark/>
          </w:tcPr>
          <w:p w14:paraId="47CE0BA4"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Transmisibilitas + severity tinggi</w:t>
            </w:r>
          </w:p>
        </w:tc>
        <w:tc>
          <w:tcPr>
            <w:tcW w:w="0" w:type="auto"/>
            <w:hideMark/>
          </w:tcPr>
          <w:p w14:paraId="46A15C88"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Tumpang tindih poin (e) dan (f)</w:t>
            </w:r>
          </w:p>
        </w:tc>
      </w:tr>
      <w:tr w:rsidR="0005375F" w:rsidRPr="0005375F" w14:paraId="33767FF9" w14:textId="77777777" w:rsidTr="0005375F">
        <w:tc>
          <w:tcPr>
            <w:tcW w:w="0" w:type="auto"/>
            <w:hideMark/>
          </w:tcPr>
          <w:p w14:paraId="2022FB11"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Measles (Campak)</w:t>
            </w:r>
          </w:p>
        </w:tc>
        <w:tc>
          <w:tcPr>
            <w:tcW w:w="0" w:type="auto"/>
            <w:hideMark/>
          </w:tcPr>
          <w:p w14:paraId="790686B3"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R₀ 12-18; sangat menular; komplikasi berat pada immunocompromised</w:t>
            </w:r>
          </w:p>
        </w:tc>
        <w:tc>
          <w:tcPr>
            <w:tcW w:w="0" w:type="auto"/>
            <w:hideMark/>
          </w:tcPr>
          <w:p w14:paraId="0A6A84D4"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Dapat menyebar di RS bila tidak tervaksin</w:t>
            </w:r>
          </w:p>
        </w:tc>
      </w:tr>
    </w:tbl>
    <w:p w14:paraId="64184DD2" w14:textId="05B78904" w:rsidR="0005375F" w:rsidRPr="0005375F" w:rsidRDefault="0005375F" w:rsidP="0005375F">
      <w:pPr>
        <w:spacing w:after="0" w:line="240" w:lineRule="auto"/>
        <w:rPr>
          <w:rFonts w:ascii="Times New Roman" w:eastAsia="Times New Roman" w:hAnsi="Times New Roman" w:cs="Times New Roman"/>
          <w:kern w:val="0"/>
          <w14:ligatures w14:val="none"/>
        </w:rPr>
      </w:pPr>
    </w:p>
    <w:p w14:paraId="136E4D61" w14:textId="77777777" w:rsidR="0005375F" w:rsidRPr="0005375F" w:rsidRDefault="0005375F" w:rsidP="000537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375F">
        <w:rPr>
          <w:rFonts w:ascii="Times New Roman" w:eastAsia="Times New Roman" w:hAnsi="Times New Roman" w:cs="Times New Roman"/>
          <w:b/>
          <w:bCs/>
          <w:kern w:val="0"/>
          <w:sz w:val="27"/>
          <w:szCs w:val="27"/>
          <w14:ligatures w14:val="none"/>
        </w:rPr>
        <w:t>Perbedaan MDRO vs Infeksi Virulen dalam Poin (e)</w:t>
      </w:r>
    </w:p>
    <w:p w14:paraId="099B3EC9"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 xml:space="preserve">Penting dipahami bahwa keduanya </w:t>
      </w:r>
      <w:r w:rsidRPr="0005375F">
        <w:rPr>
          <w:rFonts w:ascii="Times New Roman" w:eastAsia="Times New Roman" w:hAnsi="Times New Roman" w:cs="Times New Roman"/>
          <w:b/>
          <w:bCs/>
          <w:kern w:val="0"/>
          <w14:ligatures w14:val="none"/>
        </w:rPr>
        <w:t>berbeda namun dapat tumpang tindih:</w:t>
      </w:r>
    </w:p>
    <w:tbl>
      <w:tblPr>
        <w:tblStyle w:val="TableGrid"/>
        <w:tblW w:w="0" w:type="auto"/>
        <w:tblLook w:val="04A0" w:firstRow="1" w:lastRow="0" w:firstColumn="1" w:lastColumn="0" w:noHBand="0" w:noVBand="1"/>
      </w:tblPr>
      <w:tblGrid>
        <w:gridCol w:w="2014"/>
        <w:gridCol w:w="3898"/>
        <w:gridCol w:w="4418"/>
      </w:tblGrid>
      <w:tr w:rsidR="0005375F" w:rsidRPr="0005375F" w14:paraId="470D95C0" w14:textId="77777777" w:rsidTr="0005375F">
        <w:trPr>
          <w:trHeight w:val="397"/>
        </w:trPr>
        <w:tc>
          <w:tcPr>
            <w:tcW w:w="0" w:type="auto"/>
            <w:vAlign w:val="center"/>
            <w:hideMark/>
          </w:tcPr>
          <w:p w14:paraId="23C44F82"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Aspek</w:t>
            </w:r>
          </w:p>
        </w:tc>
        <w:tc>
          <w:tcPr>
            <w:tcW w:w="0" w:type="auto"/>
            <w:vAlign w:val="center"/>
            <w:hideMark/>
          </w:tcPr>
          <w:p w14:paraId="3D2AE154"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MDRO</w:t>
            </w:r>
          </w:p>
        </w:tc>
        <w:tc>
          <w:tcPr>
            <w:tcW w:w="0" w:type="auto"/>
            <w:vAlign w:val="center"/>
            <w:hideMark/>
          </w:tcPr>
          <w:p w14:paraId="311328B6" w14:textId="77777777" w:rsidR="0005375F" w:rsidRPr="0005375F" w:rsidRDefault="0005375F" w:rsidP="0005375F">
            <w:pPr>
              <w:jc w:val="center"/>
              <w:rPr>
                <w:rFonts w:ascii="Times New Roman" w:eastAsia="Times New Roman" w:hAnsi="Times New Roman" w:cs="Times New Roman"/>
                <w:b/>
                <w:bCs/>
                <w:kern w:val="0"/>
                <w14:ligatures w14:val="none"/>
              </w:rPr>
            </w:pPr>
            <w:r w:rsidRPr="0005375F">
              <w:rPr>
                <w:rFonts w:ascii="Times New Roman" w:eastAsia="Times New Roman" w:hAnsi="Times New Roman" w:cs="Times New Roman"/>
                <w:b/>
                <w:bCs/>
                <w:kern w:val="0"/>
                <w14:ligatures w14:val="none"/>
              </w:rPr>
              <w:t>Infeksi Virulen</w:t>
            </w:r>
          </w:p>
        </w:tc>
      </w:tr>
      <w:tr w:rsidR="0005375F" w:rsidRPr="0005375F" w14:paraId="4781920D" w14:textId="77777777" w:rsidTr="0005375F">
        <w:tc>
          <w:tcPr>
            <w:tcW w:w="0" w:type="auto"/>
            <w:hideMark/>
          </w:tcPr>
          <w:p w14:paraId="6F36B319"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Definisi utama</w:t>
            </w:r>
          </w:p>
        </w:tc>
        <w:tc>
          <w:tcPr>
            <w:tcW w:w="0" w:type="auto"/>
            <w:hideMark/>
          </w:tcPr>
          <w:p w14:paraId="2081C9CF"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Resistensi terhadap ≥3 kelas antibiotik</w:t>
            </w:r>
          </w:p>
        </w:tc>
        <w:tc>
          <w:tcPr>
            <w:tcW w:w="0" w:type="auto"/>
            <w:hideMark/>
          </w:tcPr>
          <w:p w14:paraId="2E27CA1D"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Daya rusak/penyebaran tinggi pada inang</w:t>
            </w:r>
          </w:p>
        </w:tc>
      </w:tr>
      <w:tr w:rsidR="0005375F" w:rsidRPr="0005375F" w14:paraId="1256FCA3" w14:textId="77777777" w:rsidTr="0005375F">
        <w:tc>
          <w:tcPr>
            <w:tcW w:w="0" w:type="auto"/>
            <w:hideMark/>
          </w:tcPr>
          <w:p w14:paraId="50CCDC8E"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Contoh "murni"</w:t>
            </w:r>
          </w:p>
        </w:tc>
        <w:tc>
          <w:tcPr>
            <w:tcW w:w="0" w:type="auto"/>
            <w:hideMark/>
          </w:tcPr>
          <w:p w14:paraId="5E3619A3"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ESBL, CRE, VRE</w:t>
            </w:r>
          </w:p>
        </w:tc>
        <w:tc>
          <w:tcPr>
            <w:tcW w:w="0" w:type="auto"/>
            <w:hideMark/>
          </w:tcPr>
          <w:p w14:paraId="5C826B30"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i/>
                <w:iCs/>
                <w:kern w:val="0"/>
                <w14:ligatures w14:val="none"/>
              </w:rPr>
              <w:t>S. pyogenes</w:t>
            </w:r>
            <w:r w:rsidRPr="0005375F">
              <w:rPr>
                <w:rFonts w:ascii="Times New Roman" w:eastAsia="Times New Roman" w:hAnsi="Times New Roman" w:cs="Times New Roman"/>
                <w:kern w:val="0"/>
                <w14:ligatures w14:val="none"/>
              </w:rPr>
              <w:t xml:space="preserve"> grup A, CDI, hvKP</w:t>
            </w:r>
          </w:p>
        </w:tc>
      </w:tr>
      <w:tr w:rsidR="0005375F" w:rsidRPr="0005375F" w14:paraId="7DDA4110" w14:textId="77777777" w:rsidTr="0005375F">
        <w:tc>
          <w:tcPr>
            <w:tcW w:w="0" w:type="auto"/>
            <w:hideMark/>
          </w:tcPr>
          <w:p w14:paraId="2E26B7C8"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Tumpang tindih</w:t>
            </w:r>
          </w:p>
        </w:tc>
        <w:tc>
          <w:tcPr>
            <w:tcW w:w="0" w:type="auto"/>
            <w:hideMark/>
          </w:tcPr>
          <w:p w14:paraId="1E6540D6"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MRSA, CRKP virulen</w:t>
            </w:r>
          </w:p>
        </w:tc>
        <w:tc>
          <w:tcPr>
            <w:tcW w:w="0" w:type="auto"/>
            <w:hideMark/>
          </w:tcPr>
          <w:p w14:paraId="2D7508AB"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MRSA (resisten sekaligus menghasilkan toksin)</w:t>
            </w:r>
          </w:p>
        </w:tc>
      </w:tr>
      <w:tr w:rsidR="0005375F" w:rsidRPr="0005375F" w14:paraId="173D5970" w14:textId="77777777" w:rsidTr="0005375F">
        <w:tc>
          <w:tcPr>
            <w:tcW w:w="0" w:type="auto"/>
            <w:hideMark/>
          </w:tcPr>
          <w:p w14:paraId="38FF04D0"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Fokus pengendalian</w:t>
            </w:r>
          </w:p>
        </w:tc>
        <w:tc>
          <w:tcPr>
            <w:tcW w:w="0" w:type="auto"/>
            <w:hideMark/>
          </w:tcPr>
          <w:p w14:paraId="2A687F19"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Stewardship antibiotik, kewaspadaan kontak</w:t>
            </w:r>
          </w:p>
        </w:tc>
        <w:tc>
          <w:tcPr>
            <w:tcW w:w="0" w:type="auto"/>
            <w:hideMark/>
          </w:tcPr>
          <w:p w14:paraId="05E0AC44" w14:textId="77777777" w:rsidR="0005375F" w:rsidRPr="0005375F" w:rsidRDefault="0005375F" w:rsidP="0005375F">
            <w:pPr>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Isolasi, kewaspadaan transmisi, outbreak response</w:t>
            </w:r>
          </w:p>
        </w:tc>
      </w:tr>
    </w:tbl>
    <w:p w14:paraId="279CE206" w14:textId="29F211A1" w:rsidR="0005375F" w:rsidRPr="0005375F" w:rsidRDefault="0005375F" w:rsidP="0005375F">
      <w:pPr>
        <w:spacing w:after="0" w:line="240" w:lineRule="auto"/>
        <w:rPr>
          <w:rFonts w:ascii="Times New Roman" w:eastAsia="Times New Roman" w:hAnsi="Times New Roman" w:cs="Times New Roman"/>
          <w:kern w:val="0"/>
          <w14:ligatures w14:val="none"/>
        </w:rPr>
      </w:pPr>
    </w:p>
    <w:p w14:paraId="4897CCD5" w14:textId="77777777" w:rsidR="0005375F" w:rsidRPr="0005375F" w:rsidRDefault="0005375F" w:rsidP="000537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375F">
        <w:rPr>
          <w:rFonts w:ascii="Times New Roman" w:eastAsia="Times New Roman" w:hAnsi="Times New Roman" w:cs="Times New Roman"/>
          <w:b/>
          <w:bCs/>
          <w:kern w:val="0"/>
          <w:sz w:val="27"/>
          <w:szCs w:val="27"/>
          <w14:ligatures w14:val="none"/>
        </w:rPr>
        <w:t>Implikasi untuk Surveilens PPI 3</w:t>
      </w:r>
    </w:p>
    <w:p w14:paraId="0299DA41" w14:textId="77777777" w:rsidR="0005375F" w:rsidRPr="0005375F" w:rsidRDefault="0005375F" w:rsidP="0005375F">
      <w:p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kern w:val="0"/>
          <w14:ligatures w14:val="none"/>
        </w:rPr>
        <w:t>Dalam pengumpulan dan analisis data surveilens, "infeksi virulen" perlu dipantau melalui:</w:t>
      </w:r>
    </w:p>
    <w:p w14:paraId="63569F0B" w14:textId="77777777" w:rsidR="0005375F" w:rsidRPr="0005375F" w:rsidRDefault="0005375F" w:rsidP="000537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Laporan kejadian luar biasa (KLB/outbreak)</w:t>
      </w:r>
      <w:r w:rsidRPr="0005375F">
        <w:rPr>
          <w:rFonts w:ascii="Times New Roman" w:eastAsia="Times New Roman" w:hAnsi="Times New Roman" w:cs="Times New Roman"/>
          <w:kern w:val="0"/>
          <w14:ligatures w14:val="none"/>
        </w:rPr>
        <w:t xml:space="preserve"> di unit perawatan</w:t>
      </w:r>
    </w:p>
    <w:p w14:paraId="0D204204" w14:textId="77777777" w:rsidR="0005375F" w:rsidRPr="0005375F" w:rsidRDefault="0005375F" w:rsidP="000537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Pola klinis tidak lazim</w:t>
      </w:r>
      <w:r w:rsidRPr="0005375F">
        <w:rPr>
          <w:rFonts w:ascii="Times New Roman" w:eastAsia="Times New Roman" w:hAnsi="Times New Roman" w:cs="Times New Roman"/>
          <w:kern w:val="0"/>
          <w14:ligatures w14:val="none"/>
        </w:rPr>
        <w:t xml:space="preserve"> — infeksi yang berat tidak proporsional dengan kondisi pasien</w:t>
      </w:r>
    </w:p>
    <w:p w14:paraId="299155D7" w14:textId="77777777" w:rsidR="0005375F" w:rsidRPr="0005375F" w:rsidRDefault="0005375F" w:rsidP="000537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Temuan laboratorium</w:t>
      </w:r>
      <w:r w:rsidRPr="0005375F">
        <w:rPr>
          <w:rFonts w:ascii="Times New Roman" w:eastAsia="Times New Roman" w:hAnsi="Times New Roman" w:cs="Times New Roman"/>
          <w:kern w:val="0"/>
          <w14:ligatures w14:val="none"/>
        </w:rPr>
        <w:t xml:space="preserve"> — hasil kultur dengan patogen virulen tertentu segera dilaporkan ke IPCN</w:t>
      </w:r>
    </w:p>
    <w:p w14:paraId="4796F066" w14:textId="77777777" w:rsidR="0005375F" w:rsidRPr="0005375F" w:rsidRDefault="0005375F" w:rsidP="000537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Review mortalitas</w:t>
      </w:r>
      <w:r w:rsidRPr="0005375F">
        <w:rPr>
          <w:rFonts w:ascii="Times New Roman" w:eastAsia="Times New Roman" w:hAnsi="Times New Roman" w:cs="Times New Roman"/>
          <w:kern w:val="0"/>
          <w14:ligatures w14:val="none"/>
        </w:rPr>
        <w:t xml:space="preserve"> terkait infeksi yang mengarah ke patogen dengan virulensi tinggi</w:t>
      </w:r>
    </w:p>
    <w:p w14:paraId="049143FD" w14:textId="77777777" w:rsidR="0005375F" w:rsidRPr="0005375F" w:rsidRDefault="0005375F" w:rsidP="000537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Koordinasi dengan laboratorium mikrobiologi</w:t>
      </w:r>
      <w:r w:rsidRPr="0005375F">
        <w:rPr>
          <w:rFonts w:ascii="Times New Roman" w:eastAsia="Times New Roman" w:hAnsi="Times New Roman" w:cs="Times New Roman"/>
          <w:kern w:val="0"/>
          <w14:ligatures w14:val="none"/>
        </w:rPr>
        <w:t xml:space="preserve"> untuk identifikasi strain virulen (hvKP, PVL-positive MRSA)</w:t>
      </w:r>
    </w:p>
    <w:p w14:paraId="4F40636F" w14:textId="77777777" w:rsidR="0005375F" w:rsidRPr="0005375F" w:rsidRDefault="0005375F" w:rsidP="000537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375F">
        <w:rPr>
          <w:rFonts w:ascii="Times New Roman" w:eastAsia="Times New Roman" w:hAnsi="Times New Roman" w:cs="Times New Roman"/>
          <w:b/>
          <w:bCs/>
          <w:kern w:val="0"/>
          <w:sz w:val="27"/>
          <w:szCs w:val="27"/>
          <w14:ligatures w14:val="none"/>
        </w:rPr>
        <w:t>Ringkasan Definisi Operasional untuk Dokumen PPI RS</w:t>
      </w:r>
    </w:p>
    <w:p w14:paraId="743369B8" w14:textId="77777777" w:rsidR="0005375F" w:rsidRPr="0005375F" w:rsidRDefault="0005375F" w:rsidP="0005375F">
      <w:pPr>
        <w:spacing w:before="100" w:beforeAutospacing="1" w:after="100" w:afterAutospacing="1" w:line="240" w:lineRule="auto"/>
        <w:jc w:val="both"/>
        <w:rPr>
          <w:rFonts w:ascii="Times New Roman" w:eastAsia="Times New Roman" w:hAnsi="Times New Roman" w:cs="Times New Roman"/>
          <w:kern w:val="0"/>
          <w14:ligatures w14:val="none"/>
        </w:rPr>
      </w:pPr>
      <w:r w:rsidRPr="0005375F">
        <w:rPr>
          <w:rFonts w:ascii="Times New Roman" w:eastAsia="Times New Roman" w:hAnsi="Times New Roman" w:cs="Times New Roman"/>
          <w:b/>
          <w:bCs/>
          <w:kern w:val="0"/>
          <w14:ligatures w14:val="none"/>
        </w:rPr>
        <w:t>"Infeksi yang virulen"</w:t>
      </w:r>
      <w:r w:rsidRPr="0005375F">
        <w:rPr>
          <w:rFonts w:ascii="Times New Roman" w:eastAsia="Times New Roman" w:hAnsi="Times New Roman" w:cs="Times New Roman"/>
          <w:kern w:val="0"/>
          <w14:ligatures w14:val="none"/>
        </w:rPr>
        <w:t xml:space="preserve"> dalam konteks PPI 3 poin (e) adalah infeksi yang disebabkan oleh mikroorganisme dengan kemampuan menyebabkan penyakit berat, menyebar cepat di antara pasien, dan/atau mengancam jiwa meskipun pada inang dengan daya tahan normal, termasuk patogen penghasil toksin kuat, patogen dengan kemampuan invasif tinggi, serta patogen dengan angka kematian bermakna yang memerlukan respons pengendalian segera di fasilitas pelayanan kesehatan.</w:t>
      </w:r>
    </w:p>
    <w:p w14:paraId="04795521" w14:textId="77777777" w:rsidR="00070455" w:rsidRDefault="00070455"/>
    <w:sectPr w:rsidR="00070455" w:rsidSect="0005375F">
      <w:pgSz w:w="12240" w:h="15840"/>
      <w:pgMar w:top="1758" w:right="1000" w:bottom="1644" w:left="900" w:header="714" w:footer="714"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8C7"/>
    <w:multiLevelType w:val="multilevel"/>
    <w:tmpl w:val="670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332C8"/>
    <w:multiLevelType w:val="multilevel"/>
    <w:tmpl w:val="A66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74143">
    <w:abstractNumId w:val="1"/>
  </w:num>
  <w:num w:numId="2" w16cid:durableId="2132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75F"/>
    <w:rsid w:val="0005375F"/>
    <w:rsid w:val="00070455"/>
    <w:rsid w:val="001A7601"/>
    <w:rsid w:val="004F3D33"/>
    <w:rsid w:val="005202A3"/>
    <w:rsid w:val="005E1CF8"/>
    <w:rsid w:val="007F5F0D"/>
    <w:rsid w:val="007F6932"/>
    <w:rsid w:val="008632D5"/>
    <w:rsid w:val="00931FE4"/>
    <w:rsid w:val="00A942AB"/>
    <w:rsid w:val="00BC0C00"/>
    <w:rsid w:val="00C90841"/>
    <w:rsid w:val="00FC49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E1E65"/>
  <w15:chartTrackingRefBased/>
  <w15:docId w15:val="{DE5BBC71-1586-854E-92A9-493D756E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2A3"/>
    <w:rPr>
      <w:rFonts w:eastAsiaTheme="minorEastAsia"/>
    </w:rPr>
  </w:style>
  <w:style w:type="paragraph" w:styleId="Heading1">
    <w:name w:val="heading 1"/>
    <w:basedOn w:val="Normal"/>
    <w:next w:val="Normal"/>
    <w:link w:val="Heading1Char"/>
    <w:uiPriority w:val="9"/>
    <w:qFormat/>
    <w:rsid w:val="00520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0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0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0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0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0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A3"/>
    <w:rPr>
      <w:rFonts w:eastAsiaTheme="majorEastAsia" w:cstheme="majorBidi"/>
      <w:color w:val="272727" w:themeColor="text1" w:themeTint="D8"/>
    </w:rPr>
  </w:style>
  <w:style w:type="paragraph" w:styleId="Title">
    <w:name w:val="Title"/>
    <w:basedOn w:val="Normal"/>
    <w:next w:val="Normal"/>
    <w:link w:val="TitleChar"/>
    <w:uiPriority w:val="10"/>
    <w:qFormat/>
    <w:rsid w:val="0052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A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5202A3"/>
    <w:rPr>
      <w:b/>
      <w:bCs/>
    </w:rPr>
  </w:style>
  <w:style w:type="paragraph" w:styleId="ListParagraph">
    <w:name w:val="List Paragraph"/>
    <w:basedOn w:val="Normal"/>
    <w:uiPriority w:val="34"/>
    <w:qFormat/>
    <w:rsid w:val="005202A3"/>
    <w:pPr>
      <w:ind w:left="720"/>
      <w:contextualSpacing/>
    </w:pPr>
  </w:style>
  <w:style w:type="paragraph" w:styleId="Quote">
    <w:name w:val="Quote"/>
    <w:basedOn w:val="Normal"/>
    <w:next w:val="Normal"/>
    <w:link w:val="QuoteChar"/>
    <w:uiPriority w:val="29"/>
    <w:qFormat/>
    <w:rsid w:val="005202A3"/>
    <w:pPr>
      <w:spacing w:before="160"/>
      <w:jc w:val="center"/>
    </w:pPr>
    <w:rPr>
      <w:i/>
      <w:iCs/>
      <w:color w:val="404040" w:themeColor="text1" w:themeTint="BF"/>
    </w:rPr>
  </w:style>
  <w:style w:type="character" w:customStyle="1" w:styleId="QuoteChar">
    <w:name w:val="Quote Char"/>
    <w:basedOn w:val="DefaultParagraphFont"/>
    <w:link w:val="Quote"/>
    <w:uiPriority w:val="29"/>
    <w:rsid w:val="005202A3"/>
    <w:rPr>
      <w:i/>
      <w:iCs/>
      <w:color w:val="404040" w:themeColor="text1" w:themeTint="BF"/>
    </w:rPr>
  </w:style>
  <w:style w:type="paragraph" w:styleId="IntenseQuote">
    <w:name w:val="Intense Quote"/>
    <w:basedOn w:val="Normal"/>
    <w:next w:val="Normal"/>
    <w:link w:val="IntenseQuoteChar"/>
    <w:uiPriority w:val="30"/>
    <w:qFormat/>
    <w:rsid w:val="00520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A3"/>
    <w:rPr>
      <w:i/>
      <w:iCs/>
      <w:color w:val="2F5496" w:themeColor="accent1" w:themeShade="BF"/>
    </w:rPr>
  </w:style>
  <w:style w:type="character" w:styleId="IntenseEmphasis">
    <w:name w:val="Intense Emphasis"/>
    <w:basedOn w:val="DefaultParagraphFont"/>
    <w:uiPriority w:val="21"/>
    <w:qFormat/>
    <w:rsid w:val="005202A3"/>
    <w:rPr>
      <w:i/>
      <w:iCs/>
      <w:color w:val="2F5496" w:themeColor="accent1" w:themeShade="BF"/>
    </w:rPr>
  </w:style>
  <w:style w:type="character" w:styleId="IntenseReference">
    <w:name w:val="Intense Reference"/>
    <w:basedOn w:val="DefaultParagraphFont"/>
    <w:uiPriority w:val="32"/>
    <w:qFormat/>
    <w:rsid w:val="005202A3"/>
    <w:rPr>
      <w:b/>
      <w:bCs/>
      <w:smallCaps/>
      <w:color w:val="2F5496" w:themeColor="accent1" w:themeShade="BF"/>
      <w:spacing w:val="5"/>
    </w:rPr>
  </w:style>
  <w:style w:type="paragraph" w:styleId="NormalWeb">
    <w:name w:val="Normal (Web)"/>
    <w:basedOn w:val="Normal"/>
    <w:uiPriority w:val="99"/>
    <w:semiHidden/>
    <w:unhideWhenUsed/>
    <w:rsid w:val="000537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5375F"/>
    <w:rPr>
      <w:i/>
      <w:iCs/>
    </w:rPr>
  </w:style>
  <w:style w:type="table" w:styleId="TableGrid">
    <w:name w:val="Table Grid"/>
    <w:basedOn w:val="TableNormal"/>
    <w:uiPriority w:val="39"/>
    <w:rsid w:val="00053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Djoti Atmojo</dc:creator>
  <cp:keywords/>
  <dc:description/>
  <cp:lastModifiedBy>Djoti Atmojo</cp:lastModifiedBy>
  <cp:revision>1</cp:revision>
  <dcterms:created xsi:type="dcterms:W3CDTF">2026-03-11T08:42:00Z</dcterms:created>
  <dcterms:modified xsi:type="dcterms:W3CDTF">2026-03-11T08:47:00Z</dcterms:modified>
</cp:coreProperties>
</file>