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72"/>
      </w:tblGrid>
      <w:tr w:rsidR="0018761B">
        <w:tc>
          <w:tcPr>
            <w:tcW w:w="9072" w:type="dxa"/>
            <w:tcBorders>
              <w:top w:val="none" w:sz="0" w:space="0" w:color="FFFFFF"/>
              <w:left w:val="none" w:sz="0" w:space="0" w:color="FFFFFF"/>
              <w:bottom w:val="none" w:sz="0" w:space="0" w:color="FFFFFF"/>
              <w:right w:val="none" w:sz="0" w:space="0" w:color="FFFFFF"/>
            </w:tcBorders>
            <w:shd w:val="clear" w:color="auto" w:fill="1A3350"/>
            <w:tcMar>
              <w:top w:w="300" w:type="dxa"/>
              <w:left w:w="400" w:type="dxa"/>
              <w:bottom w:w="300" w:type="dxa"/>
              <w:right w:w="400" w:type="dxa"/>
            </w:tcMar>
          </w:tcPr>
          <w:p w:rsidR="0018761B" w:rsidRDefault="00AF4D81">
            <w:pPr>
              <w:spacing w:after="60"/>
              <w:jc w:val="center"/>
            </w:pPr>
            <w:r>
              <w:rPr>
                <w:b/>
                <w:bCs/>
                <w:color w:val="FFFFFF"/>
                <w:sz w:val="30"/>
                <w:szCs w:val="30"/>
              </w:rPr>
              <w:t xml:space="preserve">RUMAH SAKIT </w:t>
            </w:r>
            <w:r w:rsidR="00840061">
              <w:rPr>
                <w:b/>
                <w:bCs/>
                <w:color w:val="FFFFFF"/>
                <w:sz w:val="30"/>
                <w:szCs w:val="30"/>
              </w:rPr>
              <w:t>HIJO</w:t>
            </w:r>
          </w:p>
          <w:p w:rsidR="0018761B" w:rsidRDefault="00AF4D81">
            <w:pPr>
              <w:spacing w:before="200" w:after="120"/>
              <w:jc w:val="center"/>
            </w:pPr>
            <w:r>
              <w:rPr>
                <w:b/>
                <w:bCs/>
                <w:color w:val="FFFFFF"/>
                <w:sz w:val="36"/>
                <w:szCs w:val="36"/>
              </w:rPr>
              <w:t>PROGRAM PENCEGAHAN DAN PENGENDALIAN INFEKSI</w:t>
            </w:r>
          </w:p>
          <w:p w:rsidR="0018761B" w:rsidRDefault="00AF4D81">
            <w:pPr>
              <w:spacing w:after="80"/>
              <w:jc w:val="center"/>
            </w:pPr>
            <w:r>
              <w:rPr>
                <w:b/>
                <w:bCs/>
                <w:color w:val="5ECFDF"/>
                <w:sz w:val="32"/>
                <w:szCs w:val="32"/>
              </w:rPr>
              <w:t>BERDASARKAN HASIL KAJIAN</w:t>
            </w:r>
          </w:p>
          <w:p w:rsidR="0018761B" w:rsidRDefault="00AF4D81">
            <w:pPr>
              <w:spacing w:after="80"/>
              <w:jc w:val="center"/>
            </w:pPr>
            <w:r>
              <w:rPr>
                <w:b/>
                <w:bCs/>
                <w:color w:val="5ECFDF"/>
                <w:sz w:val="32"/>
                <w:szCs w:val="32"/>
              </w:rPr>
              <w:t>INFECTION CONTROL RISK ASSESSMENT (ICRA)</w:t>
            </w:r>
          </w:p>
          <w:p w:rsidR="0018761B" w:rsidRDefault="00AF4D81">
            <w:pPr>
              <w:spacing w:before="120" w:after="40"/>
              <w:jc w:val="center"/>
            </w:pPr>
            <w:r>
              <w:rPr>
                <w:b/>
                <w:bCs/>
                <w:color w:val="FFFFFF"/>
                <w:sz w:val="26"/>
                <w:szCs w:val="26"/>
              </w:rPr>
              <w:t>Tahun 202</w:t>
            </w:r>
            <w:r w:rsidR="0054637F">
              <w:rPr>
                <w:b/>
                <w:bCs/>
                <w:color w:val="FFFFFF"/>
                <w:sz w:val="26"/>
                <w:szCs w:val="26"/>
              </w:rPr>
              <w:t>6</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68"/>
        <w:gridCol w:w="2268"/>
        <w:gridCol w:w="2268"/>
        <w:gridCol w:w="2268"/>
      </w:tblGrid>
      <w:tr w:rsidR="0018761B">
        <w:tc>
          <w:tcPr>
            <w:tcW w:w="2268" w:type="dxa"/>
            <w:tcBorders>
              <w:top w:val="single" w:sz="4" w:space="0" w:color="BBCAD4"/>
              <w:left w:val="single" w:sz="4" w:space="0" w:color="BBCAD4"/>
              <w:bottom w:val="single" w:sz="4" w:space="0" w:color="BBCAD4"/>
              <w:right w:val="single" w:sz="4" w:space="0" w:color="BBCAD4"/>
            </w:tcBorders>
            <w:shd w:val="clear" w:color="auto" w:fill="0B7B8C"/>
            <w:tcMar>
              <w:top w:w="80" w:type="dxa"/>
              <w:left w:w="120" w:type="dxa"/>
              <w:bottom w:w="80" w:type="dxa"/>
              <w:right w:w="120" w:type="dxa"/>
            </w:tcMar>
            <w:vAlign w:val="center"/>
          </w:tcPr>
          <w:p w:rsidR="0018761B" w:rsidRDefault="00AF4D81">
            <w:pPr>
              <w:jc w:val="center"/>
            </w:pPr>
            <w:r>
              <w:rPr>
                <w:b/>
                <w:bCs/>
                <w:color w:val="FFFFFF"/>
                <w:sz w:val="20"/>
                <w:szCs w:val="20"/>
              </w:rPr>
              <w:t>Dibuat oleh</w:t>
            </w:r>
          </w:p>
        </w:tc>
        <w:tc>
          <w:tcPr>
            <w:tcW w:w="2268" w:type="dxa"/>
            <w:tcBorders>
              <w:top w:val="single" w:sz="4" w:space="0" w:color="BBCAD4"/>
              <w:left w:val="single" w:sz="4" w:space="0" w:color="BBCAD4"/>
              <w:bottom w:val="single" w:sz="4" w:space="0" w:color="BBCAD4"/>
              <w:right w:val="single" w:sz="4" w:space="0" w:color="BBCAD4"/>
            </w:tcBorders>
            <w:shd w:val="clear" w:color="auto" w:fill="0B7B8C"/>
            <w:tcMar>
              <w:top w:w="80" w:type="dxa"/>
              <w:left w:w="120" w:type="dxa"/>
              <w:bottom w:w="80" w:type="dxa"/>
              <w:right w:w="120" w:type="dxa"/>
            </w:tcMar>
            <w:vAlign w:val="center"/>
          </w:tcPr>
          <w:p w:rsidR="0018761B" w:rsidRDefault="00AF4D81">
            <w:pPr>
              <w:jc w:val="center"/>
            </w:pPr>
            <w:r>
              <w:rPr>
                <w:b/>
                <w:bCs/>
                <w:color w:val="FFFFFF"/>
                <w:sz w:val="20"/>
                <w:szCs w:val="20"/>
              </w:rPr>
              <w:t>Diperiksa oleh</w:t>
            </w:r>
          </w:p>
        </w:tc>
        <w:tc>
          <w:tcPr>
            <w:tcW w:w="2268" w:type="dxa"/>
            <w:tcBorders>
              <w:top w:val="single" w:sz="4" w:space="0" w:color="BBCAD4"/>
              <w:left w:val="single" w:sz="4" w:space="0" w:color="BBCAD4"/>
              <w:bottom w:val="single" w:sz="4" w:space="0" w:color="BBCAD4"/>
              <w:right w:val="single" w:sz="4" w:space="0" w:color="BBCAD4"/>
            </w:tcBorders>
            <w:shd w:val="clear" w:color="auto" w:fill="0B7B8C"/>
            <w:tcMar>
              <w:top w:w="80" w:type="dxa"/>
              <w:left w:w="120" w:type="dxa"/>
              <w:bottom w:w="80" w:type="dxa"/>
              <w:right w:w="120" w:type="dxa"/>
            </w:tcMar>
            <w:vAlign w:val="center"/>
          </w:tcPr>
          <w:p w:rsidR="0018761B" w:rsidRDefault="00AF4D81">
            <w:pPr>
              <w:jc w:val="center"/>
            </w:pPr>
            <w:r>
              <w:rPr>
                <w:b/>
                <w:bCs/>
                <w:color w:val="FFFFFF"/>
                <w:sz w:val="20"/>
                <w:szCs w:val="20"/>
              </w:rPr>
              <w:t>Disetujui oleh</w:t>
            </w:r>
          </w:p>
        </w:tc>
        <w:tc>
          <w:tcPr>
            <w:tcW w:w="2268" w:type="dxa"/>
            <w:tcBorders>
              <w:top w:val="single" w:sz="4" w:space="0" w:color="BBCAD4"/>
              <w:left w:val="single" w:sz="4" w:space="0" w:color="BBCAD4"/>
              <w:bottom w:val="single" w:sz="4" w:space="0" w:color="BBCAD4"/>
              <w:right w:val="single" w:sz="4" w:space="0" w:color="BBCAD4"/>
            </w:tcBorders>
            <w:shd w:val="clear" w:color="auto" w:fill="0B7B8C"/>
            <w:tcMar>
              <w:top w:w="80" w:type="dxa"/>
              <w:left w:w="120" w:type="dxa"/>
              <w:bottom w:w="80" w:type="dxa"/>
              <w:right w:w="120" w:type="dxa"/>
            </w:tcMar>
            <w:vAlign w:val="center"/>
          </w:tcPr>
          <w:p w:rsidR="0018761B" w:rsidRDefault="00AF4D81">
            <w:pPr>
              <w:jc w:val="center"/>
            </w:pPr>
            <w:r>
              <w:rPr>
                <w:b/>
                <w:bCs/>
                <w:color w:val="FFFFFF"/>
                <w:sz w:val="20"/>
                <w:szCs w:val="20"/>
              </w:rPr>
              <w:t xml:space="preserve">Disahkan </w:t>
            </w:r>
            <w:r>
              <w:rPr>
                <w:b/>
                <w:bCs/>
                <w:color w:val="FFFFFF"/>
                <w:sz w:val="20"/>
                <w:szCs w:val="20"/>
              </w:rPr>
              <w:t>oleh</w:t>
            </w:r>
          </w:p>
        </w:tc>
      </w:tr>
      <w:tr w:rsidR="0018761B">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pPr>
              <w:spacing w:before="60" w:after="200"/>
            </w:pPr>
          </w:p>
          <w:p w:rsidR="0018761B" w:rsidRDefault="0018761B">
            <w:pPr>
              <w:spacing w:before="60" w:after="200"/>
            </w:pPr>
          </w:p>
          <w:p w:rsidR="0018761B" w:rsidRDefault="0018761B">
            <w:pPr>
              <w:spacing w:before="60" w:after="200"/>
            </w:pPr>
          </w:p>
          <w:p w:rsidR="0018761B" w:rsidRDefault="0018761B">
            <w:pPr>
              <w:spacing w:before="60" w:after="200"/>
            </w:pPr>
          </w:p>
          <w:p w:rsidR="0018761B" w:rsidRDefault="00AF4D81">
            <w:pPr>
              <w:jc w:val="center"/>
            </w:pPr>
            <w:r>
              <w:rPr>
                <w:b/>
                <w:bCs/>
                <w:sz w:val="20"/>
                <w:szCs w:val="20"/>
              </w:rPr>
              <w:t>IPCN RS</w:t>
            </w:r>
          </w:p>
        </w:tc>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pPr>
              <w:spacing w:before="60" w:after="200"/>
            </w:pPr>
          </w:p>
          <w:p w:rsidR="0018761B" w:rsidRDefault="00AF4D81">
            <w:pPr>
              <w:jc w:val="center"/>
            </w:pPr>
            <w:r>
              <w:rPr>
                <w:b/>
                <w:bCs/>
                <w:sz w:val="20"/>
                <w:szCs w:val="20"/>
              </w:rPr>
              <w:t>Ketua Komite PPI</w:t>
            </w:r>
          </w:p>
        </w:tc>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pPr>
              <w:spacing w:before="60" w:after="200"/>
            </w:pPr>
          </w:p>
          <w:p w:rsidR="0018761B" w:rsidRDefault="00AF4D81">
            <w:pPr>
              <w:jc w:val="center"/>
            </w:pPr>
            <w:r>
              <w:rPr>
                <w:b/>
                <w:bCs/>
                <w:sz w:val="20"/>
                <w:szCs w:val="20"/>
              </w:rPr>
              <w:t>Manajer Keperawatan</w:t>
            </w:r>
          </w:p>
        </w:tc>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pPr>
              <w:spacing w:before="60" w:after="200"/>
            </w:pPr>
          </w:p>
          <w:p w:rsidR="0018761B" w:rsidRDefault="00AF4D81">
            <w:pPr>
              <w:jc w:val="center"/>
            </w:pPr>
            <w:r>
              <w:rPr>
                <w:b/>
                <w:bCs/>
                <w:sz w:val="20"/>
                <w:szCs w:val="20"/>
              </w:rPr>
              <w:t>Direktur RS</w:t>
            </w:r>
          </w:p>
        </w:tc>
      </w:tr>
      <w:tr w:rsidR="0018761B">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Tanggal: ____________</w:t>
            </w:r>
          </w:p>
        </w:tc>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Tanggal: ____________</w:t>
            </w:r>
          </w:p>
        </w:tc>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Tanggal: ____________</w:t>
            </w:r>
          </w:p>
        </w:tc>
        <w:tc>
          <w:tcPr>
            <w:tcW w:w="226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Tanggal: ____________</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2536"/>
        <w:gridCol w:w="2000"/>
        <w:gridCol w:w="2536"/>
      </w:tblGrid>
      <w:tr w:rsidR="0018761B">
        <w:tc>
          <w:tcPr>
            <w:tcW w:w="20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Nomor Dokumen</w:t>
            </w:r>
          </w:p>
        </w:tc>
        <w:tc>
          <w:tcPr>
            <w:tcW w:w="25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PPI-PRG-001</w:t>
            </w:r>
          </w:p>
        </w:tc>
        <w:tc>
          <w:tcPr>
            <w:tcW w:w="20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Tanggal Terbit</w:t>
            </w:r>
          </w:p>
        </w:tc>
        <w:tc>
          <w:tcPr>
            <w:tcW w:w="25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2 Januari 2025</w:t>
            </w:r>
          </w:p>
        </w:tc>
      </w:tr>
      <w:tr w:rsidR="0018761B">
        <w:tc>
          <w:tcPr>
            <w:tcW w:w="20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Revisi ke-</w:t>
            </w:r>
          </w:p>
        </w:tc>
        <w:tc>
          <w:tcPr>
            <w:tcW w:w="25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00 (Pertama)</w:t>
            </w:r>
          </w:p>
        </w:tc>
        <w:tc>
          <w:tcPr>
            <w:tcW w:w="20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Berlaku Mulai</w:t>
            </w:r>
          </w:p>
        </w:tc>
        <w:tc>
          <w:tcPr>
            <w:tcW w:w="25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2 Januari 2025</w:t>
            </w:r>
          </w:p>
        </w:tc>
      </w:tr>
      <w:tr w:rsidR="0018761B">
        <w:tc>
          <w:tcPr>
            <w:tcW w:w="20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Unit Pemilik</w:t>
            </w:r>
          </w:p>
        </w:tc>
        <w:tc>
          <w:tcPr>
            <w:tcW w:w="25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Komite PPI</w:t>
            </w:r>
          </w:p>
        </w:tc>
        <w:tc>
          <w:tcPr>
            <w:tcW w:w="20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Periode Program</w:t>
            </w:r>
          </w:p>
        </w:tc>
        <w:tc>
          <w:tcPr>
            <w:tcW w:w="25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Januari – Desember 2025</w:t>
            </w:r>
          </w:p>
        </w:tc>
      </w:tr>
    </w:tbl>
    <w:p w:rsidR="0018761B" w:rsidRDefault="00AF4D81">
      <w:r>
        <w:br w:type="page"/>
      </w:r>
    </w:p>
    <w:p w:rsidR="0018761B" w:rsidRDefault="0018761B">
      <w:pPr>
        <w:spacing w:before="60" w:after="60"/>
      </w:pPr>
    </w:p>
    <w:p w:rsidR="0018761B" w:rsidRDefault="00AF4D81">
      <w:pPr>
        <w:pStyle w:val="Heading2"/>
        <w:pBdr>
          <w:bottom w:val="single" w:sz="4" w:space="4" w:color="0B7B8C"/>
        </w:pBdr>
      </w:pPr>
      <w:r>
        <w:t>BAB I. PENDAHULUAN</w:t>
      </w:r>
    </w:p>
    <w:p w:rsidR="0018761B" w:rsidRDefault="00AF4D81">
      <w:pPr>
        <w:pStyle w:val="Heading3"/>
      </w:pPr>
      <w:r>
        <w:t>A. Latar Belakang</w:t>
      </w:r>
    </w:p>
    <w:p w:rsidR="0018761B" w:rsidRDefault="00AF4D81">
      <w:pPr>
        <w:spacing w:before="60" w:after="60"/>
      </w:pPr>
      <w:r>
        <w:rPr>
          <w:color w:val="000000"/>
        </w:rPr>
        <w:t xml:space="preserve">Infeksi yang berhubungan dengan pelayanan kesehatan (Healthcare-Associated Infections / HAIs) merupakan salah satu masalah keselamatan </w:t>
      </w:r>
      <w:r>
        <w:rPr>
          <w:color w:val="000000"/>
        </w:rPr>
        <w:t>pasien yang paling serius di seluruh dunia. Di rumah sakit, HAIs dapat menimbulkan morbiditas dan mortalitas yang signifikan, memperpanjang lama rawat, meningkatkan biaya perawatan, serta menurunkan kepercayaan masyarakat terhadap fasilitas kesehatan.</w:t>
      </w:r>
    </w:p>
    <w:p w:rsidR="0018761B" w:rsidRDefault="0018761B">
      <w:pPr>
        <w:spacing w:before="60" w:after="60"/>
      </w:pPr>
    </w:p>
    <w:p w:rsidR="0018761B" w:rsidRDefault="00AF4D81">
      <w:pPr>
        <w:spacing w:before="60" w:after="60"/>
      </w:pPr>
      <w:r>
        <w:rPr>
          <w:color w:val="000000"/>
        </w:rPr>
        <w:t>Program Pencegahan dan Pengendalian Infeksi (PPI) merupakan kewajiban regulatoris dan etis setiap rumah sakit sesuai Peraturan Menteri Kesehatan Nomor 27 Tahun 2017 tentang Pedoman Pencegahan dan Pengendalian Infeksi di Fasilitas Pelayanan Kesehatan, serta</w:t>
      </w:r>
      <w:r>
        <w:rPr>
          <w:color w:val="000000"/>
        </w:rPr>
        <w:t xml:space="preserve"> Standar Akreditasi Kemenkes 2024 khususnya pada Standar PPI (Pencegahan dan Pengendalian Infeksi).</w:t>
      </w:r>
    </w:p>
    <w:p w:rsidR="0018761B" w:rsidRDefault="0018761B">
      <w:pPr>
        <w:spacing w:before="60" w:after="60"/>
      </w:pPr>
    </w:p>
    <w:p w:rsidR="0018761B" w:rsidRDefault="00AF4D81">
      <w:pPr>
        <w:spacing w:before="60" w:after="60"/>
      </w:pPr>
      <w:r>
        <w:rPr>
          <w:color w:val="000000"/>
        </w:rPr>
        <w:t>Program PPI ini disusun berdasarkan hasil Infection Control Risk Assessment (ICRA) yang telah dilakukan oleh Komite PPI RS Harapan Husada pada bulan Novemb</w:t>
      </w:r>
      <w:r>
        <w:rPr>
          <w:color w:val="000000"/>
        </w:rPr>
        <w:t>er–Desember 2024. ICRA merupakan proses sistematik untuk mengidentifikasi, menganalisis, dan memprioritaskan risiko infeksi yang ada di rumah sakit, sehingga program pengendalian dapat difokuskan pada area yang memiliki risiko tertinggi dan memberikan damp</w:t>
      </w:r>
      <w:r>
        <w:rPr>
          <w:color w:val="000000"/>
        </w:rPr>
        <w:t>ak terbesar terhadap keselamatan pasien.</w:t>
      </w:r>
    </w:p>
    <w:p w:rsidR="0018761B" w:rsidRDefault="0018761B">
      <w:pPr>
        <w:spacing w:before="60" w:after="60"/>
      </w:pPr>
    </w:p>
    <w:p w:rsidR="0018761B" w:rsidRDefault="00AF4D81">
      <w:pPr>
        <w:pStyle w:val="Heading3"/>
      </w:pPr>
      <w:r>
        <w:t>B. Dasar Hukum</w:t>
      </w:r>
    </w:p>
    <w:p w:rsidR="0018761B" w:rsidRDefault="00AF4D81">
      <w:pPr>
        <w:pStyle w:val="ListParagraph"/>
        <w:numPr>
          <w:ilvl w:val="0"/>
          <w:numId w:val="2"/>
        </w:numPr>
        <w:spacing w:before="40" w:after="40"/>
      </w:pPr>
      <w:r>
        <w:t>Undang-Undang Nomor 17 Tahun 2023 tentang Kesehatan</w:t>
      </w:r>
    </w:p>
    <w:p w:rsidR="0018761B" w:rsidRDefault="00AF4D81">
      <w:pPr>
        <w:pStyle w:val="ListParagraph"/>
        <w:numPr>
          <w:ilvl w:val="0"/>
          <w:numId w:val="2"/>
        </w:numPr>
        <w:spacing w:before="40" w:after="40"/>
      </w:pPr>
      <w:r>
        <w:t>Peraturan Menteri Kesehatan Nomor 27 Tahun 2017 tentang Pedoman Pencegahan dan Pengendalian Infeksi di Fasilitas Pelayanan Kesehatan</w:t>
      </w:r>
    </w:p>
    <w:p w:rsidR="0018761B" w:rsidRDefault="00AF4D81">
      <w:pPr>
        <w:pStyle w:val="ListParagraph"/>
        <w:numPr>
          <w:ilvl w:val="0"/>
          <w:numId w:val="2"/>
        </w:numPr>
        <w:spacing w:before="40" w:after="40"/>
      </w:pPr>
      <w:r>
        <w:t>Peraturan Ment</w:t>
      </w:r>
      <w:r>
        <w:t>eri Kesehatan Nomor 11 Tahun 2017 tentang Keselamatan Pasien</w:t>
      </w:r>
    </w:p>
    <w:p w:rsidR="0018761B" w:rsidRDefault="00AF4D81">
      <w:pPr>
        <w:pStyle w:val="ListParagraph"/>
        <w:numPr>
          <w:ilvl w:val="0"/>
          <w:numId w:val="2"/>
        </w:numPr>
        <w:spacing w:before="40" w:after="40"/>
      </w:pPr>
      <w:r>
        <w:t>Standar Akreditasi Rumah Sakit Kemenkes 2024 — Bab PPI, Elemen Penilaian PPI 3</w:t>
      </w:r>
    </w:p>
    <w:p w:rsidR="0018761B" w:rsidRDefault="00AF4D81">
      <w:pPr>
        <w:pStyle w:val="ListParagraph"/>
        <w:numPr>
          <w:ilvl w:val="0"/>
          <w:numId w:val="2"/>
        </w:numPr>
        <w:spacing w:before="40" w:after="40"/>
      </w:pPr>
      <w:r>
        <w:t>Panduan Pelaksanaan ICRA RS Harapan Husada Nomor PPI-PD-003 Tahun 2024</w:t>
      </w:r>
    </w:p>
    <w:p w:rsidR="0018761B" w:rsidRDefault="00AF4D81">
      <w:pPr>
        <w:pStyle w:val="ListParagraph"/>
        <w:numPr>
          <w:ilvl w:val="0"/>
          <w:numId w:val="2"/>
        </w:numPr>
        <w:spacing w:before="40" w:after="40"/>
      </w:pPr>
      <w:r>
        <w:t>Keputusan Direktur RS Harapan Husada Nomor SK</w:t>
      </w:r>
      <w:r>
        <w:t>/DIR/PPI/012/2024 tentang Pembentukan Komite PPI</w:t>
      </w:r>
    </w:p>
    <w:p w:rsidR="0018761B" w:rsidRDefault="0018761B">
      <w:pPr>
        <w:spacing w:before="60" w:after="60"/>
      </w:pPr>
    </w:p>
    <w:p w:rsidR="0018761B" w:rsidRDefault="00AF4D81">
      <w:pPr>
        <w:pStyle w:val="Heading3"/>
      </w:pPr>
      <w:r>
        <w:t>C. Tujuan Program</w:t>
      </w:r>
    </w:p>
    <w:p w:rsidR="0018761B" w:rsidRDefault="00AF4D81">
      <w:pPr>
        <w:spacing w:before="60" w:after="60"/>
      </w:pPr>
      <w:r>
        <w:rPr>
          <w:b/>
          <w:bCs/>
          <w:color w:val="000000"/>
        </w:rPr>
        <w:t>Tujuan Umum:</w:t>
      </w:r>
    </w:p>
    <w:p w:rsidR="0018761B" w:rsidRDefault="00AF4D81">
      <w:pPr>
        <w:spacing w:before="60" w:after="60"/>
      </w:pPr>
      <w:r>
        <w:rPr>
          <w:color w:val="000000"/>
        </w:rPr>
        <w:t>Menurunkan insiden HAIs dan risiko infeksi di RS Harapan Husada melalui program yang terencana, terukur, dan berbasis bukti hasil ICRA Tahun 2024.</w:t>
      </w:r>
    </w:p>
    <w:p w:rsidR="0018761B" w:rsidRDefault="0018761B">
      <w:pPr>
        <w:spacing w:before="60" w:after="60"/>
      </w:pPr>
    </w:p>
    <w:p w:rsidR="0018761B" w:rsidRDefault="00AF4D81">
      <w:pPr>
        <w:spacing w:before="60" w:after="60"/>
      </w:pPr>
      <w:r>
        <w:rPr>
          <w:b/>
          <w:bCs/>
          <w:color w:val="000000"/>
        </w:rPr>
        <w:t>Tujuan Khusus:</w:t>
      </w:r>
    </w:p>
    <w:p w:rsidR="0018761B" w:rsidRDefault="00AF4D81">
      <w:pPr>
        <w:pStyle w:val="ListParagraph"/>
        <w:numPr>
          <w:ilvl w:val="0"/>
          <w:numId w:val="2"/>
        </w:numPr>
        <w:spacing w:before="40" w:after="40"/>
      </w:pPr>
      <w:r>
        <w:t>Mengendalika</w:t>
      </w:r>
      <w:r>
        <w:t>n dan menurunkan angka HAIs (IADP, ISK, VAP, IDO) di bawah standar nasional</w:t>
      </w:r>
    </w:p>
    <w:p w:rsidR="0018761B" w:rsidRDefault="00AF4D81">
      <w:pPr>
        <w:pStyle w:val="ListParagraph"/>
        <w:numPr>
          <w:ilvl w:val="0"/>
          <w:numId w:val="2"/>
        </w:numPr>
        <w:spacing w:before="40" w:after="40"/>
      </w:pPr>
      <w:r>
        <w:t>Meningkatkan kepatuhan kebersihan tangan staf ke ≥ 85% pada akhir tahun 2025</w:t>
      </w:r>
    </w:p>
    <w:p w:rsidR="0018761B" w:rsidRDefault="00AF4D81">
      <w:pPr>
        <w:pStyle w:val="ListParagraph"/>
        <w:numPr>
          <w:ilvl w:val="0"/>
          <w:numId w:val="2"/>
        </w:numPr>
        <w:spacing w:before="40" w:after="40"/>
      </w:pPr>
      <w:r>
        <w:t>Memastikan seluruh kegiatan konstruksi/renovasi memenuhi standar PCRA (Pre-Construction Risk Assessment</w:t>
      </w:r>
      <w:r>
        <w:t>) PPI</w:t>
      </w:r>
    </w:p>
    <w:p w:rsidR="0018761B" w:rsidRDefault="00AF4D81">
      <w:pPr>
        <w:pStyle w:val="ListParagraph"/>
        <w:numPr>
          <w:ilvl w:val="0"/>
          <w:numId w:val="2"/>
        </w:numPr>
        <w:spacing w:before="40" w:after="40"/>
      </w:pPr>
      <w:r>
        <w:t>Meningkatkan kepatuhan penggunaan APD sesuai indikasi ke ≥ 90%</w:t>
      </w:r>
    </w:p>
    <w:p w:rsidR="0018761B" w:rsidRDefault="00AF4D81">
      <w:pPr>
        <w:pStyle w:val="ListParagraph"/>
        <w:numPr>
          <w:ilvl w:val="0"/>
          <w:numId w:val="2"/>
        </w:numPr>
        <w:spacing w:before="40" w:after="40"/>
      </w:pPr>
      <w:r>
        <w:t>Mengurangi risiko penularan penyakit menular melalui penguatan kewaspadaan transmisi</w:t>
      </w:r>
    </w:p>
    <w:p w:rsidR="0018761B" w:rsidRDefault="00AF4D81">
      <w:pPr>
        <w:pStyle w:val="ListParagraph"/>
        <w:numPr>
          <w:ilvl w:val="0"/>
          <w:numId w:val="2"/>
        </w:numPr>
        <w:spacing w:before="40" w:after="40"/>
      </w:pPr>
      <w:r>
        <w:t>Memastikan pengelolaan linen, limbah, dan sterilisasi alat memenuhi standar PPI</w:t>
      </w:r>
    </w:p>
    <w:p w:rsidR="0018761B" w:rsidRDefault="00AF4D81">
      <w:r>
        <w:br w:type="page"/>
      </w:r>
    </w:p>
    <w:p w:rsidR="0018761B" w:rsidRDefault="00AF4D81">
      <w:pPr>
        <w:pStyle w:val="Heading2"/>
        <w:pBdr>
          <w:bottom w:val="single" w:sz="4" w:space="4" w:color="0B7B8C"/>
        </w:pBdr>
      </w:pPr>
      <w:r>
        <w:lastRenderedPageBreak/>
        <w:t>BAB II. HASIL INFECT</w:t>
      </w:r>
      <w:r>
        <w:t>ION CONTROL RISK ASSESSMENT (ICRA)</w:t>
      </w:r>
    </w:p>
    <w:p w:rsidR="0018761B" w:rsidRDefault="00AF4D81">
      <w:pPr>
        <w:pStyle w:val="Heading3"/>
      </w:pPr>
      <w:r>
        <w:t>A. Metodologi ICRA</w:t>
      </w:r>
    </w:p>
    <w:p w:rsidR="0018761B" w:rsidRDefault="00AF4D81">
      <w:pPr>
        <w:spacing w:before="60" w:after="60"/>
      </w:pPr>
      <w:r>
        <w:rPr>
          <w:color w:val="000000"/>
        </w:rPr>
        <w:t xml:space="preserve">ICRA dilaksanakan oleh Komite PPI bekerja sama dengan seluruh Kepala Unit/Instalasi pada periode November–Desember 2024 menggunakan metode penilaian risiko dengan matriks probabilitas × dampak × sistem </w:t>
      </w:r>
      <w:r>
        <w:rPr>
          <w:color w:val="000000"/>
        </w:rPr>
        <w:t>pengendalian saat ini. Skala penilaian sebagai berikut:</w:t>
      </w:r>
    </w:p>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00"/>
        <w:gridCol w:w="3636"/>
        <w:gridCol w:w="1200"/>
        <w:gridCol w:w="3036"/>
      </w:tblGrid>
      <w:tr w:rsidR="0018761B">
        <w:tc>
          <w:tcPr>
            <w:tcW w:w="12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Skor</w:t>
            </w:r>
          </w:p>
        </w:tc>
        <w:tc>
          <w:tcPr>
            <w:tcW w:w="3636"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Probabilitas</w:t>
            </w:r>
          </w:p>
        </w:tc>
        <w:tc>
          <w:tcPr>
            <w:tcW w:w="12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Skor</w:t>
            </w:r>
          </w:p>
        </w:tc>
        <w:tc>
          <w:tcPr>
            <w:tcW w:w="3036"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Dampak / Sistem</w:t>
            </w:r>
          </w:p>
        </w:tc>
      </w:tr>
      <w:tr w:rsidR="0018761B">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36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Jarang (&lt; 1x setahun)</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30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Tidak bermakna / Kontrol sangat baik</w:t>
            </w:r>
          </w:p>
        </w:tc>
      </w:tr>
      <w:tr w:rsidR="0018761B">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36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Kadang (1–2x setahun)</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30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Minor / Kontrol baik</w:t>
            </w:r>
          </w:p>
        </w:tc>
      </w:tr>
      <w:tr w:rsidR="0018761B">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36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Sering (3–5x setahun)</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30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Sedang / Kontrol </w:t>
            </w:r>
            <w:r>
              <w:rPr>
                <w:sz w:val="20"/>
                <w:szCs w:val="20"/>
              </w:rPr>
              <w:t>cukup</w:t>
            </w:r>
          </w:p>
        </w:tc>
      </w:tr>
      <w:tr w:rsidR="0018761B">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36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Sangat sering (&gt; 6x setahun)</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30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Mayor / Kontrol kurang</w:t>
            </w:r>
          </w:p>
        </w:tc>
      </w:tr>
      <w:tr w:rsidR="0018761B">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36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Selalu / Hampir pasti terjadi</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303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Katastrofik / Tidak ada kontrol</w:t>
            </w:r>
          </w:p>
        </w:tc>
      </w:tr>
    </w:tbl>
    <w:p w:rsidR="0018761B" w:rsidRDefault="0018761B">
      <w:pPr>
        <w:spacing w:before="60" w:after="60"/>
      </w:pPr>
    </w:p>
    <w:p w:rsidR="0018761B" w:rsidRDefault="00AF4D81">
      <w:pPr>
        <w:spacing w:before="60" w:after="60"/>
      </w:pPr>
      <w:r>
        <w:rPr>
          <w:color w:val="000000"/>
        </w:rPr>
        <w:t xml:space="preserve">Skor risiko = Probabilitas × Dampak × Sistem (nilai 1–125). Kategorisasi: Sangat Tinggi (&gt; 75), Tinggi (51–75), Sedang </w:t>
      </w:r>
      <w:r>
        <w:rPr>
          <w:color w:val="000000"/>
        </w:rPr>
        <w:t>(26–50), Rendah (≤ 25).</w:t>
      </w:r>
    </w:p>
    <w:p w:rsidR="0018761B" w:rsidRDefault="0018761B">
      <w:pPr>
        <w:spacing w:before="60" w:after="60"/>
      </w:pPr>
    </w:p>
    <w:p w:rsidR="0018761B" w:rsidRDefault="00AF4D81">
      <w:pPr>
        <w:pStyle w:val="Heading3"/>
      </w:pPr>
      <w:r>
        <w:t>B. Rekapitulasi Hasil ICRA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25"/>
        <w:gridCol w:w="2072"/>
        <w:gridCol w:w="1355"/>
        <w:gridCol w:w="932"/>
        <w:gridCol w:w="1056"/>
        <w:gridCol w:w="932"/>
        <w:gridCol w:w="1110"/>
        <w:gridCol w:w="1090"/>
      </w:tblGrid>
      <w:tr w:rsidR="0018761B">
        <w:tc>
          <w:tcPr>
            <w:tcW w:w="35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20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Area Risiko</w:t>
            </w:r>
          </w:p>
        </w:tc>
        <w:tc>
          <w:tcPr>
            <w:tcW w:w="12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Unit Terdampak</w:t>
            </w:r>
          </w:p>
        </w:tc>
        <w:tc>
          <w:tcPr>
            <w:tcW w:w="9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Prob.</w:t>
            </w:r>
          </w:p>
        </w:tc>
        <w:tc>
          <w:tcPr>
            <w:tcW w:w="85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Dampak</w:t>
            </w:r>
          </w:p>
        </w:tc>
        <w:tc>
          <w:tcPr>
            <w:tcW w:w="9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Sistem</w:t>
            </w:r>
          </w:p>
        </w:tc>
        <w:tc>
          <w:tcPr>
            <w:tcW w:w="10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Skor Risiko</w:t>
            </w:r>
          </w:p>
        </w:tc>
        <w:tc>
          <w:tcPr>
            <w:tcW w:w="8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Kategori</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IADP (Infeksi Aliran Darah Primer)</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NICU, HCU</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80</w:t>
            </w:r>
          </w:p>
        </w:tc>
        <w:tc>
          <w:tcPr>
            <w:tcW w:w="800" w:type="dxa"/>
            <w:tcBorders>
              <w:top w:val="single" w:sz="4" w:space="0" w:color="BBCAD4"/>
              <w:left w:val="single" w:sz="4" w:space="0" w:color="BBCAD4"/>
              <w:bottom w:val="single" w:sz="4" w:space="0" w:color="BBCAD4"/>
              <w:right w:val="single" w:sz="4" w:space="0" w:color="BBCAD4"/>
            </w:tcBorders>
            <w:shd w:val="clear" w:color="auto" w:fill="C0152A"/>
            <w:tcMar>
              <w:top w:w="80" w:type="dxa"/>
              <w:left w:w="120" w:type="dxa"/>
              <w:bottom w:w="80" w:type="dxa"/>
              <w:right w:w="120" w:type="dxa"/>
            </w:tcMar>
            <w:vAlign w:val="center"/>
          </w:tcPr>
          <w:p w:rsidR="0018761B" w:rsidRDefault="00AF4D81">
            <w:pPr>
              <w:jc w:val="center"/>
            </w:pPr>
            <w:r>
              <w:rPr>
                <w:b/>
                <w:bCs/>
                <w:color w:val="FFFFFF"/>
                <w:sz w:val="18"/>
                <w:szCs w:val="18"/>
              </w:rPr>
              <w:t>SANGAT TINGGI</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VAP (Ventilator-Associated Pneumonia)</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NICU</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60</w:t>
            </w:r>
          </w:p>
        </w:tc>
        <w:tc>
          <w:tcPr>
            <w:tcW w:w="800" w:type="dxa"/>
            <w:tcBorders>
              <w:top w:val="single" w:sz="4" w:space="0" w:color="BBCAD4"/>
              <w:left w:val="single" w:sz="4" w:space="0" w:color="BBCAD4"/>
              <w:bottom w:val="single" w:sz="4" w:space="0" w:color="BBCAD4"/>
              <w:right w:val="single" w:sz="4" w:space="0" w:color="BBCAD4"/>
            </w:tcBorders>
            <w:shd w:val="clear" w:color="auto" w:fill="C0520A"/>
            <w:tcMar>
              <w:top w:w="80" w:type="dxa"/>
              <w:left w:w="120" w:type="dxa"/>
              <w:bottom w:w="80" w:type="dxa"/>
              <w:right w:w="120" w:type="dxa"/>
            </w:tcMar>
            <w:vAlign w:val="center"/>
          </w:tcPr>
          <w:p w:rsidR="0018761B" w:rsidRDefault="00AF4D81">
            <w:pPr>
              <w:jc w:val="center"/>
            </w:pPr>
            <w:r>
              <w:rPr>
                <w:b/>
                <w:bCs/>
                <w:color w:val="FFFFFF"/>
                <w:sz w:val="18"/>
                <w:szCs w:val="18"/>
              </w:rPr>
              <w:t>TINGGI</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ISK (Infeksi Saluran Kemih) terkait kateter</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Rawat Inap</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36</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IDO (Infeksi Daerah Operasi)</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OK, Rawat Bedah</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36</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kebersihan tangan &lt; 85%</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unit</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75</w:t>
            </w:r>
          </w:p>
        </w:tc>
        <w:tc>
          <w:tcPr>
            <w:tcW w:w="800" w:type="dxa"/>
            <w:tcBorders>
              <w:top w:val="single" w:sz="4" w:space="0" w:color="BBCAD4"/>
              <w:left w:val="single" w:sz="4" w:space="0" w:color="BBCAD4"/>
              <w:bottom w:val="single" w:sz="4" w:space="0" w:color="BBCAD4"/>
              <w:right w:val="single" w:sz="4" w:space="0" w:color="BBCAD4"/>
            </w:tcBorders>
            <w:shd w:val="clear" w:color="auto" w:fill="C0520A"/>
            <w:tcMar>
              <w:top w:w="80" w:type="dxa"/>
              <w:left w:w="120" w:type="dxa"/>
              <w:bottom w:w="80" w:type="dxa"/>
              <w:right w:w="120" w:type="dxa"/>
            </w:tcMar>
            <w:vAlign w:val="center"/>
          </w:tcPr>
          <w:p w:rsidR="0018761B" w:rsidRDefault="00AF4D81">
            <w:pPr>
              <w:jc w:val="center"/>
            </w:pPr>
            <w:r>
              <w:rPr>
                <w:b/>
                <w:bCs/>
                <w:color w:val="FFFFFF"/>
                <w:sz w:val="18"/>
                <w:szCs w:val="18"/>
              </w:rPr>
              <w:t>TINGGI</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Risiko infeksi dari renovasi &amp; </w:t>
            </w:r>
            <w:r>
              <w:rPr>
                <w:sz w:val="20"/>
                <w:szCs w:val="20"/>
              </w:rPr>
              <w:t>konstruksi</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Area renovasi Wing C</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48</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7</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Risiko KLB / outbreak penyakit menular (TB, COVID-19, MRSA)</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IGD, Rawat Inap, Poli</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45</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8</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Ketidakpatuhan penggunaan APD sesuai indikasi</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IGD, OK, Lab, Laundri</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48</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9</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Proses </w:t>
            </w:r>
            <w:r>
              <w:rPr>
                <w:sz w:val="20"/>
                <w:szCs w:val="20"/>
              </w:rPr>
              <w:t xml:space="preserve">sterilisasi alat yang tidak </w:t>
            </w:r>
            <w:r>
              <w:rPr>
                <w:sz w:val="20"/>
                <w:szCs w:val="20"/>
              </w:rPr>
              <w:lastRenderedPageBreak/>
              <w:t>adekuat</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lastRenderedPageBreak/>
              <w:t>CSSD, OK, Poliklinik</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30</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r w:rsidR="0018761B">
        <w:tc>
          <w:tcPr>
            <w:tcW w:w="3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lastRenderedPageBreak/>
              <w:t>10</w:t>
            </w:r>
          </w:p>
        </w:tc>
        <w:tc>
          <w:tcPr>
            <w:tcW w:w="20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Pengelolaan limbah medis yang tidak sesuai standar</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unit</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85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27</w:t>
            </w:r>
          </w:p>
        </w:tc>
        <w:tc>
          <w:tcPr>
            <w:tcW w:w="800" w:type="dxa"/>
            <w:tcBorders>
              <w:top w:val="single" w:sz="4" w:space="0" w:color="BBCAD4"/>
              <w:left w:val="single" w:sz="4" w:space="0" w:color="BBCAD4"/>
              <w:bottom w:val="single" w:sz="4" w:space="0" w:color="BBCAD4"/>
              <w:right w:val="single" w:sz="4" w:space="0" w:color="BBCAD4"/>
            </w:tcBorders>
            <w:shd w:val="clear" w:color="auto" w:fill="C47D0A"/>
            <w:tcMar>
              <w:top w:w="80" w:type="dxa"/>
              <w:left w:w="120" w:type="dxa"/>
              <w:bottom w:w="80" w:type="dxa"/>
              <w:right w:w="120" w:type="dxa"/>
            </w:tcMar>
            <w:vAlign w:val="center"/>
          </w:tcPr>
          <w:p w:rsidR="0018761B" w:rsidRDefault="00AF4D81">
            <w:pPr>
              <w:jc w:val="center"/>
            </w:pPr>
            <w:r>
              <w:rPr>
                <w:b/>
                <w:bCs/>
                <w:color w:val="FFFFFF"/>
                <w:sz w:val="18"/>
                <w:szCs w:val="18"/>
              </w:rPr>
              <w:t>SEDANG</w:t>
            </w:r>
          </w:p>
        </w:tc>
      </w:tr>
    </w:tbl>
    <w:p w:rsidR="0018761B" w:rsidRDefault="00AF4D81">
      <w:r>
        <w:br w:type="page"/>
      </w:r>
    </w:p>
    <w:p w:rsidR="0018761B" w:rsidRDefault="00AF4D81">
      <w:pPr>
        <w:pStyle w:val="Heading2"/>
        <w:pBdr>
          <w:bottom w:val="single" w:sz="4" w:space="4" w:color="0B7B8C"/>
        </w:pBdr>
      </w:pPr>
      <w:r>
        <w:lastRenderedPageBreak/>
        <w:t>BAB III. PROGRAM KEGIATAN PPI TAHUN 2025</w:t>
      </w:r>
    </w:p>
    <w:p w:rsidR="0018761B" w:rsidRDefault="00AF4D81">
      <w:pPr>
        <w:spacing w:before="60" w:after="60"/>
      </w:pPr>
      <w:r>
        <w:rPr>
          <w:color w:val="000000"/>
        </w:rPr>
        <w:t xml:space="preserve">Program kegiatan disusun berdasarkan prioritas risiko </w:t>
      </w:r>
      <w:r>
        <w:rPr>
          <w:color w:val="000000"/>
        </w:rPr>
        <w:t>ICRA, dikelompokkan per area intervensi, dengan target, penanggung jawab, dan jadwal pelaksanaan yang terukur.</w:t>
      </w:r>
    </w:p>
    <w:p w:rsidR="0018761B" w:rsidRDefault="0018761B">
      <w:pPr>
        <w:spacing w:before="60" w:after="60"/>
      </w:pPr>
    </w:p>
    <w:p w:rsidR="0018761B" w:rsidRDefault="00AF4D81">
      <w:pPr>
        <w:pStyle w:val="Heading3"/>
      </w:pPr>
      <w:r>
        <w:t>A. Program Pengendalian HAIs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C0152A"/>
            <w:tcMar>
              <w:top w:w="100" w:type="dxa"/>
              <w:left w:w="200" w:type="dxa"/>
              <w:bottom w:w="100" w:type="dxa"/>
              <w:right w:w="200" w:type="dxa"/>
            </w:tcMar>
          </w:tcPr>
          <w:p w:rsidR="0018761B" w:rsidRDefault="00AF4D81">
            <w:r>
              <w:rPr>
                <w:b/>
                <w:bCs/>
                <w:color w:val="FFFFFF"/>
                <w:sz w:val="24"/>
                <w:szCs w:val="24"/>
              </w:rPr>
              <w:t>A.1  IADP — Infeksi Aliran Darah Primer (Prioritas: SANGAT TINGGI)</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94"/>
        <w:gridCol w:w="1316"/>
        <w:gridCol w:w="1822"/>
        <w:gridCol w:w="1555"/>
        <w:gridCol w:w="1069"/>
        <w:gridCol w:w="1047"/>
        <w:gridCol w:w="1132"/>
        <w:gridCol w:w="1443"/>
      </w:tblGrid>
      <w:tr w:rsidR="0018761B">
        <w:tc>
          <w:tcPr>
            <w:tcW w:w="494"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316"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82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55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069"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104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13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443"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49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31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bundle IADP (Central Line Bundle) bagi perawat ICU, NICU, HCU</w:t>
            </w:r>
          </w:p>
        </w:tc>
        <w:tc>
          <w:tcPr>
            <w:tcW w:w="18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bundle IADP ≥ 90% pada bulan ke-3</w:t>
            </w:r>
          </w:p>
        </w:tc>
        <w:tc>
          <w:tcPr>
            <w:tcW w:w="15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Perawat ICU/NICU/HCU (45 orang)</w:t>
            </w:r>
          </w:p>
        </w:tc>
        <w:tc>
          <w:tcPr>
            <w:tcW w:w="10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Ka. Instalasi ICU</w:t>
            </w:r>
          </w:p>
        </w:tc>
        <w:tc>
          <w:tcPr>
            <w:tcW w:w="10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Jan–Feb 2025</w:t>
            </w:r>
          </w:p>
        </w:tc>
        <w:tc>
          <w:tcPr>
            <w:tcW w:w="113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5.000.000</w:t>
            </w:r>
          </w:p>
        </w:tc>
        <w:tc>
          <w:tcPr>
            <w:tcW w:w="144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Kepatuhan bundle ≥ </w:t>
            </w:r>
            <w:r>
              <w:rPr>
                <w:sz w:val="20"/>
                <w:szCs w:val="20"/>
              </w:rPr>
              <w:t>90% (audit IPCN)</w:t>
            </w:r>
          </w:p>
        </w:tc>
      </w:tr>
      <w:tr w:rsidR="0018761B">
        <w:tc>
          <w:tcPr>
            <w:tcW w:w="49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31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Audit observasional kepatuhan perawatan IV line setiap 2 minggu</w:t>
            </w:r>
          </w:p>
        </w:tc>
        <w:tc>
          <w:tcPr>
            <w:tcW w:w="18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Identifikasi gaps praktik — target 0 temuan mayor per audit</w:t>
            </w:r>
          </w:p>
        </w:tc>
        <w:tc>
          <w:tcPr>
            <w:tcW w:w="15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Perawat ICU/NICU/HCU</w:t>
            </w:r>
          </w:p>
        </w:tc>
        <w:tc>
          <w:tcPr>
            <w:tcW w:w="10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w:t>
            </w:r>
          </w:p>
        </w:tc>
        <w:tc>
          <w:tcPr>
            <w:tcW w:w="10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2025 (2x/bln)</w:t>
            </w:r>
          </w:p>
        </w:tc>
        <w:tc>
          <w:tcPr>
            <w:tcW w:w="113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4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audit bulanan tersedia</w:t>
            </w:r>
          </w:p>
        </w:tc>
      </w:tr>
      <w:tr w:rsidR="0018761B">
        <w:tc>
          <w:tcPr>
            <w:tcW w:w="49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31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Surveilans aktif IADP: </w:t>
            </w:r>
            <w:r>
              <w:rPr>
                <w:sz w:val="20"/>
                <w:szCs w:val="20"/>
              </w:rPr>
              <w:t>pengumpulan data, analisis tren, dan pelaporan bulanan</w:t>
            </w:r>
          </w:p>
        </w:tc>
        <w:tc>
          <w:tcPr>
            <w:tcW w:w="18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IADP ≤ 3,5 per 1.000 hari kateter</w:t>
            </w:r>
          </w:p>
        </w:tc>
        <w:tc>
          <w:tcPr>
            <w:tcW w:w="15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NICU, HCU</w:t>
            </w:r>
          </w:p>
        </w:tc>
        <w:tc>
          <w:tcPr>
            <w:tcW w:w="10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IPCO ICU</w:t>
            </w:r>
          </w:p>
        </w:tc>
        <w:tc>
          <w:tcPr>
            <w:tcW w:w="10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2025 (bulanan)</w:t>
            </w:r>
          </w:p>
        </w:tc>
        <w:tc>
          <w:tcPr>
            <w:tcW w:w="113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4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surveilans bulanan ke Direktur &amp; Komite PMKP</w:t>
            </w:r>
          </w:p>
        </w:tc>
      </w:tr>
      <w:tr w:rsidR="0018761B">
        <w:tc>
          <w:tcPr>
            <w:tcW w:w="49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31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Pengadaan dan sosialisasi checklist pemasangan </w:t>
            </w:r>
            <w:r>
              <w:rPr>
                <w:sz w:val="20"/>
                <w:szCs w:val="20"/>
              </w:rPr>
              <w:t>CVC/PICC sesuai standar</w:t>
            </w:r>
          </w:p>
        </w:tc>
        <w:tc>
          <w:tcPr>
            <w:tcW w:w="18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Checklist tersedia di 100% tempat pemasangan CVC</w:t>
            </w:r>
          </w:p>
        </w:tc>
        <w:tc>
          <w:tcPr>
            <w:tcW w:w="15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OK, ICU, NICU</w:t>
            </w:r>
          </w:p>
        </w:tc>
        <w:tc>
          <w:tcPr>
            <w:tcW w:w="10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Instalasi ICU + IPCN</w:t>
            </w:r>
          </w:p>
        </w:tc>
        <w:tc>
          <w:tcPr>
            <w:tcW w:w="10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Januari 2025</w:t>
            </w:r>
          </w:p>
        </w:tc>
        <w:tc>
          <w:tcPr>
            <w:tcW w:w="113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1.500.000</w:t>
            </w:r>
          </w:p>
        </w:tc>
        <w:tc>
          <w:tcPr>
            <w:tcW w:w="144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Checklist terisi pada 100% pemasangan CVC</w:t>
            </w:r>
          </w:p>
        </w:tc>
      </w:tr>
      <w:tr w:rsidR="0018761B">
        <w:tc>
          <w:tcPr>
            <w:tcW w:w="49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131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RCA setiap kejadian IADP yang teridentifikasi — selesai dalam 45 hari</w:t>
            </w:r>
          </w:p>
        </w:tc>
        <w:tc>
          <w:tcPr>
            <w:tcW w:w="18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Akar </w:t>
            </w:r>
            <w:r>
              <w:rPr>
                <w:sz w:val="20"/>
                <w:szCs w:val="20"/>
              </w:rPr>
              <w:t>masalah teridentifikasi + RTL diimplementasikan</w:t>
            </w:r>
          </w:p>
        </w:tc>
        <w:tc>
          <w:tcPr>
            <w:tcW w:w="15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Unit yang bersangkutan</w:t>
            </w:r>
          </w:p>
        </w:tc>
        <w:tc>
          <w:tcPr>
            <w:tcW w:w="10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Komite PPI + Ka. Unit</w:t>
            </w:r>
          </w:p>
        </w:tc>
        <w:tc>
          <w:tcPr>
            <w:tcW w:w="10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Sesuai kejadian</w:t>
            </w:r>
          </w:p>
        </w:tc>
        <w:tc>
          <w:tcPr>
            <w:tcW w:w="113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4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Dokumen RCA tersedia dalam 45 hari</w:t>
            </w:r>
          </w:p>
        </w:tc>
      </w:tr>
    </w:tbl>
    <w:p w:rsidR="0018761B" w:rsidRDefault="0018761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C0520A"/>
            <w:tcMar>
              <w:top w:w="100" w:type="dxa"/>
              <w:left w:w="200" w:type="dxa"/>
              <w:bottom w:w="100" w:type="dxa"/>
              <w:right w:w="200" w:type="dxa"/>
            </w:tcMar>
          </w:tcPr>
          <w:p w:rsidR="0018761B" w:rsidRDefault="00AF4D81">
            <w:r>
              <w:rPr>
                <w:b/>
                <w:bCs/>
                <w:color w:val="FFFFFF"/>
                <w:sz w:val="24"/>
                <w:szCs w:val="24"/>
              </w:rPr>
              <w:t>A.2  VAP — Ventilator-Associated Pneumonia (Prioritas: TINGGI)</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96"/>
        <w:gridCol w:w="1291"/>
        <w:gridCol w:w="1369"/>
        <w:gridCol w:w="1174"/>
        <w:gridCol w:w="1048"/>
        <w:gridCol w:w="1062"/>
        <w:gridCol w:w="1323"/>
        <w:gridCol w:w="1577"/>
      </w:tblGrid>
      <w:tr w:rsidR="0018761B">
        <w:tc>
          <w:tcPr>
            <w:tcW w:w="496"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291"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369"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174"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048"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106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323"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57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49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lastRenderedPageBreak/>
              <w:t>1</w:t>
            </w:r>
          </w:p>
        </w:tc>
        <w:tc>
          <w:tcPr>
            <w:tcW w:w="129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dan simulasi VAP bundle (HOB 30°, oral hygiene, sedation vacation, cuff pressure check)</w:t>
            </w:r>
          </w:p>
        </w:tc>
        <w:tc>
          <w:tcPr>
            <w:tcW w:w="13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VAP bundle ≥ 90%</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Perawat ICU/NICU (30 orang)</w:t>
            </w:r>
          </w:p>
        </w:tc>
        <w:tc>
          <w:tcPr>
            <w:tcW w:w="104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Ka. ICU</w:t>
            </w:r>
          </w:p>
        </w:tc>
        <w:tc>
          <w:tcPr>
            <w:tcW w:w="10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Jan–Feb 2025</w:t>
            </w:r>
          </w:p>
        </w:tc>
        <w:tc>
          <w:tcPr>
            <w:tcW w:w="132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4.000.000</w:t>
            </w:r>
          </w:p>
        </w:tc>
        <w:tc>
          <w:tcPr>
            <w:tcW w:w="15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Kepatuhan bundle ≥ </w:t>
            </w:r>
            <w:r>
              <w:rPr>
                <w:sz w:val="20"/>
                <w:szCs w:val="20"/>
              </w:rPr>
              <w:t>90% (audit bulanan)</w:t>
            </w:r>
          </w:p>
        </w:tc>
      </w:tr>
      <w:tr w:rsidR="0018761B">
        <w:tc>
          <w:tcPr>
            <w:tcW w:w="49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29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Audit observasional VAP bundle setiap bulan — hasil dilaporkan ke Ka. Instalasi</w:t>
            </w:r>
          </w:p>
        </w:tc>
        <w:tc>
          <w:tcPr>
            <w:tcW w:w="13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Identifikasi deviasi praktik</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Perawat ICU/NICU</w:t>
            </w:r>
          </w:p>
        </w:tc>
        <w:tc>
          <w:tcPr>
            <w:tcW w:w="104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w:t>
            </w:r>
          </w:p>
        </w:tc>
        <w:tc>
          <w:tcPr>
            <w:tcW w:w="10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2025 (bulanan)</w:t>
            </w:r>
          </w:p>
        </w:tc>
        <w:tc>
          <w:tcPr>
            <w:tcW w:w="132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5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audit tersedia setiap bulan</w:t>
            </w:r>
          </w:p>
        </w:tc>
      </w:tr>
      <w:tr w:rsidR="0018761B">
        <w:tc>
          <w:tcPr>
            <w:tcW w:w="49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29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Surveilans aktif VAP — target ≤ 5,8 </w:t>
            </w:r>
            <w:r>
              <w:rPr>
                <w:sz w:val="20"/>
                <w:szCs w:val="20"/>
              </w:rPr>
              <w:t>per 1.000 hari ventilator</w:t>
            </w:r>
          </w:p>
        </w:tc>
        <w:tc>
          <w:tcPr>
            <w:tcW w:w="13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VAP ≤ standar nasional</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NICU</w:t>
            </w:r>
          </w:p>
        </w:tc>
        <w:tc>
          <w:tcPr>
            <w:tcW w:w="104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IPCO</w:t>
            </w:r>
          </w:p>
        </w:tc>
        <w:tc>
          <w:tcPr>
            <w:tcW w:w="10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2025</w:t>
            </w:r>
          </w:p>
        </w:tc>
        <w:tc>
          <w:tcPr>
            <w:tcW w:w="132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5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surveilans bulanan terdokumentasi</w:t>
            </w:r>
          </w:p>
        </w:tc>
      </w:tr>
      <w:tr w:rsidR="0018761B">
        <w:tc>
          <w:tcPr>
            <w:tcW w:w="49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29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Pengadaan oral hygiene kit khusus pasien ventilator (chlorhexidine 0,12%)</w:t>
            </w:r>
          </w:p>
        </w:tc>
        <w:tc>
          <w:tcPr>
            <w:tcW w:w="136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Oral hygiene tersedia di 100% pasien </w:t>
            </w:r>
            <w:r>
              <w:rPr>
                <w:sz w:val="20"/>
                <w:szCs w:val="20"/>
              </w:rPr>
              <w:t>ventilasi mekanik</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Pasien ICU/NICU dengan ventilasi mekanik</w:t>
            </w:r>
          </w:p>
        </w:tc>
        <w:tc>
          <w:tcPr>
            <w:tcW w:w="104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Farmasi + Ka. ICU</w:t>
            </w:r>
          </w:p>
        </w:tc>
        <w:tc>
          <w:tcPr>
            <w:tcW w:w="10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Januari 2025</w:t>
            </w:r>
          </w:p>
        </w:tc>
        <w:tc>
          <w:tcPr>
            <w:tcW w:w="132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8.000.000/th</w:t>
            </w:r>
          </w:p>
        </w:tc>
        <w:tc>
          <w:tcPr>
            <w:tcW w:w="15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Oral hygiene kit tersedia dan terpakai pada 100% pasien ventilasi mekanik</w:t>
            </w:r>
          </w:p>
        </w:tc>
      </w:tr>
    </w:tbl>
    <w:p w:rsidR="0018761B" w:rsidRDefault="0018761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C47D0A"/>
            <w:tcMar>
              <w:top w:w="100" w:type="dxa"/>
              <w:left w:w="200" w:type="dxa"/>
              <w:bottom w:w="100" w:type="dxa"/>
              <w:right w:w="200" w:type="dxa"/>
            </w:tcMar>
          </w:tcPr>
          <w:p w:rsidR="0018761B" w:rsidRDefault="00AF4D81">
            <w:r>
              <w:rPr>
                <w:b/>
                <w:bCs/>
                <w:color w:val="FFFFFF"/>
                <w:sz w:val="24"/>
                <w:szCs w:val="24"/>
              </w:rPr>
              <w:t>A.3  ISK &amp; IDO (Prioritas: SEDANG)</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7"/>
        <w:gridCol w:w="1322"/>
        <w:gridCol w:w="1400"/>
        <w:gridCol w:w="1200"/>
        <w:gridCol w:w="1072"/>
        <w:gridCol w:w="900"/>
        <w:gridCol w:w="1174"/>
        <w:gridCol w:w="1497"/>
      </w:tblGrid>
      <w:tr w:rsidR="0018761B">
        <w:tc>
          <w:tcPr>
            <w:tcW w:w="50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32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4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2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0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9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174"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49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3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pemasangan kateter urin dengan teknik aseptik — seluruh perawat rawat inap &amp; ICU</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ISK ≤ 4,7 per 1.000 hari kateter</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Perawat rawat inap + ICU (80 orang)</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Maret 2025</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4.000.000</w:t>
            </w:r>
          </w:p>
        </w:tc>
        <w:tc>
          <w:tcPr>
            <w:tcW w:w="149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Kepatuhan </w:t>
            </w:r>
            <w:r>
              <w:rPr>
                <w:sz w:val="20"/>
                <w:szCs w:val="20"/>
              </w:rPr>
              <w:t>pemasangan ≥ 90%</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3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Sosialisasi dan monitoring checklist IDO pra/intra/pasca operasi — program profilaksis antibiotik</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IDO ≤ 2% di seluruh prosedur operatif</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Dokter bedah + perawat OK</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Ka. OK</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Feb–Mar 2025</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2.000.000</w:t>
            </w:r>
          </w:p>
        </w:tc>
        <w:tc>
          <w:tcPr>
            <w:tcW w:w="149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Checklist IDO terisi 100% pada </w:t>
            </w:r>
            <w:r>
              <w:rPr>
                <w:sz w:val="20"/>
                <w:szCs w:val="20"/>
              </w:rPr>
              <w:t>setiap operasi</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32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Surveilans ISK dan IDO bulanan + laporan ke Komite PMKP setiap triwulan</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Data tersedia tepat waktu setiap bulan</w:t>
            </w:r>
          </w:p>
        </w:tc>
        <w:tc>
          <w:tcPr>
            <w:tcW w:w="12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Rawat inap, ICU, OK</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w:t>
            </w:r>
          </w:p>
        </w:tc>
        <w:tc>
          <w:tcPr>
            <w:tcW w:w="9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2025</w:t>
            </w:r>
          </w:p>
        </w:tc>
        <w:tc>
          <w:tcPr>
            <w:tcW w:w="117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9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surveilans triwulanan ke Direktur &amp; PMKP</w:t>
            </w:r>
          </w:p>
        </w:tc>
      </w:tr>
    </w:tbl>
    <w:p w:rsidR="0018761B" w:rsidRDefault="00AF4D81">
      <w:r>
        <w:lastRenderedPageBreak/>
        <w:br w:type="page"/>
      </w:r>
    </w:p>
    <w:p w:rsidR="0018761B" w:rsidRDefault="00AF4D81">
      <w:pPr>
        <w:pStyle w:val="Heading3"/>
      </w:pPr>
      <w:r>
        <w:lastRenderedPageBreak/>
        <w:t>B. Program Kebersihan Tangan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C0520A"/>
            <w:tcMar>
              <w:top w:w="100" w:type="dxa"/>
              <w:left w:w="200" w:type="dxa"/>
              <w:bottom w:w="100" w:type="dxa"/>
              <w:right w:w="200" w:type="dxa"/>
            </w:tcMar>
          </w:tcPr>
          <w:p w:rsidR="0018761B" w:rsidRDefault="00AF4D81">
            <w:r>
              <w:rPr>
                <w:b/>
                <w:bCs/>
                <w:color w:val="FFFFFF"/>
                <w:sz w:val="24"/>
                <w:szCs w:val="24"/>
              </w:rPr>
              <w:t>Prioritas: TINGGI — Target kepatuhan ≥ 85% akhir tahun 2025</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4"/>
        <w:gridCol w:w="1312"/>
        <w:gridCol w:w="1477"/>
        <w:gridCol w:w="1289"/>
        <w:gridCol w:w="1065"/>
        <w:gridCol w:w="901"/>
        <w:gridCol w:w="1233"/>
        <w:gridCol w:w="1603"/>
      </w:tblGrid>
      <w:tr w:rsidR="0018761B">
        <w:tc>
          <w:tcPr>
            <w:tcW w:w="504"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31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47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289"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06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901"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233"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603"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5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3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6 langkah WHO dan 5 momen kebersihan tangan — untuk seluruh staf klinis dan non-klinis</w:t>
            </w:r>
          </w:p>
        </w:tc>
        <w:tc>
          <w:tcPr>
            <w:tcW w:w="14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100% staf </w:t>
            </w:r>
            <w:r>
              <w:rPr>
                <w:sz w:val="20"/>
                <w:szCs w:val="20"/>
              </w:rPr>
              <w:t>mendapat pelatihan minimal 1x/tahun</w:t>
            </w:r>
          </w:p>
        </w:tc>
        <w:tc>
          <w:tcPr>
            <w:tcW w:w="12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staf RS (± 450 orang)</w:t>
            </w:r>
          </w:p>
        </w:tc>
        <w:tc>
          <w:tcPr>
            <w:tcW w:w="10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Diklat</w:t>
            </w:r>
          </w:p>
        </w:tc>
        <w:tc>
          <w:tcPr>
            <w:tcW w:w="9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Jan–Mar 2025</w:t>
            </w:r>
          </w:p>
        </w:tc>
        <w:tc>
          <w:tcPr>
            <w:tcW w:w="123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10.000.000</w:t>
            </w:r>
          </w:p>
        </w:tc>
        <w:tc>
          <w:tcPr>
            <w:tcW w:w="16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Sertifikat pelatihan + daftar hadir tersedia</w:t>
            </w:r>
          </w:p>
        </w:tc>
      </w:tr>
      <w:tr w:rsidR="0018761B">
        <w:tc>
          <w:tcPr>
            <w:tcW w:w="5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3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Audit kepatuhan kebersihan tangan (metode WHO 5 momen) — 2x per bulan per unit prioritas</w:t>
            </w:r>
          </w:p>
        </w:tc>
        <w:tc>
          <w:tcPr>
            <w:tcW w:w="14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 85%</w:t>
            </w:r>
            <w:r>
              <w:rPr>
                <w:sz w:val="20"/>
                <w:szCs w:val="20"/>
              </w:rPr>
              <w:t xml:space="preserve"> di semua unit pada Desember 2025</w:t>
            </w:r>
          </w:p>
        </w:tc>
        <w:tc>
          <w:tcPr>
            <w:tcW w:w="12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IGD, OK, Rawat Inap, Perinatologi</w:t>
            </w:r>
          </w:p>
        </w:tc>
        <w:tc>
          <w:tcPr>
            <w:tcW w:w="10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IPCLN unit</w:t>
            </w:r>
          </w:p>
        </w:tc>
        <w:tc>
          <w:tcPr>
            <w:tcW w:w="9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(2x/bln)</w:t>
            </w:r>
          </w:p>
        </w:tc>
        <w:tc>
          <w:tcPr>
            <w:tcW w:w="123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6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audit bulanan, tren kepatuhan meningkat</w:t>
            </w:r>
          </w:p>
        </w:tc>
      </w:tr>
      <w:tr w:rsidR="0018761B">
        <w:tc>
          <w:tcPr>
            <w:tcW w:w="5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3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Pemasangan dispenser handrub di seluruh tempat tidur pasien, pintu masuk unit, dan trolley </w:t>
            </w:r>
            <w:r>
              <w:rPr>
                <w:sz w:val="20"/>
                <w:szCs w:val="20"/>
              </w:rPr>
              <w:t>tindakan</w:t>
            </w:r>
          </w:p>
        </w:tc>
        <w:tc>
          <w:tcPr>
            <w:tcW w:w="14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Handrub tersedia di 100% titik pelayanan pasien</w:t>
            </w:r>
          </w:p>
        </w:tc>
        <w:tc>
          <w:tcPr>
            <w:tcW w:w="12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unit perawatan (target 320 dispenser)</w:t>
            </w:r>
          </w:p>
        </w:tc>
        <w:tc>
          <w:tcPr>
            <w:tcW w:w="10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Logistik + IPCN</w:t>
            </w:r>
          </w:p>
        </w:tc>
        <w:tc>
          <w:tcPr>
            <w:tcW w:w="9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Januari 2025</w:t>
            </w:r>
          </w:p>
        </w:tc>
        <w:tc>
          <w:tcPr>
            <w:tcW w:w="123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32.000.000</w:t>
            </w:r>
          </w:p>
        </w:tc>
        <w:tc>
          <w:tcPr>
            <w:tcW w:w="16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Survei ketersediaan handrub ≥ 95% saat audit</w:t>
            </w:r>
          </w:p>
        </w:tc>
      </w:tr>
      <w:tr w:rsidR="0018761B">
        <w:tc>
          <w:tcPr>
            <w:tcW w:w="5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3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Kampanye Hand Hygiene — poster, video edukasi, lomba cuci </w:t>
            </w:r>
            <w:r>
              <w:rPr>
                <w:sz w:val="20"/>
                <w:szCs w:val="20"/>
              </w:rPr>
              <w:t>tangan antar unit pada Hari Cuci Tangan Sedunia (5 Mei)</w:t>
            </w:r>
          </w:p>
        </w:tc>
        <w:tc>
          <w:tcPr>
            <w:tcW w:w="14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Meningkatkan kesadaran dan motivasi staf</w:t>
            </w:r>
          </w:p>
        </w:tc>
        <w:tc>
          <w:tcPr>
            <w:tcW w:w="12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staf RS</w:t>
            </w:r>
          </w:p>
        </w:tc>
        <w:tc>
          <w:tcPr>
            <w:tcW w:w="10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Komite PPI + Humas</w:t>
            </w:r>
          </w:p>
        </w:tc>
        <w:tc>
          <w:tcPr>
            <w:tcW w:w="9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Mei 2025</w:t>
            </w:r>
          </w:p>
        </w:tc>
        <w:tc>
          <w:tcPr>
            <w:tcW w:w="123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5.000.000</w:t>
            </w:r>
          </w:p>
        </w:tc>
        <w:tc>
          <w:tcPr>
            <w:tcW w:w="16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Kegiatan terlaksana + dokumentasi foto tersedia</w:t>
            </w:r>
          </w:p>
        </w:tc>
      </w:tr>
      <w:tr w:rsidR="0018761B">
        <w:tc>
          <w:tcPr>
            <w:tcW w:w="5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13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Feedback hasil audit HH ke setiap Ka. Unit — disertai </w:t>
            </w:r>
            <w:r>
              <w:rPr>
                <w:sz w:val="20"/>
                <w:szCs w:val="20"/>
              </w:rPr>
              <w:t>rencana perbaikan bila &lt; 85%</w:t>
            </w:r>
          </w:p>
        </w:tc>
        <w:tc>
          <w:tcPr>
            <w:tcW w:w="147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Unit mengetahui capaian dan melakukan perbaikan</w:t>
            </w:r>
          </w:p>
        </w:tc>
        <w:tc>
          <w:tcPr>
            <w:tcW w:w="12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Unit seluruh RS</w:t>
            </w:r>
          </w:p>
        </w:tc>
        <w:tc>
          <w:tcPr>
            <w:tcW w:w="10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w:t>
            </w:r>
          </w:p>
        </w:tc>
        <w:tc>
          <w:tcPr>
            <w:tcW w:w="9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Setiap bulan</w:t>
            </w:r>
          </w:p>
        </w:tc>
        <w:tc>
          <w:tcPr>
            <w:tcW w:w="123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6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feedback terdokumentasi tiap bulan</w:t>
            </w:r>
          </w:p>
        </w:tc>
      </w:tr>
    </w:tbl>
    <w:p w:rsidR="0018761B" w:rsidRDefault="0018761B">
      <w:pPr>
        <w:spacing w:before="60" w:after="60"/>
      </w:pPr>
    </w:p>
    <w:p w:rsidR="0018761B" w:rsidRDefault="00AF4D81">
      <w:pPr>
        <w:pStyle w:val="Heading3"/>
      </w:pPr>
      <w:r>
        <w:lastRenderedPageBreak/>
        <w:t>C. Program PCRA — Pencegahan Risiko Infeksi Terkait Konstruksi/Renovasi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1A3350"/>
            <w:tcMar>
              <w:top w:w="100" w:type="dxa"/>
              <w:left w:w="200" w:type="dxa"/>
              <w:bottom w:w="100" w:type="dxa"/>
              <w:right w:w="200" w:type="dxa"/>
            </w:tcMar>
          </w:tcPr>
          <w:p w:rsidR="0018761B" w:rsidRDefault="00AF4D81">
            <w:r>
              <w:rPr>
                <w:b/>
                <w:bCs/>
                <w:color w:val="FFFFFF"/>
                <w:sz w:val="24"/>
                <w:szCs w:val="24"/>
              </w:rPr>
              <w:t xml:space="preserve">Prioritas: SEDANG </w:t>
            </w:r>
            <w:r>
              <w:rPr>
                <w:b/>
                <w:bCs/>
                <w:color w:val="FFFFFF"/>
                <w:sz w:val="24"/>
                <w:szCs w:val="24"/>
              </w:rPr>
              <w:t>— Area renovasi Wing C (target selesai Juni 2025)</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76"/>
        <w:gridCol w:w="1741"/>
        <w:gridCol w:w="1400"/>
        <w:gridCol w:w="1307"/>
        <w:gridCol w:w="1180"/>
        <w:gridCol w:w="1258"/>
        <w:gridCol w:w="1121"/>
        <w:gridCol w:w="1395"/>
      </w:tblGrid>
      <w:tr w:rsidR="0018761B">
        <w:tc>
          <w:tcPr>
            <w:tcW w:w="476"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741"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4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30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18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1258"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121"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39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47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7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PCRA (Pre-Construction Risk Assessment) sebelum setiap pekerjaan konstruksi/renovasi dimulai</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100% renovasi memiliki </w:t>
            </w:r>
            <w:r>
              <w:rPr>
                <w:sz w:val="20"/>
                <w:szCs w:val="20"/>
              </w:rPr>
              <w:t>dokumen PCRA yang ditandatangani sebelum mulai kerja</w:t>
            </w:r>
          </w:p>
        </w:tc>
        <w:tc>
          <w:tcPr>
            <w:tcW w:w="13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Tim renovasi, K3RS, PPI</w:t>
            </w:r>
          </w:p>
        </w:tc>
        <w:tc>
          <w:tcPr>
            <w:tcW w:w="11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Ka. K3RS</w:t>
            </w:r>
          </w:p>
        </w:tc>
        <w:tc>
          <w:tcPr>
            <w:tcW w:w="125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Sebelum setiap pekerjaan</w:t>
            </w:r>
          </w:p>
        </w:tc>
        <w:tc>
          <w:tcPr>
            <w:tcW w:w="112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39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Dokumen PCRA tersedia dan ditandatangani Direktur</w:t>
            </w:r>
          </w:p>
        </w:tc>
      </w:tr>
      <w:tr w:rsidR="0018761B">
        <w:tc>
          <w:tcPr>
            <w:tcW w:w="47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7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Pemasangan barier debu (dust barrier) dan tekanan negatif di area renovasi Wing C</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Tidak ada paparan debu ke area pasien yang berdekatan</w:t>
            </w:r>
          </w:p>
        </w:tc>
        <w:tc>
          <w:tcPr>
            <w:tcW w:w="13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Area renovasi Wing C — bersebelahan dengan Ruang Bersalin</w:t>
            </w:r>
          </w:p>
        </w:tc>
        <w:tc>
          <w:tcPr>
            <w:tcW w:w="11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Teknik + IPCN</w:t>
            </w:r>
          </w:p>
        </w:tc>
        <w:tc>
          <w:tcPr>
            <w:tcW w:w="125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Januari 2025</w:t>
            </w:r>
          </w:p>
        </w:tc>
        <w:tc>
          <w:tcPr>
            <w:tcW w:w="112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15.000.000</w:t>
            </w:r>
          </w:p>
        </w:tc>
        <w:tc>
          <w:tcPr>
            <w:tcW w:w="139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Inspeksi mingguan: tidak ada debu melewati barier</w:t>
            </w:r>
          </w:p>
        </w:tc>
      </w:tr>
      <w:tr w:rsidR="0018761B">
        <w:tc>
          <w:tcPr>
            <w:tcW w:w="47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7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Monitoring lingkungan area renovasi — kultur </w:t>
            </w:r>
            <w:r>
              <w:rPr>
                <w:sz w:val="20"/>
                <w:szCs w:val="20"/>
              </w:rPr>
              <w:t>udara dan permukaan tiap bulan selama renovasi</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Hasil kultur lingkungan di bawah batas aman</w:t>
            </w:r>
          </w:p>
        </w:tc>
        <w:tc>
          <w:tcPr>
            <w:tcW w:w="13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Area renovasi + unit berdekatan</w:t>
            </w:r>
          </w:p>
        </w:tc>
        <w:tc>
          <w:tcPr>
            <w:tcW w:w="11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Lab Mikrobiologi</w:t>
            </w:r>
          </w:p>
        </w:tc>
        <w:tc>
          <w:tcPr>
            <w:tcW w:w="125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Jan–Jun 2025 (bulanan)</w:t>
            </w:r>
          </w:p>
        </w:tc>
        <w:tc>
          <w:tcPr>
            <w:tcW w:w="112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6.000.000</w:t>
            </w:r>
          </w:p>
        </w:tc>
        <w:tc>
          <w:tcPr>
            <w:tcW w:w="139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kultur bulanan tersedia + tindak lanjut bila abnormal</w:t>
            </w:r>
          </w:p>
        </w:tc>
      </w:tr>
      <w:tr w:rsidR="0018761B">
        <w:tc>
          <w:tcPr>
            <w:tcW w:w="47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7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Briefing </w:t>
            </w:r>
            <w:r>
              <w:rPr>
                <w:sz w:val="20"/>
                <w:szCs w:val="20"/>
              </w:rPr>
              <w:t>wajib pekerja konstruksi: protokol PPI, penggunaan APD, jalur akses, dan prosedur darurat</w:t>
            </w:r>
          </w:p>
        </w:tc>
        <w:tc>
          <w:tcPr>
            <w:tcW w:w="14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100% pekerja mendapat briefing sebelum mulai bekerja</w:t>
            </w:r>
          </w:p>
        </w:tc>
        <w:tc>
          <w:tcPr>
            <w:tcW w:w="13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pekerja kontraktor renovasi</w:t>
            </w:r>
          </w:p>
        </w:tc>
        <w:tc>
          <w:tcPr>
            <w:tcW w:w="11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K3RS + IPCN</w:t>
            </w:r>
          </w:p>
        </w:tc>
        <w:tc>
          <w:tcPr>
            <w:tcW w:w="1258"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Sebelum mulai + pengulangan bulanan</w:t>
            </w:r>
          </w:p>
        </w:tc>
        <w:tc>
          <w:tcPr>
            <w:tcW w:w="112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1.000.000</w:t>
            </w:r>
          </w:p>
        </w:tc>
        <w:tc>
          <w:tcPr>
            <w:tcW w:w="139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Daftar hadir </w:t>
            </w:r>
            <w:r>
              <w:rPr>
                <w:sz w:val="20"/>
                <w:szCs w:val="20"/>
              </w:rPr>
              <w:t>briefing tersedia</w:t>
            </w:r>
          </w:p>
        </w:tc>
      </w:tr>
    </w:tbl>
    <w:p w:rsidR="0018761B" w:rsidRDefault="00AF4D81">
      <w:r>
        <w:br w:type="page"/>
      </w:r>
    </w:p>
    <w:p w:rsidR="0018761B" w:rsidRDefault="00AF4D81">
      <w:pPr>
        <w:pStyle w:val="Heading3"/>
      </w:pPr>
      <w:r>
        <w:lastRenderedPageBreak/>
        <w:t>D. Program Pengendalian Penyakit Menular / Risiko Outbreak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1A3350"/>
            <w:tcMar>
              <w:top w:w="100" w:type="dxa"/>
              <w:left w:w="200" w:type="dxa"/>
              <w:bottom w:w="100" w:type="dxa"/>
              <w:right w:w="200" w:type="dxa"/>
            </w:tcMar>
          </w:tcPr>
          <w:p w:rsidR="0018761B" w:rsidRDefault="00AF4D81">
            <w:r>
              <w:rPr>
                <w:b/>
                <w:bCs/>
                <w:color w:val="FFFFFF"/>
                <w:sz w:val="24"/>
                <w:szCs w:val="24"/>
              </w:rPr>
              <w:t>Prioritas: SEDANG — TB, COVID-19, MRSA, dan patogen multidrug-resistant</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3"/>
        <w:gridCol w:w="1345"/>
        <w:gridCol w:w="1462"/>
        <w:gridCol w:w="1462"/>
        <w:gridCol w:w="1072"/>
        <w:gridCol w:w="1209"/>
        <w:gridCol w:w="1341"/>
        <w:gridCol w:w="1484"/>
      </w:tblGrid>
      <w:tr w:rsidR="0018761B">
        <w:tc>
          <w:tcPr>
            <w:tcW w:w="503"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34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46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46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0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1209"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341"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484"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5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34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Pelatihan </w:t>
            </w:r>
            <w:r>
              <w:rPr>
                <w:sz w:val="20"/>
                <w:szCs w:val="20"/>
              </w:rPr>
              <w:t>kewaspadaan transmisi (kontak, droplet, airborne) bagi perawat dan dokter IGD</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100% staf IGD dan IPCO terlatih kewaspadaan transmisi</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Staf IGD, Poli, Rawat Inap (± 120 orang)</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Diklat</w:t>
            </w:r>
          </w:p>
        </w:tc>
        <w:tc>
          <w:tcPr>
            <w:tcW w:w="120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Feb–Maret 2025</w:t>
            </w:r>
          </w:p>
        </w:tc>
        <w:tc>
          <w:tcPr>
            <w:tcW w:w="13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6.000.000</w:t>
            </w:r>
          </w:p>
        </w:tc>
        <w:tc>
          <w:tcPr>
            <w:tcW w:w="148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Daftar hadir + post-test nilai ≥ 70%</w:t>
            </w:r>
          </w:p>
        </w:tc>
      </w:tr>
      <w:tr w:rsidR="0018761B">
        <w:tc>
          <w:tcPr>
            <w:tcW w:w="5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34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Penyusunan dan sosialisasi SPO investigasi KLB / outbreak + aktivasi Tim Outbreak</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SPO tersedia dan diketahui seluruh IPCO unit</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Tim Outbreak (PPI, Direksi, Keperawatan, SMF)</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Ketua Komite PPI</w:t>
            </w:r>
          </w:p>
        </w:tc>
        <w:tc>
          <w:tcPr>
            <w:tcW w:w="120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Januari 2025</w:t>
            </w:r>
          </w:p>
        </w:tc>
        <w:tc>
          <w:tcPr>
            <w:tcW w:w="13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8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SPO KLB tersedia dan terdistribusi ke seluruh unit</w:t>
            </w:r>
          </w:p>
        </w:tc>
      </w:tr>
      <w:tr w:rsidR="0018761B">
        <w:tc>
          <w:tcPr>
            <w:tcW w:w="5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34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Peta persebaran kuman MDR (MRSA, ESBL, CRE) — analisis pola kuman dari data lab setiap triwulan</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Antibiogram tersedia tiap triwulan; tidak ada peningkatan ≥ 20% MDR dari baseline</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ICU, NICU, Ruang Isolasi, Lab Mikrobiologi</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Farmasi Klinik + Lab</w:t>
            </w:r>
          </w:p>
        </w:tc>
        <w:tc>
          <w:tcPr>
            <w:tcW w:w="120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Triwulanan (Mar, Jun, Sep, Des)</w:t>
            </w:r>
          </w:p>
        </w:tc>
        <w:tc>
          <w:tcPr>
            <w:tcW w:w="13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8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pola kuman triwulanan tersedia dan terdistribusi ke SMF terkait</w:t>
            </w:r>
          </w:p>
        </w:tc>
      </w:tr>
      <w:tr w:rsidR="0018761B">
        <w:tc>
          <w:tcPr>
            <w:tcW w:w="50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34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Verifikasi ketersediaan dan fungsi ruang isolasi tekanan negatif (airborne isolation room)</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Ruang isolasi tekanan negatif siap pakai 100% saat </w:t>
            </w:r>
            <w:r>
              <w:rPr>
                <w:sz w:val="20"/>
                <w:szCs w:val="20"/>
              </w:rPr>
              <w:t>dibutuhkan</w:t>
            </w:r>
          </w:p>
        </w:tc>
        <w:tc>
          <w:tcPr>
            <w:tcW w:w="1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2 ruang isolasi IGD, 2 ruang isolasi rawat inap</w:t>
            </w:r>
          </w:p>
        </w:tc>
        <w:tc>
          <w:tcPr>
            <w:tcW w:w="10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Teknik + IPCN</w:t>
            </w:r>
          </w:p>
        </w:tc>
        <w:tc>
          <w:tcPr>
            <w:tcW w:w="120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 2025 (verifikasi awal) + triwulanan</w:t>
            </w:r>
          </w:p>
        </w:tc>
        <w:tc>
          <w:tcPr>
            <w:tcW w:w="134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2.000.000/th</w:t>
            </w:r>
          </w:p>
        </w:tc>
        <w:tc>
          <w:tcPr>
            <w:tcW w:w="148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uji tekanan negatif bulanan tersedia</w:t>
            </w:r>
          </w:p>
        </w:tc>
      </w:tr>
    </w:tbl>
    <w:p w:rsidR="0018761B" w:rsidRDefault="0018761B">
      <w:pPr>
        <w:spacing w:before="60" w:after="60"/>
      </w:pPr>
    </w:p>
    <w:p w:rsidR="0018761B" w:rsidRDefault="00AF4D81">
      <w:pPr>
        <w:pStyle w:val="Heading3"/>
      </w:pPr>
      <w:r>
        <w:t>E. Program APD, Sterilisasi, dan Pengelolaan Limbah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18761B">
        <w:tc>
          <w:tcPr>
            <w:tcW w:w="9360" w:type="dxa"/>
            <w:tcBorders>
              <w:top w:val="none" w:sz="0" w:space="0" w:color="FFFFFF"/>
              <w:left w:val="none" w:sz="0" w:space="0" w:color="FFFFFF"/>
              <w:bottom w:val="none" w:sz="0" w:space="0" w:color="FFFFFF"/>
              <w:right w:val="none" w:sz="0" w:space="0" w:color="FFFFFF"/>
            </w:tcBorders>
            <w:shd w:val="clear" w:color="auto" w:fill="0B7B8C"/>
            <w:tcMar>
              <w:top w:w="100" w:type="dxa"/>
              <w:left w:w="200" w:type="dxa"/>
              <w:bottom w:w="100" w:type="dxa"/>
              <w:right w:w="200" w:type="dxa"/>
            </w:tcMar>
          </w:tcPr>
          <w:p w:rsidR="0018761B" w:rsidRDefault="00AF4D81">
            <w:r>
              <w:rPr>
                <w:b/>
                <w:bCs/>
                <w:color w:val="FFFFFF"/>
                <w:sz w:val="24"/>
                <w:szCs w:val="24"/>
              </w:rPr>
              <w:t xml:space="preserve">Prioritas: SEDANG — </w:t>
            </w:r>
            <w:r>
              <w:rPr>
                <w:b/>
                <w:bCs/>
                <w:color w:val="FFFFFF"/>
                <w:sz w:val="24"/>
                <w:szCs w:val="24"/>
              </w:rPr>
              <w:t>Kewaspadaan Standar menyeluruh</w:t>
            </w:r>
          </w:p>
        </w:tc>
      </w:tr>
    </w:tbl>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1"/>
        <w:gridCol w:w="1304"/>
        <w:gridCol w:w="1589"/>
        <w:gridCol w:w="1185"/>
        <w:gridCol w:w="1059"/>
        <w:gridCol w:w="1237"/>
        <w:gridCol w:w="1160"/>
        <w:gridCol w:w="1482"/>
      </w:tblGrid>
      <w:tr w:rsidR="0018761B">
        <w:tc>
          <w:tcPr>
            <w:tcW w:w="501"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304"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589"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Tujuan / Target</w:t>
            </w:r>
          </w:p>
        </w:tc>
        <w:tc>
          <w:tcPr>
            <w:tcW w:w="118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Sasaran</w:t>
            </w:r>
          </w:p>
        </w:tc>
        <w:tc>
          <w:tcPr>
            <w:tcW w:w="1059"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PIC</w:t>
            </w:r>
          </w:p>
        </w:tc>
        <w:tc>
          <w:tcPr>
            <w:tcW w:w="123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Waktu</w:t>
            </w:r>
          </w:p>
        </w:tc>
        <w:tc>
          <w:tcPr>
            <w:tcW w:w="116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48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 Keberhasilan</w:t>
            </w:r>
          </w:p>
        </w:tc>
      </w:tr>
      <w:tr w:rsidR="0018761B">
        <w:tc>
          <w:tcPr>
            <w:tcW w:w="5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3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Pelatihan dan audit </w:t>
            </w:r>
            <w:r>
              <w:rPr>
                <w:sz w:val="20"/>
                <w:szCs w:val="20"/>
              </w:rPr>
              <w:lastRenderedPageBreak/>
              <w:t>penggunaan APD sesuai indikasi (jenis, cara pakai, cara lepas) — IGD, OK, Laboratorium, Laundri</w:t>
            </w:r>
          </w:p>
        </w:tc>
        <w:tc>
          <w:tcPr>
            <w:tcW w:w="15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lastRenderedPageBreak/>
              <w:t xml:space="preserve">Kepatuhan APD ≥ 90% </w:t>
            </w:r>
            <w:r>
              <w:rPr>
                <w:sz w:val="20"/>
                <w:szCs w:val="20"/>
              </w:rPr>
              <w:t xml:space="preserve">di </w:t>
            </w:r>
            <w:r>
              <w:rPr>
                <w:sz w:val="20"/>
                <w:szCs w:val="20"/>
              </w:rPr>
              <w:lastRenderedPageBreak/>
              <w:t>semua unit berisiko tinggi</w:t>
            </w:r>
          </w:p>
        </w:tc>
        <w:tc>
          <w:tcPr>
            <w:tcW w:w="118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lastRenderedPageBreak/>
              <w:t xml:space="preserve">Staf IGD, </w:t>
            </w:r>
            <w:r>
              <w:rPr>
                <w:sz w:val="20"/>
                <w:szCs w:val="20"/>
              </w:rPr>
              <w:lastRenderedPageBreak/>
              <w:t>OK, Lab, Laundri, CSSD (± 90 orang)</w:t>
            </w:r>
          </w:p>
        </w:tc>
        <w:tc>
          <w:tcPr>
            <w:tcW w:w="105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lastRenderedPageBreak/>
              <w:t>IPCN</w:t>
            </w:r>
          </w:p>
        </w:tc>
        <w:tc>
          <w:tcPr>
            <w:tcW w:w="123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 xml:space="preserve">Feb 2025 (pelatihan) </w:t>
            </w:r>
            <w:r>
              <w:rPr>
                <w:sz w:val="20"/>
                <w:szCs w:val="20"/>
              </w:rPr>
              <w:lastRenderedPageBreak/>
              <w:t>+ audit bulanan</w:t>
            </w:r>
          </w:p>
        </w:tc>
        <w:tc>
          <w:tcPr>
            <w:tcW w:w="116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lastRenderedPageBreak/>
              <w:t>3.500.000</w:t>
            </w:r>
          </w:p>
        </w:tc>
        <w:tc>
          <w:tcPr>
            <w:tcW w:w="148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Kepatuhan APD ≥ 90% </w:t>
            </w:r>
            <w:r>
              <w:rPr>
                <w:sz w:val="20"/>
                <w:szCs w:val="20"/>
              </w:rPr>
              <w:lastRenderedPageBreak/>
              <w:t>(audit IPCN)</w:t>
            </w:r>
          </w:p>
        </w:tc>
      </w:tr>
      <w:tr w:rsidR="0018761B">
        <w:tc>
          <w:tcPr>
            <w:tcW w:w="5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lastRenderedPageBreak/>
              <w:t>2</w:t>
            </w:r>
          </w:p>
        </w:tc>
        <w:tc>
          <w:tcPr>
            <w:tcW w:w="13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Audit proses sterilisasi CSSD: siklus, indikator biologi, dokumentasi — dilakukan IPCN </w:t>
            </w:r>
            <w:r>
              <w:rPr>
                <w:sz w:val="20"/>
                <w:szCs w:val="20"/>
              </w:rPr>
              <w:t>1x/bulan</w:t>
            </w:r>
          </w:p>
        </w:tc>
        <w:tc>
          <w:tcPr>
            <w:tcW w:w="15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100% proses sterilisasi terdokumentasi sesuai SPO</w:t>
            </w:r>
          </w:p>
        </w:tc>
        <w:tc>
          <w:tcPr>
            <w:tcW w:w="118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CSSD, OK, Poliklinik</w:t>
            </w:r>
          </w:p>
        </w:tc>
        <w:tc>
          <w:tcPr>
            <w:tcW w:w="105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IPCN + Ka. CSSD</w:t>
            </w:r>
          </w:p>
        </w:tc>
        <w:tc>
          <w:tcPr>
            <w:tcW w:w="123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(bulanan)</w:t>
            </w:r>
          </w:p>
        </w:tc>
        <w:tc>
          <w:tcPr>
            <w:tcW w:w="116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8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Laporan audit CSSD bulanan + hasil indikator biologi tersedia</w:t>
            </w:r>
          </w:p>
        </w:tc>
      </w:tr>
      <w:tr w:rsidR="0018761B">
        <w:tc>
          <w:tcPr>
            <w:tcW w:w="5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3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Monitoring pengelolaan limbah medis: pemilahan, pewadahan, penyimpanan, dan</w:t>
            </w:r>
            <w:r>
              <w:rPr>
                <w:sz w:val="20"/>
                <w:szCs w:val="20"/>
              </w:rPr>
              <w:t xml:space="preserve"> pengangkutan — audit mingguan</w:t>
            </w:r>
          </w:p>
        </w:tc>
        <w:tc>
          <w:tcPr>
            <w:tcW w:w="15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Zero insiden limbah medis tidak terpilah</w:t>
            </w:r>
          </w:p>
        </w:tc>
        <w:tc>
          <w:tcPr>
            <w:tcW w:w="118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Seluruh unit RS</w:t>
            </w:r>
          </w:p>
        </w:tc>
        <w:tc>
          <w:tcPr>
            <w:tcW w:w="105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Sanitasi + IPCN</w:t>
            </w:r>
          </w:p>
        </w:tc>
        <w:tc>
          <w:tcPr>
            <w:tcW w:w="123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Jan–Des (mingguan)</w:t>
            </w:r>
          </w:p>
        </w:tc>
        <w:tc>
          <w:tcPr>
            <w:tcW w:w="116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w:t>
            </w:r>
          </w:p>
        </w:tc>
        <w:tc>
          <w:tcPr>
            <w:tcW w:w="148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Tidak ada temuan limbah medis tercampur pada audit mingguan</w:t>
            </w:r>
          </w:p>
        </w:tc>
      </w:tr>
      <w:tr w:rsidR="0018761B">
        <w:tc>
          <w:tcPr>
            <w:tcW w:w="501"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304"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pengelolaan linen (pemilahan, transportasi, pencucian)</w:t>
            </w:r>
            <w:r>
              <w:rPr>
                <w:sz w:val="20"/>
                <w:szCs w:val="20"/>
              </w:rPr>
              <w:t xml:space="preserve"> bagi petugas laundri dan perawat</w:t>
            </w:r>
          </w:p>
        </w:tc>
        <w:tc>
          <w:tcPr>
            <w:tcW w:w="158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pengelolaan linen ≥ 90%</w:t>
            </w:r>
          </w:p>
        </w:tc>
        <w:tc>
          <w:tcPr>
            <w:tcW w:w="118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Petugas laundri + perawat rawat inap (± 40 orang)</w:t>
            </w:r>
          </w:p>
        </w:tc>
        <w:tc>
          <w:tcPr>
            <w:tcW w:w="1059"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 Laundri + IPCN</w:t>
            </w:r>
          </w:p>
        </w:tc>
        <w:tc>
          <w:tcPr>
            <w:tcW w:w="123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April 2025</w:t>
            </w:r>
          </w:p>
        </w:tc>
        <w:tc>
          <w:tcPr>
            <w:tcW w:w="116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2.000.000</w:t>
            </w:r>
          </w:p>
        </w:tc>
        <w:tc>
          <w:tcPr>
            <w:tcW w:w="148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Daftar hadir pelatihan + audit kepatuhan ≥ 90%</w:t>
            </w:r>
          </w:p>
        </w:tc>
      </w:tr>
    </w:tbl>
    <w:p w:rsidR="0018761B" w:rsidRDefault="00AF4D81">
      <w:r>
        <w:br w:type="page"/>
      </w:r>
    </w:p>
    <w:p w:rsidR="0018761B" w:rsidRDefault="00AF4D81">
      <w:pPr>
        <w:pStyle w:val="Heading2"/>
        <w:pBdr>
          <w:bottom w:val="single" w:sz="4" w:space="4" w:color="0B7B8C"/>
        </w:pBdr>
      </w:pPr>
      <w:r>
        <w:lastRenderedPageBreak/>
        <w:t>BAB IV. JADWAL PELAKSANAAN PROGRAM TAHUN 2025</w:t>
      </w:r>
    </w:p>
    <w:p w:rsidR="0018761B" w:rsidRDefault="00AF4D81">
      <w:pPr>
        <w:spacing w:before="60" w:after="60"/>
      </w:pPr>
      <w:r>
        <w:rPr>
          <w:color w:val="000000"/>
        </w:rPr>
        <w:t>Tanda ✔ menunjukkan bulan pelaksanaan kegiatan. Warna hijau = kegiatan rutin, warna biru = kegiatan periodik, warna merah = kegiatan kritis/prioritas tinggi.</w:t>
      </w:r>
    </w:p>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0"/>
        <w:gridCol w:w="1186"/>
        <w:gridCol w:w="772"/>
        <w:gridCol w:w="772"/>
        <w:gridCol w:w="772"/>
        <w:gridCol w:w="772"/>
        <w:gridCol w:w="772"/>
        <w:gridCol w:w="447"/>
        <w:gridCol w:w="772"/>
        <w:gridCol w:w="772"/>
        <w:gridCol w:w="455"/>
        <w:gridCol w:w="772"/>
        <w:gridCol w:w="772"/>
        <w:gridCol w:w="462"/>
      </w:tblGrid>
      <w:tr w:rsidR="0018761B">
        <w:tc>
          <w:tcPr>
            <w:tcW w:w="38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1186"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Jan</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Feb</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Mar</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Apr</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Mei</w:t>
            </w:r>
          </w:p>
        </w:tc>
        <w:tc>
          <w:tcPr>
            <w:tcW w:w="44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Jun</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Jul</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Agt</w:t>
            </w:r>
          </w:p>
        </w:tc>
        <w:tc>
          <w:tcPr>
            <w:tcW w:w="45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Sep</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Okt</w:t>
            </w:r>
          </w:p>
        </w:tc>
        <w:tc>
          <w:tcPr>
            <w:tcW w:w="77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Nov</w:t>
            </w:r>
          </w:p>
        </w:tc>
        <w:tc>
          <w:tcPr>
            <w:tcW w:w="46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Des</w:t>
            </w:r>
          </w:p>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A</w:t>
            </w:r>
          </w:p>
        </w:tc>
        <w:tc>
          <w:tcPr>
            <w:tcW w:w="1186"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PE</w:t>
            </w:r>
            <w:r>
              <w:rPr>
                <w:b/>
                <w:bCs/>
                <w:sz w:val="20"/>
                <w:szCs w:val="20"/>
              </w:rPr>
              <w:t>NGENDALIAN HAIs</w:t>
            </w:r>
          </w:p>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w:t>
            </w:r>
            <w:r>
              <w:rPr>
                <w:sz w:val="20"/>
                <w:szCs w:val="20"/>
              </w:rPr>
              <w:t>latihan bundle IADP &amp; VAP — ICU/NICU/HCU</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Surveilans HAIs (IADP, VAP, ISK, IDO) — bulanan</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55"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6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Au</w:t>
            </w:r>
            <w:r>
              <w:rPr>
                <w:sz w:val="20"/>
                <w:szCs w:val="20"/>
              </w:rPr>
              <w:t>dit bundle IADP &amp; VAP — 2x/bulan</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55"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6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pemasangan kateter urin — ISK bundle</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So</w:t>
            </w:r>
            <w:r>
              <w:rPr>
                <w:sz w:val="20"/>
                <w:szCs w:val="20"/>
              </w:rPr>
              <w:t>sialisasi checklist IDO &amp; profilaksis antibiotik</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B</w:t>
            </w:r>
          </w:p>
        </w:tc>
        <w:tc>
          <w:tcPr>
            <w:tcW w:w="1186"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KE</w:t>
            </w:r>
            <w:r>
              <w:rPr>
                <w:b/>
                <w:bCs/>
                <w:sz w:val="20"/>
                <w:szCs w:val="20"/>
              </w:rPr>
              <w:t>BERSIHAN TANGAN</w:t>
            </w:r>
          </w:p>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6 langkah &amp; 5 momen — seluruh staf</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7</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Au</w:t>
            </w:r>
            <w:r>
              <w:rPr>
                <w:sz w:val="20"/>
                <w:szCs w:val="20"/>
              </w:rPr>
              <w:t>dit kepatuhan HH — 2x/bulan per unit prioritas</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55"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6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8</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Pemasangan dispenser handrub di seluruh titik pelayanan</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9</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Kampanye HH — Hari Cuci Tangan Sedunia (5 Mei)</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C</w:t>
            </w:r>
          </w:p>
        </w:tc>
        <w:tc>
          <w:tcPr>
            <w:tcW w:w="1186"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PCRA — KONSTRUKSI/RENOVASI</w:t>
            </w:r>
          </w:p>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10</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PCRA sebelum pekerjaan Wing C + barier debu</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11</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w:t>
            </w:r>
            <w:r>
              <w:rPr>
                <w:sz w:val="20"/>
                <w:szCs w:val="20"/>
              </w:rPr>
              <w:t>onitoring lingkungan area renovasi — kultur bulanan</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D</w:t>
            </w:r>
          </w:p>
        </w:tc>
        <w:tc>
          <w:tcPr>
            <w:tcW w:w="1186"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PENGENDALIAN PENYAKIT MENULAR</w:t>
            </w:r>
          </w:p>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12</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w:t>
            </w:r>
            <w:r>
              <w:rPr>
                <w:sz w:val="20"/>
                <w:szCs w:val="20"/>
              </w:rPr>
              <w:t>elatihan kewaspadaan transmisi — staf IGD &amp; Poli</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13</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Peta kuman MDR — analisis triwulanan</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sz w:val="20"/>
                <w:szCs w:val="20"/>
              </w:rPr>
              <w:t>✔</w:t>
            </w:r>
          </w:p>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E</w:t>
            </w:r>
          </w:p>
        </w:tc>
        <w:tc>
          <w:tcPr>
            <w:tcW w:w="1186"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APD, STERILISASI &amp; LIMBAH</w:t>
            </w:r>
          </w:p>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lastRenderedPageBreak/>
              <w:t>14</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w:t>
            </w:r>
            <w:r>
              <w:rPr>
                <w:sz w:val="20"/>
                <w:szCs w:val="20"/>
              </w:rPr>
              <w:t>elatihan APD — IGD, OK, Lab, Laundri</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0F0"/>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4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5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77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c>
          <w:tcPr>
            <w:tcW w:w="46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18761B"/>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15</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Audit kepatuhan APD &amp; sterilisasi CSSD — bulanan</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55"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6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r>
      <w:tr w:rsidR="0018761B">
        <w:tc>
          <w:tcPr>
            <w:tcW w:w="38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16</w:t>
            </w:r>
          </w:p>
        </w:tc>
        <w:tc>
          <w:tcPr>
            <w:tcW w:w="1186"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w:t>
            </w:r>
            <w:r>
              <w:rPr>
                <w:sz w:val="20"/>
                <w:szCs w:val="20"/>
              </w:rPr>
              <w:t>onitoring pengelolaan limbah medis — mingguan</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47"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55"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77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c>
          <w:tcPr>
            <w:tcW w:w="462" w:type="dxa"/>
            <w:tcBorders>
              <w:top w:val="single" w:sz="4" w:space="0" w:color="BBCAD4"/>
              <w:left w:val="single" w:sz="4" w:space="0" w:color="BBCAD4"/>
              <w:bottom w:val="single" w:sz="4" w:space="0" w:color="BBCAD4"/>
              <w:right w:val="single" w:sz="4" w:space="0" w:color="BBCAD4"/>
            </w:tcBorders>
            <w:shd w:val="clear" w:color="auto" w:fill="EAF6EE"/>
            <w:tcMar>
              <w:top w:w="80" w:type="dxa"/>
              <w:left w:w="120" w:type="dxa"/>
              <w:bottom w:w="80" w:type="dxa"/>
              <w:right w:w="120" w:type="dxa"/>
            </w:tcMar>
            <w:vAlign w:val="center"/>
          </w:tcPr>
          <w:p w:rsidR="0018761B" w:rsidRDefault="00AF4D81">
            <w:pPr>
              <w:jc w:val="center"/>
            </w:pPr>
            <w:r>
              <w:rPr>
                <w:sz w:val="20"/>
                <w:szCs w:val="20"/>
              </w:rPr>
              <w:t>✔</w:t>
            </w:r>
          </w:p>
        </w:tc>
      </w:tr>
    </w:tbl>
    <w:p w:rsidR="0018761B" w:rsidRDefault="00AF4D81">
      <w:r>
        <w:br w:type="page"/>
      </w:r>
    </w:p>
    <w:p w:rsidR="0018761B" w:rsidRDefault="00AF4D81">
      <w:pPr>
        <w:pStyle w:val="Heading2"/>
        <w:pBdr>
          <w:bottom w:val="single" w:sz="4" w:space="4" w:color="0B7B8C"/>
        </w:pBdr>
      </w:pPr>
      <w:r>
        <w:lastRenderedPageBreak/>
        <w:t>BA</w:t>
      </w:r>
      <w:r>
        <w:t>B V. RENCANA ANGGARAN PROGRAM PPI TAHUN 2025</w:t>
      </w:r>
    </w:p>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7"/>
        <w:gridCol w:w="2853"/>
        <w:gridCol w:w="1800"/>
        <w:gridCol w:w="1800"/>
        <w:gridCol w:w="2112"/>
      </w:tblGrid>
      <w:tr w:rsidR="0018761B">
        <w:tc>
          <w:tcPr>
            <w:tcW w:w="50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2853"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Kegiatan</w:t>
            </w:r>
          </w:p>
        </w:tc>
        <w:tc>
          <w:tcPr>
            <w:tcW w:w="18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Anggaran (Rp)</w:t>
            </w:r>
          </w:p>
        </w:tc>
        <w:tc>
          <w:tcPr>
            <w:tcW w:w="18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Sumber Dana</w:t>
            </w:r>
          </w:p>
        </w:tc>
        <w:tc>
          <w:tcPr>
            <w:tcW w:w="2112"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Keterangan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A</w:t>
            </w:r>
          </w:p>
        </w:tc>
        <w:tc>
          <w:tcPr>
            <w:tcW w:w="2853"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PENGENDALIAN HAIs</w:t>
            </w:r>
          </w:p>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211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bundle IADP (ICU/NICU/HCU)</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Modul, narasumber, ATK</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bundle VAP</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Modul, narasumber, </w:t>
            </w:r>
            <w:r>
              <w:rPr>
                <w:sz w:val="20"/>
                <w:szCs w:val="20"/>
              </w:rPr>
              <w:t>ATK</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Checklist pemasangan CVC/PICC</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1.500.000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Cetak formulir</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ISK bundle — kateter urin</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Modul, narasumber</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Oral hygiene kit pasien ventilasi mekanik</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8.000.000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Chlorhexidine 0,12% + sikat</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B</w:t>
            </w:r>
          </w:p>
        </w:tc>
        <w:tc>
          <w:tcPr>
            <w:tcW w:w="2853"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KEBERSIHAN TANGAN</w:t>
            </w:r>
          </w:p>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211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6 langkah &amp; 5 momen — seluruh staf</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10.000.000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Modul, narasumber, sertifikat</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7</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Pengadaan dispenser handrub (320 unit)</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32.000.000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 / Investasi</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Termasuk refill handrub tahunan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8</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Kampanye HH — Hari Cuci Tangan Sedunia</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Poster, spanduk, hadiah lomba</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C</w:t>
            </w:r>
          </w:p>
        </w:tc>
        <w:tc>
          <w:tcPr>
            <w:tcW w:w="2853"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PCRA — KONSTRUKSI/RENOVASI</w:t>
            </w:r>
          </w:p>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211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9</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Barier debu + sistem tekanan negatif Wing C</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15.000.000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Anggaran Teknik</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Termasuk instalasi dan monitoring</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10</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Kultur lingkungan area renovasi (6 bulan)</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Biaya Lab Mikrobiologi</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pPr>
              <w:jc w:val="center"/>
            </w:pPr>
            <w:r>
              <w:rPr>
                <w:b/>
                <w:bCs/>
                <w:sz w:val="20"/>
                <w:szCs w:val="20"/>
              </w:rPr>
              <w:t>D</w:t>
            </w:r>
          </w:p>
        </w:tc>
        <w:tc>
          <w:tcPr>
            <w:tcW w:w="2853"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AF4D81">
            <w:r>
              <w:rPr>
                <w:b/>
                <w:bCs/>
                <w:sz w:val="20"/>
                <w:szCs w:val="20"/>
              </w:rPr>
              <w:t>PENYAKIT MENULAR &amp; LAIN-LAIN</w:t>
            </w:r>
          </w:p>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1800"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c>
          <w:tcPr>
            <w:tcW w:w="2112" w:type="dxa"/>
            <w:tcBorders>
              <w:top w:val="single" w:sz="4" w:space="0" w:color="BBCAD4"/>
              <w:left w:val="single" w:sz="4" w:space="0" w:color="BBCAD4"/>
              <w:bottom w:val="single" w:sz="4" w:space="0" w:color="BBCAD4"/>
              <w:right w:val="single" w:sz="4" w:space="0" w:color="BBCAD4"/>
            </w:tcBorders>
            <w:shd w:val="clear" w:color="auto" w:fill="D6EEF2"/>
            <w:tcMar>
              <w:top w:w="80" w:type="dxa"/>
              <w:left w:w="120" w:type="dxa"/>
              <w:bottom w:w="80" w:type="dxa"/>
              <w:right w:w="120" w:type="dxa"/>
            </w:tcMar>
            <w:vAlign w:val="center"/>
          </w:tcPr>
          <w:p w:rsidR="0018761B" w:rsidRDefault="0018761B"/>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11</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kewaspadaan transmisi</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Modul, narasumber, ATK</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12</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Verifikasi ruang isolasi tekanan negatif</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Anggaran Teknik</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Pemeliharaan tahunan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13</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APD — unit berisiko tinggi</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3.500.000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Modul, demonstrasi APD</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14</w:t>
            </w:r>
          </w:p>
        </w:tc>
        <w:tc>
          <w:tcPr>
            <w:tcW w:w="2853"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Pelatihan pengelolaan linen</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Petugas laundri + perawat</w:t>
            </w:r>
          </w:p>
        </w:tc>
      </w:tr>
      <w:tr w:rsidR="0018761B">
        <w:tc>
          <w:tcPr>
            <w:tcW w:w="3360" w:type="dxa"/>
            <w:gridSpan w:val="2"/>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tcPr>
          <w:p w:rsidR="0018761B" w:rsidRDefault="00AF4D81">
            <w:pPr>
              <w:jc w:val="center"/>
            </w:pPr>
            <w:r>
              <w:rPr>
                <w:b/>
                <w:bCs/>
                <w:color w:val="FFFFFF"/>
              </w:rPr>
              <w:t>TOTAL ANGGARAN PROGRAM PPI 2025</w:t>
            </w:r>
          </w:p>
        </w:tc>
        <w:tc>
          <w:tcPr>
            <w:tcW w:w="18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tcPr>
          <w:p w:rsidR="0018761B" w:rsidRDefault="00AF4D81">
            <w:pPr>
              <w:jc w:val="center"/>
            </w:pPr>
            <w:r>
              <w:rPr>
                <w:b/>
                <w:bCs/>
                <w:color w:val="FFFFFF"/>
              </w:rPr>
              <w:t>Rp 104.000.000</w:t>
            </w:r>
          </w:p>
        </w:tc>
        <w:tc>
          <w:tcPr>
            <w:tcW w:w="18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APRS + Anggaran Teknik</w:t>
            </w:r>
          </w:p>
        </w:tc>
        <w:tc>
          <w:tcPr>
            <w:tcW w:w="2112"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Belum termasuk consumable harian (sarung tangan, masker, dll)</w:t>
            </w:r>
          </w:p>
        </w:tc>
      </w:tr>
    </w:tbl>
    <w:p w:rsidR="0018761B" w:rsidRDefault="00AF4D81">
      <w:r>
        <w:br w:type="page"/>
      </w:r>
    </w:p>
    <w:p w:rsidR="0018761B" w:rsidRDefault="00AF4D81">
      <w:pPr>
        <w:pStyle w:val="Heading2"/>
        <w:pBdr>
          <w:bottom w:val="single" w:sz="4" w:space="4" w:color="0B7B8C"/>
        </w:pBdr>
      </w:pPr>
      <w:r>
        <w:lastRenderedPageBreak/>
        <w:t xml:space="preserve">BAB VI. MONITORING DAN </w:t>
      </w:r>
      <w:r>
        <w:t>EVALUASI</w:t>
      </w:r>
    </w:p>
    <w:p w:rsidR="0018761B" w:rsidRDefault="00AF4D81">
      <w:pPr>
        <w:pStyle w:val="Heading3"/>
      </w:pPr>
      <w:r>
        <w:t>A. Mekanisme Monitoring</w:t>
      </w:r>
    </w:p>
    <w:p w:rsidR="0018761B" w:rsidRDefault="00AF4D81">
      <w:pPr>
        <w:spacing w:before="60" w:after="60"/>
      </w:pPr>
      <w:r>
        <w:rPr>
          <w:color w:val="000000"/>
        </w:rPr>
        <w:t>Monitoring program PPI dilakukan secara berjenjang sebagai berikut:</w:t>
      </w:r>
    </w:p>
    <w:p w:rsidR="0018761B" w:rsidRDefault="0018761B">
      <w:pPr>
        <w:spacing w:before="60" w:after="60"/>
      </w:pPr>
    </w:p>
    <w:p w:rsidR="0018761B" w:rsidRDefault="00AF4D81">
      <w:pPr>
        <w:pStyle w:val="ListParagraph"/>
        <w:numPr>
          <w:ilvl w:val="0"/>
          <w:numId w:val="2"/>
        </w:numPr>
        <w:spacing w:before="40" w:after="40"/>
      </w:pPr>
      <w:r>
        <w:t>Harian: IPCLN unit memantau kepatuhan HH, APD, dan pengelolaan limbah di unit masing-masing</w:t>
      </w:r>
    </w:p>
    <w:p w:rsidR="0018761B" w:rsidRDefault="00AF4D81">
      <w:pPr>
        <w:pStyle w:val="ListParagraph"/>
        <w:numPr>
          <w:ilvl w:val="0"/>
          <w:numId w:val="2"/>
        </w:numPr>
        <w:spacing w:before="40" w:after="40"/>
      </w:pPr>
      <w:r>
        <w:t>Mingguan: IPCN melakukan ronde PPI ke unit berisiko tinggi (IC</w:t>
      </w:r>
      <w:r>
        <w:t>U, NICU, IGD, OK, CSSD)</w:t>
      </w:r>
    </w:p>
    <w:p w:rsidR="0018761B" w:rsidRDefault="00AF4D81">
      <w:pPr>
        <w:pStyle w:val="ListParagraph"/>
        <w:numPr>
          <w:ilvl w:val="0"/>
          <w:numId w:val="2"/>
        </w:numPr>
        <w:spacing w:before="40" w:after="40"/>
      </w:pPr>
      <w:r>
        <w:t>Bulanan: Komite PPI merekapitulasi data surveilans HAIs, hasil audit, dan capaian program — dilaporkan ke Direktur</w:t>
      </w:r>
    </w:p>
    <w:p w:rsidR="0018761B" w:rsidRDefault="00AF4D81">
      <w:pPr>
        <w:pStyle w:val="ListParagraph"/>
        <w:numPr>
          <w:ilvl w:val="0"/>
          <w:numId w:val="2"/>
        </w:numPr>
        <w:spacing w:before="40" w:after="40"/>
      </w:pPr>
      <w:r>
        <w:t>Triwulanan: Rapat evaluasi Komite PPI dengan seluruh Ka. Unit — membahas capaian, hambatan, dan rencana perbaikan</w:t>
      </w:r>
    </w:p>
    <w:p w:rsidR="0018761B" w:rsidRDefault="00AF4D81">
      <w:pPr>
        <w:pStyle w:val="ListParagraph"/>
        <w:numPr>
          <w:ilvl w:val="0"/>
          <w:numId w:val="2"/>
        </w:numPr>
        <w:spacing w:before="40" w:after="40"/>
      </w:pPr>
      <w:r>
        <w:t>Tahunan: Evaluasi komprehensif program PPI + pelaksanaan ICRA ulang untuk penyusunan program tahun berikutnya</w:t>
      </w:r>
    </w:p>
    <w:p w:rsidR="0018761B" w:rsidRDefault="0018761B">
      <w:pPr>
        <w:spacing w:before="60" w:after="60"/>
      </w:pPr>
    </w:p>
    <w:p w:rsidR="0018761B" w:rsidRDefault="00AF4D81">
      <w:pPr>
        <w:pStyle w:val="Heading3"/>
      </w:pPr>
      <w:r>
        <w:t>B. Indikator Keberhasilan Program</w:t>
      </w:r>
    </w:p>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7"/>
        <w:gridCol w:w="2600"/>
        <w:gridCol w:w="1500"/>
        <w:gridCol w:w="1500"/>
        <w:gridCol w:w="2965"/>
      </w:tblGrid>
      <w:tr w:rsidR="0018761B">
        <w:tc>
          <w:tcPr>
            <w:tcW w:w="507"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No</w:t>
            </w:r>
          </w:p>
        </w:tc>
        <w:tc>
          <w:tcPr>
            <w:tcW w:w="26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Indikator</w:t>
            </w:r>
          </w:p>
        </w:tc>
        <w:tc>
          <w:tcPr>
            <w:tcW w:w="15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Target 2025</w:t>
            </w:r>
          </w:p>
        </w:tc>
        <w:tc>
          <w:tcPr>
            <w:tcW w:w="1500"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Frekuensi Ukur</w:t>
            </w:r>
          </w:p>
        </w:tc>
        <w:tc>
          <w:tcPr>
            <w:tcW w:w="2965" w:type="dxa"/>
            <w:tcBorders>
              <w:top w:val="single" w:sz="4" w:space="0" w:color="BBCAD4"/>
              <w:left w:val="single" w:sz="4" w:space="0" w:color="BBCAD4"/>
              <w:bottom w:val="single" w:sz="4" w:space="0" w:color="BBCAD4"/>
              <w:right w:val="single" w:sz="4" w:space="0" w:color="BBCAD4"/>
            </w:tcBorders>
            <w:shd w:val="clear" w:color="auto" w:fill="1A3350"/>
            <w:tcMar>
              <w:top w:w="80" w:type="dxa"/>
              <w:left w:w="120" w:type="dxa"/>
              <w:bottom w:w="80" w:type="dxa"/>
              <w:right w:w="120" w:type="dxa"/>
            </w:tcMar>
            <w:vAlign w:val="center"/>
          </w:tcPr>
          <w:p w:rsidR="0018761B" w:rsidRDefault="00AF4D81">
            <w:pPr>
              <w:jc w:val="center"/>
            </w:pPr>
            <w:r>
              <w:rPr>
                <w:b/>
                <w:bCs/>
                <w:color w:val="FFFFFF"/>
                <w:sz w:val="20"/>
                <w:szCs w:val="20"/>
              </w:rPr>
              <w:t>Sumber Data / Alat Ukur</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IADP per 1.000 hari kateter sentral</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w:t>
            </w:r>
            <w:r>
              <w:rPr>
                <w:b/>
                <w:bCs/>
                <w:sz w:val="20"/>
                <w:szCs w:val="20"/>
              </w:rPr>
              <w:t xml:space="preserve"> 3,5‰</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Bulanan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Formulir surveilans IADP + data rekam medis ICU</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VAP per 1.000 hari ventilasi mekanik</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5,8‰</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Bulanan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Formulir surveilans VAP + foto VAP bundle</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3</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ISK per 1.000 hari kateter urin</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4,7‰</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Bulanan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Formulir surveilans ISK + data </w:t>
            </w:r>
            <w:r>
              <w:rPr>
                <w:sz w:val="20"/>
                <w:szCs w:val="20"/>
              </w:rPr>
              <w:t>kultur urin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4</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Angka IDO dari seluruh prosedur operatif</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2%</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Bulanan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Formulir surveilans IDO + data kultur luka operasi</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5</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kebersihan tangan (5 momen WHO)</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85%</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2x/bulan (per unit)</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Formulir audit HH WHO 5 momen — IPCN/IPCLN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6</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Kepatuhan </w:t>
            </w:r>
            <w:r>
              <w:rPr>
                <w:sz w:val="20"/>
                <w:szCs w:val="20"/>
              </w:rPr>
              <w:t>penggunaan APD sesuai indikasi</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90%</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Bulanan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Formulir audit APD — IPCN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7</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bundle IADP (5 komponen)</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90%</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2x/bulan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Checklist bundle IADP — IPCN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8</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Kepatuhan bundle VAP (5 komponen)</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90%</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2x/bulan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Checklist bundle VAP — IPCN</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9</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 xml:space="preserve">Cakupan pelatihan </w:t>
            </w:r>
            <w:r>
              <w:rPr>
                <w:sz w:val="20"/>
                <w:szCs w:val="20"/>
              </w:rPr>
              <w:t>PPI tahunan (staf terlatih)</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80% staf/th</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Tahunan (evaluasi Des)</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Data Diklat — rekapitulasi pelatihan PPI</w:t>
            </w:r>
          </w:p>
        </w:tc>
      </w:tr>
      <w:tr w:rsidR="0018761B">
        <w:tc>
          <w:tcPr>
            <w:tcW w:w="507"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10</w:t>
            </w:r>
          </w:p>
        </w:tc>
        <w:tc>
          <w:tcPr>
            <w:tcW w:w="26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Ketersediaan handrub di titik pelayanan pasien</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b/>
                <w:bCs/>
                <w:sz w:val="20"/>
                <w:szCs w:val="20"/>
              </w:rPr>
              <w:t>≥ 95% titik</w:t>
            </w:r>
          </w:p>
        </w:tc>
        <w:tc>
          <w:tcPr>
            <w:tcW w:w="1500"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pPr>
              <w:jc w:val="center"/>
            </w:pPr>
            <w:r>
              <w:rPr>
                <w:sz w:val="20"/>
                <w:szCs w:val="20"/>
              </w:rPr>
              <w:t>Bulanan</w:t>
            </w:r>
          </w:p>
        </w:tc>
        <w:tc>
          <w:tcPr>
            <w:tcW w:w="2965" w:type="dxa"/>
            <w:tcBorders>
              <w:top w:val="single" w:sz="4" w:space="0" w:color="BBCAD4"/>
              <w:left w:val="single" w:sz="4" w:space="0" w:color="BBCAD4"/>
              <w:bottom w:val="single" w:sz="4" w:space="0" w:color="BBCAD4"/>
              <w:right w:val="single" w:sz="4" w:space="0" w:color="BBCAD4"/>
            </w:tcBorders>
            <w:shd w:val="clear" w:color="auto" w:fill="FFFFFF"/>
            <w:tcMar>
              <w:top w:w="80" w:type="dxa"/>
              <w:left w:w="120" w:type="dxa"/>
              <w:bottom w:w="80" w:type="dxa"/>
              <w:right w:w="120" w:type="dxa"/>
            </w:tcMar>
            <w:vAlign w:val="center"/>
          </w:tcPr>
          <w:p w:rsidR="0018761B" w:rsidRDefault="00AF4D81">
            <w:r>
              <w:rPr>
                <w:sz w:val="20"/>
                <w:szCs w:val="20"/>
              </w:rPr>
              <w:t>Survei ketersediaan — IPCN/IPCLN</w:t>
            </w:r>
          </w:p>
        </w:tc>
      </w:tr>
    </w:tbl>
    <w:p w:rsidR="0018761B" w:rsidRDefault="0018761B">
      <w:pPr>
        <w:spacing w:before="60" w:after="60"/>
      </w:pPr>
    </w:p>
    <w:p w:rsidR="0018761B" w:rsidRDefault="00AF4D81">
      <w:pPr>
        <w:pStyle w:val="Heading3"/>
      </w:pPr>
      <w:r>
        <w:t>C. Pelaporan Hasil Program</w:t>
      </w:r>
    </w:p>
    <w:p w:rsidR="0018761B" w:rsidRDefault="00AF4D81">
      <w:pPr>
        <w:pStyle w:val="ListParagraph"/>
        <w:numPr>
          <w:ilvl w:val="0"/>
          <w:numId w:val="2"/>
        </w:numPr>
        <w:spacing w:before="40" w:after="40"/>
      </w:pPr>
      <w:r>
        <w:t xml:space="preserve">Laporan bulanan: </w:t>
      </w:r>
      <w:r>
        <w:t>IPCN menyusun laporan surveilans HAIs dan hasil audit — dikirim ke Direktur, Komite PMKP, dan Ka. Unit terkait paling lambat tanggal 10 bulan berikutnya</w:t>
      </w:r>
    </w:p>
    <w:p w:rsidR="0018761B" w:rsidRDefault="00AF4D81">
      <w:pPr>
        <w:pStyle w:val="ListParagraph"/>
        <w:numPr>
          <w:ilvl w:val="0"/>
          <w:numId w:val="2"/>
        </w:numPr>
        <w:spacing w:before="40" w:after="40"/>
      </w:pPr>
      <w:r>
        <w:t>Laporan triwulanan: Komite PPI menyusun laporan evaluasi program — dipresentasikan dalam rapat triwulan</w:t>
      </w:r>
      <w:r>
        <w:t>an bersama Direksi</w:t>
      </w:r>
    </w:p>
    <w:p w:rsidR="0018761B" w:rsidRDefault="00AF4D81">
      <w:pPr>
        <w:pStyle w:val="ListParagraph"/>
        <w:numPr>
          <w:ilvl w:val="0"/>
          <w:numId w:val="2"/>
        </w:numPr>
        <w:spacing w:before="40" w:after="40"/>
      </w:pPr>
      <w:r>
        <w:lastRenderedPageBreak/>
        <w:t>Laporan tahunan: Komite PPI menyusun laporan komprehensif tahunan termasuk capaian semua indikator, hambatan, rekomendasi, dan usulan program tahun berikutnya — diserahkan kepada Direktur paling lambat 31 Januari tahun berikutnya</w:t>
      </w:r>
    </w:p>
    <w:p w:rsidR="0018761B" w:rsidRDefault="00AF4D81">
      <w:pPr>
        <w:pStyle w:val="ListParagraph"/>
        <w:numPr>
          <w:ilvl w:val="0"/>
          <w:numId w:val="2"/>
        </w:numPr>
        <w:spacing w:before="40" w:after="40"/>
      </w:pPr>
      <w:r>
        <w:t>Laporan</w:t>
      </w:r>
      <w:r>
        <w:t xml:space="preserve"> insiden/KLB: segera dilaporkan kepada Direktur dalam 1 × 24 jam; laporan akhir investigasi diselesaikan dalam 45 hari</w:t>
      </w:r>
    </w:p>
    <w:p w:rsidR="0018761B" w:rsidRDefault="00AF4D81">
      <w:r>
        <w:br w:type="page"/>
      </w:r>
    </w:p>
    <w:p w:rsidR="0018761B" w:rsidRDefault="00AF4D81">
      <w:pPr>
        <w:pStyle w:val="Heading2"/>
        <w:pBdr>
          <w:bottom w:val="single" w:sz="4" w:space="4" w:color="0B7B8C"/>
        </w:pBdr>
      </w:pPr>
      <w:r>
        <w:lastRenderedPageBreak/>
        <w:t>BAB VII. PENUTUP</w:t>
      </w:r>
    </w:p>
    <w:p w:rsidR="0018761B" w:rsidRDefault="00AF4D81">
      <w:pPr>
        <w:spacing w:before="60" w:after="60"/>
      </w:pPr>
      <w:r>
        <w:rPr>
          <w:color w:val="000000"/>
        </w:rPr>
        <w:t xml:space="preserve">Program PPI Tahun 2025 ini disusun berdasarkan hasil Infection Control Risk Assessment (ICRA) yang komprehensif dan </w:t>
      </w:r>
      <w:r>
        <w:rPr>
          <w:color w:val="000000"/>
        </w:rPr>
        <w:t>sistematis. Program ini mencakup lima area prioritas utama yang telah teridentifikasi memiliki risiko infeksi tertinggi di RS Harapan Husada: (1) pengendalian HAIs, (2) peningkatan kepatuhan kebersihan tangan, (3) pencegahan risiko infeksi dari konstruksi/</w:t>
      </w:r>
      <w:r>
        <w:rPr>
          <w:color w:val="000000"/>
        </w:rPr>
        <w:t>renovasi, (4) pengendalian penyakit menular dan KLB, serta (5) kepatuhan standar kewaspadaan umum (APD, sterilisasi, dan pengelolaan limbah).</w:t>
      </w:r>
    </w:p>
    <w:p w:rsidR="0018761B" w:rsidRDefault="0018761B">
      <w:pPr>
        <w:spacing w:before="60" w:after="60"/>
      </w:pPr>
    </w:p>
    <w:p w:rsidR="0018761B" w:rsidRDefault="00AF4D81">
      <w:pPr>
        <w:spacing w:before="60" w:after="60"/>
      </w:pPr>
      <w:r>
        <w:rPr>
          <w:color w:val="000000"/>
        </w:rPr>
        <w:t xml:space="preserve">Keberhasilan program ini sangat bergantung pada komitmen dan dukungan seluruh jajaran manajemen RS, keterlibatan </w:t>
      </w:r>
      <w:r>
        <w:rPr>
          <w:color w:val="000000"/>
        </w:rPr>
        <w:t>aktif seluruh Kepala Unit sebagai IPCO (Infection Prevention Control Officer), serta kesadaran dan kepatuhan seluruh staf terhadap praktik PPI dalam pelayanan sehari-hari.</w:t>
      </w:r>
    </w:p>
    <w:p w:rsidR="0018761B" w:rsidRDefault="0018761B">
      <w:pPr>
        <w:spacing w:before="60" w:after="60"/>
      </w:pPr>
    </w:p>
    <w:p w:rsidR="0018761B" w:rsidRDefault="00AF4D81">
      <w:pPr>
        <w:spacing w:before="60" w:after="60"/>
      </w:pPr>
      <w:r>
        <w:rPr>
          <w:color w:val="000000"/>
        </w:rPr>
        <w:t>Program ini akan dievaluasi secara berkala dan dapat disesuaikan apabila terdapat p</w:t>
      </w:r>
      <w:r>
        <w:rPr>
          <w:color w:val="000000"/>
        </w:rPr>
        <w:t>erubahan risiko yang signifikan, kejadian luar biasa, atau hasil ICRA ulang yang menunjukkan pergeseran prioritas. Seluruh perubahan program akan didokumentasikan dan disahkan oleh Direktur RS.</w:t>
      </w:r>
    </w:p>
    <w:p w:rsidR="0018761B" w:rsidRDefault="0018761B">
      <w:pPr>
        <w:spacing w:before="60" w:after="60"/>
      </w:pPr>
    </w:p>
    <w:p w:rsidR="0018761B" w:rsidRDefault="0018761B">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72"/>
      </w:tblGrid>
      <w:tr w:rsidR="0018761B">
        <w:tc>
          <w:tcPr>
            <w:tcW w:w="9072" w:type="dxa"/>
            <w:tcBorders>
              <w:top w:val="single" w:sz="4" w:space="0" w:color="0B7B8C"/>
              <w:left w:val="single" w:sz="4" w:space="0" w:color="0B7B8C"/>
              <w:bottom w:val="single" w:sz="4" w:space="0" w:color="0B7B8C"/>
              <w:right w:val="single" w:sz="4" w:space="0" w:color="0B7B8C"/>
            </w:tcBorders>
            <w:shd w:val="clear" w:color="auto" w:fill="D6EEF2"/>
            <w:tcMar>
              <w:top w:w="120" w:type="dxa"/>
              <w:left w:w="200" w:type="dxa"/>
              <w:bottom w:w="120" w:type="dxa"/>
              <w:right w:w="200" w:type="dxa"/>
            </w:tcMar>
          </w:tcPr>
          <w:p w:rsidR="0018761B" w:rsidRDefault="00AF4D81">
            <w:pPr>
              <w:spacing w:before="60" w:after="40"/>
              <w:jc w:val="center"/>
            </w:pPr>
            <w:r>
              <w:t>Kota Contoh, 2 Januari 2025</w:t>
            </w:r>
          </w:p>
          <w:p w:rsidR="0018761B" w:rsidRDefault="00AF4D81">
            <w:pPr>
              <w:spacing w:before="40" w:after="60"/>
              <w:jc w:val="center"/>
            </w:pPr>
            <w:r>
              <w:t>Mengetahui dan Menyetujui,</w:t>
            </w:r>
          </w:p>
          <w:p w:rsidR="0018761B" w:rsidRDefault="00AF4D81">
            <w:pPr>
              <w:spacing w:before="60" w:after="200"/>
              <w:jc w:val="center"/>
            </w:pPr>
            <w:r>
              <w:rPr>
                <w:b/>
                <w:bCs/>
              </w:rPr>
              <w:t>DIREK</w:t>
            </w:r>
            <w:r>
              <w:rPr>
                <w:b/>
                <w:bCs/>
              </w:rPr>
              <w:t>TUR RS HARAPAN HUSADA</w:t>
            </w:r>
          </w:p>
          <w:p w:rsidR="0018761B" w:rsidRDefault="00AF4D81">
            <w:pPr>
              <w:spacing w:before="200" w:after="40"/>
              <w:jc w:val="center"/>
            </w:pPr>
            <w:r>
              <w:t>dr. _________________________, Sp._____</w:t>
            </w:r>
          </w:p>
          <w:p w:rsidR="0018761B" w:rsidRDefault="00AF4D81">
            <w:pPr>
              <w:spacing w:before="40" w:after="60"/>
              <w:jc w:val="center"/>
            </w:pPr>
            <w:r>
              <w:t>NIK: _____________________</w:t>
            </w:r>
          </w:p>
        </w:tc>
      </w:tr>
    </w:tbl>
    <w:p w:rsidR="007514F1" w:rsidRDefault="007514F1"/>
    <w:sectPr w:rsidR="007514F1" w:rsidSect="0049044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4D81" w:rsidRDefault="00AF4D81">
      <w:r>
        <w:separator/>
      </w:r>
    </w:p>
  </w:endnote>
  <w:endnote w:type="continuationSeparator" w:id="1">
    <w:p w:rsidR="00AF4D81" w:rsidRDefault="00AF4D8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61B" w:rsidRDefault="00AF4D81">
    <w:pPr>
      <w:pBdr>
        <w:top w:val="single" w:sz="4" w:space="4" w:color="0B7B8C"/>
      </w:pBdr>
      <w:tabs>
        <w:tab w:val="right" w:pos="9026"/>
      </w:tabs>
      <w:spacing w:before="80"/>
    </w:pPr>
    <w:r>
      <w:rPr>
        <w:color w:val="6A8A9A"/>
        <w:sz w:val="16"/>
        <w:szCs w:val="16"/>
      </w:rPr>
      <w:t>Komite PPI RS Harapan Husada  |  Standar Akreditasi Kemenkes 2024  |  PPI-PRG-001</w:t>
    </w:r>
    <w:r>
      <w:rPr>
        <w:sz w:val="16"/>
        <w:szCs w:val="16"/>
      </w:rPr>
      <w:tab/>
    </w:r>
    <w:r>
      <w:rPr>
        <w:color w:val="6A8A9A"/>
        <w:sz w:val="16"/>
        <w:szCs w:val="16"/>
      </w:rPr>
      <w:t xml:space="preserve">Halaman </w:t>
    </w:r>
    <w:r w:rsidR="00490441">
      <w:rPr>
        <w:color w:val="6A8A9A"/>
        <w:sz w:val="16"/>
        <w:szCs w:val="16"/>
      </w:rPr>
      <w:fldChar w:fldCharType="begin"/>
    </w:r>
    <w:r>
      <w:rPr>
        <w:color w:val="6A8A9A"/>
        <w:sz w:val="16"/>
        <w:szCs w:val="16"/>
      </w:rPr>
      <w:instrText>PAGE</w:instrText>
    </w:r>
    <w:r w:rsidR="00490441">
      <w:rPr>
        <w:color w:val="6A8A9A"/>
        <w:sz w:val="16"/>
        <w:szCs w:val="16"/>
      </w:rPr>
      <w:fldChar w:fldCharType="separate"/>
    </w:r>
    <w:r w:rsidR="00840061">
      <w:rPr>
        <w:noProof/>
        <w:color w:val="6A8A9A"/>
        <w:sz w:val="16"/>
        <w:szCs w:val="16"/>
      </w:rPr>
      <w:t>7</w:t>
    </w:r>
    <w:r w:rsidR="00490441">
      <w:rPr>
        <w:color w:val="6A8A9A"/>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4D81" w:rsidRDefault="00AF4D81">
      <w:r>
        <w:separator/>
      </w:r>
    </w:p>
  </w:footnote>
  <w:footnote w:type="continuationSeparator" w:id="1">
    <w:p w:rsidR="00AF4D81" w:rsidRDefault="00AF4D8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6500"/>
      <w:gridCol w:w="2572"/>
    </w:tblGrid>
    <w:tr w:rsidR="0018761B">
      <w:tc>
        <w:tcPr>
          <w:tcW w:w="6500" w:type="dxa"/>
          <w:tcBorders>
            <w:top w:val="none" w:sz="0" w:space="0" w:color="FFFFFF"/>
            <w:left w:val="none" w:sz="0" w:space="0" w:color="FFFFFF"/>
            <w:bottom w:val="none" w:sz="0" w:space="0" w:color="FFFFFF"/>
            <w:right w:val="none" w:sz="0" w:space="0" w:color="FFFFFF"/>
          </w:tcBorders>
          <w:shd w:val="clear" w:color="auto" w:fill="0B7B8C"/>
          <w:tcMar>
            <w:top w:w="80" w:type="dxa"/>
            <w:left w:w="160" w:type="dxa"/>
            <w:bottom w:w="80" w:type="dxa"/>
            <w:right w:w="100" w:type="dxa"/>
          </w:tcMar>
        </w:tcPr>
        <w:p w:rsidR="0018761B" w:rsidRDefault="00AF4D81">
          <w:r>
            <w:rPr>
              <w:b/>
              <w:bCs/>
              <w:color w:val="FFFFFF"/>
              <w:sz w:val="18"/>
              <w:szCs w:val="18"/>
            </w:rPr>
            <w:t>PROGRAM PPI BERDASARKAN HASIL ICRA</w:t>
          </w:r>
        </w:p>
        <w:p w:rsidR="0018761B" w:rsidRDefault="00840061">
          <w:r>
            <w:rPr>
              <w:color w:val="D0EEF2"/>
              <w:sz w:val="16"/>
              <w:szCs w:val="16"/>
            </w:rPr>
            <w:t>RS HIJO</w:t>
          </w:r>
          <w:r w:rsidR="00AF4D81">
            <w:rPr>
              <w:color w:val="D0EEF2"/>
              <w:sz w:val="16"/>
              <w:szCs w:val="16"/>
            </w:rPr>
            <w:t xml:space="preserve"> — Komite PPI</w:t>
          </w:r>
        </w:p>
      </w:tc>
      <w:tc>
        <w:tcPr>
          <w:tcW w:w="2572" w:type="dxa"/>
          <w:tcBorders>
            <w:top w:val="none" w:sz="0" w:space="0" w:color="FFFFFF"/>
            <w:left w:val="none" w:sz="0" w:space="0" w:color="FFFFFF"/>
            <w:bottom w:val="none" w:sz="0" w:space="0" w:color="FFFFFF"/>
            <w:right w:val="none" w:sz="0" w:space="0" w:color="FFFFFF"/>
          </w:tcBorders>
          <w:shd w:val="clear" w:color="auto" w:fill="1A3350"/>
          <w:tcMar>
            <w:top w:w="80" w:type="dxa"/>
            <w:left w:w="100" w:type="dxa"/>
            <w:bottom w:w="80" w:type="dxa"/>
            <w:right w:w="160" w:type="dxa"/>
          </w:tcMar>
          <w:vAlign w:val="center"/>
        </w:tcPr>
        <w:p w:rsidR="0018761B" w:rsidRDefault="0018761B">
          <w:pPr>
            <w:jc w:val="cente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B62C30"/>
    <w:multiLevelType w:val="hybridMultilevel"/>
    <w:tmpl w:val="D04C8400"/>
    <w:lvl w:ilvl="0" w:tplc="6E5AEBE4">
      <w:start w:val="1"/>
      <w:numFmt w:val="bullet"/>
      <w:lvlText w:val="•"/>
      <w:lvlJc w:val="left"/>
      <w:pPr>
        <w:ind w:left="720" w:hanging="360"/>
      </w:pPr>
    </w:lvl>
    <w:lvl w:ilvl="1" w:tplc="11206D22">
      <w:start w:val="1"/>
      <w:numFmt w:val="bullet"/>
      <w:lvlText w:val="◦"/>
      <w:lvlJc w:val="left"/>
      <w:pPr>
        <w:ind w:left="1080" w:hanging="360"/>
      </w:pPr>
    </w:lvl>
    <w:lvl w:ilvl="2" w:tplc="2F90EFD4">
      <w:numFmt w:val="decimal"/>
      <w:lvlText w:val=""/>
      <w:lvlJc w:val="left"/>
    </w:lvl>
    <w:lvl w:ilvl="3" w:tplc="3882203C">
      <w:numFmt w:val="decimal"/>
      <w:lvlText w:val=""/>
      <w:lvlJc w:val="left"/>
    </w:lvl>
    <w:lvl w:ilvl="4" w:tplc="F026802A">
      <w:numFmt w:val="decimal"/>
      <w:lvlText w:val=""/>
      <w:lvlJc w:val="left"/>
    </w:lvl>
    <w:lvl w:ilvl="5" w:tplc="368E55E8">
      <w:numFmt w:val="decimal"/>
      <w:lvlText w:val=""/>
      <w:lvlJc w:val="left"/>
    </w:lvl>
    <w:lvl w:ilvl="6" w:tplc="3B5A7EC2">
      <w:numFmt w:val="decimal"/>
      <w:lvlText w:val=""/>
      <w:lvlJc w:val="left"/>
    </w:lvl>
    <w:lvl w:ilvl="7" w:tplc="799A9C06">
      <w:numFmt w:val="decimal"/>
      <w:lvlText w:val=""/>
      <w:lvlJc w:val="left"/>
    </w:lvl>
    <w:lvl w:ilvl="8" w:tplc="0A5E0F50">
      <w:numFmt w:val="decimal"/>
      <w:lvlText w:val=""/>
      <w:lvlJc w:val="left"/>
    </w:lvl>
  </w:abstractNum>
  <w:abstractNum w:abstractNumId="1">
    <w:nsid w:val="453139B7"/>
    <w:multiLevelType w:val="hybridMultilevel"/>
    <w:tmpl w:val="A22E6CC0"/>
    <w:lvl w:ilvl="0" w:tplc="717E81C8">
      <w:start w:val="1"/>
      <w:numFmt w:val="decimal"/>
      <w:lvlText w:val="%1."/>
      <w:lvlJc w:val="left"/>
      <w:pPr>
        <w:ind w:left="720" w:hanging="360"/>
      </w:pPr>
    </w:lvl>
    <w:lvl w:ilvl="1" w:tplc="3C0AD74C">
      <w:numFmt w:val="decimal"/>
      <w:lvlText w:val=""/>
      <w:lvlJc w:val="left"/>
    </w:lvl>
    <w:lvl w:ilvl="2" w:tplc="1772B340">
      <w:numFmt w:val="decimal"/>
      <w:lvlText w:val=""/>
      <w:lvlJc w:val="left"/>
    </w:lvl>
    <w:lvl w:ilvl="3" w:tplc="303E2448">
      <w:numFmt w:val="decimal"/>
      <w:lvlText w:val=""/>
      <w:lvlJc w:val="left"/>
    </w:lvl>
    <w:lvl w:ilvl="4" w:tplc="34645852">
      <w:numFmt w:val="decimal"/>
      <w:lvlText w:val=""/>
      <w:lvlJc w:val="left"/>
    </w:lvl>
    <w:lvl w:ilvl="5" w:tplc="C39816B4">
      <w:numFmt w:val="decimal"/>
      <w:lvlText w:val=""/>
      <w:lvlJc w:val="left"/>
    </w:lvl>
    <w:lvl w:ilvl="6" w:tplc="6EB0E17E">
      <w:numFmt w:val="decimal"/>
      <w:lvlText w:val=""/>
      <w:lvlJc w:val="left"/>
    </w:lvl>
    <w:lvl w:ilvl="7" w:tplc="524698C6">
      <w:numFmt w:val="decimal"/>
      <w:lvlText w:val=""/>
      <w:lvlJc w:val="left"/>
    </w:lvl>
    <w:lvl w:ilvl="8" w:tplc="741AA294">
      <w:numFmt w:val="decimal"/>
      <w:lvlText w:val=""/>
      <w:lvlJc w:val="left"/>
    </w:lvl>
  </w:abstractNum>
  <w:abstractNum w:abstractNumId="2">
    <w:nsid w:val="720C74DD"/>
    <w:multiLevelType w:val="hybridMultilevel"/>
    <w:tmpl w:val="20AA846E"/>
    <w:lvl w:ilvl="0" w:tplc="D1261B92">
      <w:start w:val="1"/>
      <w:numFmt w:val="bullet"/>
      <w:lvlText w:val="●"/>
      <w:lvlJc w:val="left"/>
      <w:pPr>
        <w:ind w:left="720" w:hanging="360"/>
      </w:pPr>
    </w:lvl>
    <w:lvl w:ilvl="1" w:tplc="FBEC48B8">
      <w:start w:val="1"/>
      <w:numFmt w:val="bullet"/>
      <w:lvlText w:val="○"/>
      <w:lvlJc w:val="left"/>
      <w:pPr>
        <w:ind w:left="1440" w:hanging="360"/>
      </w:pPr>
    </w:lvl>
    <w:lvl w:ilvl="2" w:tplc="0FB8654E">
      <w:start w:val="1"/>
      <w:numFmt w:val="bullet"/>
      <w:lvlText w:val="■"/>
      <w:lvlJc w:val="left"/>
      <w:pPr>
        <w:ind w:left="2160" w:hanging="360"/>
      </w:pPr>
    </w:lvl>
    <w:lvl w:ilvl="3" w:tplc="BCC8EC2E">
      <w:start w:val="1"/>
      <w:numFmt w:val="bullet"/>
      <w:lvlText w:val="●"/>
      <w:lvlJc w:val="left"/>
      <w:pPr>
        <w:ind w:left="2880" w:hanging="360"/>
      </w:pPr>
    </w:lvl>
    <w:lvl w:ilvl="4" w:tplc="27A674C2">
      <w:start w:val="1"/>
      <w:numFmt w:val="bullet"/>
      <w:lvlText w:val="○"/>
      <w:lvlJc w:val="left"/>
      <w:pPr>
        <w:ind w:left="3600" w:hanging="360"/>
      </w:pPr>
    </w:lvl>
    <w:lvl w:ilvl="5" w:tplc="9968B81E">
      <w:start w:val="1"/>
      <w:numFmt w:val="bullet"/>
      <w:lvlText w:val="■"/>
      <w:lvlJc w:val="left"/>
      <w:pPr>
        <w:ind w:left="4320" w:hanging="360"/>
      </w:pPr>
    </w:lvl>
    <w:lvl w:ilvl="6" w:tplc="DACEC56C">
      <w:start w:val="1"/>
      <w:numFmt w:val="bullet"/>
      <w:lvlText w:val="●"/>
      <w:lvlJc w:val="left"/>
      <w:pPr>
        <w:ind w:left="5040" w:hanging="360"/>
      </w:pPr>
    </w:lvl>
    <w:lvl w:ilvl="7" w:tplc="65F6236E">
      <w:start w:val="1"/>
      <w:numFmt w:val="bullet"/>
      <w:lvlText w:val="●"/>
      <w:lvlJc w:val="left"/>
      <w:pPr>
        <w:ind w:left="5760" w:hanging="360"/>
      </w:pPr>
    </w:lvl>
    <w:lvl w:ilvl="8" w:tplc="B25C257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displayBackgroundShape/>
  <w:defaultTabStop w:val="720"/>
  <w:characterSpacingControl w:val="doNotCompress"/>
  <w:footnotePr>
    <w:footnote w:id="0"/>
    <w:footnote w:id="1"/>
  </w:footnotePr>
  <w:endnotePr>
    <w:endnote w:id="0"/>
    <w:endnote w:id="1"/>
  </w:endnotePr>
  <w:compat/>
  <w:rsids>
    <w:rsidRoot w:val="0018761B"/>
    <w:rsid w:val="00085E73"/>
    <w:rsid w:val="0018761B"/>
    <w:rsid w:val="00490441"/>
    <w:rsid w:val="0054637F"/>
    <w:rsid w:val="007514F1"/>
    <w:rsid w:val="00840061"/>
    <w:rsid w:val="009723D0"/>
    <w:rsid w:val="00AF4D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441"/>
  </w:style>
  <w:style w:type="paragraph" w:styleId="Heading1">
    <w:name w:val="heading 1"/>
    <w:uiPriority w:val="9"/>
    <w:qFormat/>
    <w:rsid w:val="00490441"/>
    <w:pPr>
      <w:shd w:val="clear" w:color="auto" w:fill="1A3350"/>
      <w:spacing w:before="320" w:after="160"/>
      <w:outlineLvl w:val="0"/>
    </w:pPr>
    <w:rPr>
      <w:b/>
      <w:bCs/>
      <w:color w:val="FFFFFF"/>
      <w:sz w:val="28"/>
      <w:szCs w:val="28"/>
    </w:rPr>
  </w:style>
  <w:style w:type="paragraph" w:styleId="Heading2">
    <w:name w:val="heading 2"/>
    <w:uiPriority w:val="9"/>
    <w:unhideWhenUsed/>
    <w:qFormat/>
    <w:rsid w:val="00490441"/>
    <w:pPr>
      <w:spacing w:before="240" w:after="120"/>
      <w:outlineLvl w:val="1"/>
    </w:pPr>
    <w:rPr>
      <w:b/>
      <w:bCs/>
      <w:color w:val="1A3350"/>
      <w:sz w:val="24"/>
      <w:szCs w:val="24"/>
    </w:rPr>
  </w:style>
  <w:style w:type="paragraph" w:styleId="Heading3">
    <w:name w:val="heading 3"/>
    <w:uiPriority w:val="9"/>
    <w:unhideWhenUsed/>
    <w:qFormat/>
    <w:rsid w:val="00490441"/>
    <w:pPr>
      <w:spacing w:before="200" w:after="100"/>
      <w:outlineLvl w:val="2"/>
    </w:pPr>
    <w:rPr>
      <w:b/>
      <w:bCs/>
      <w:color w:val="0B7B8C"/>
    </w:rPr>
  </w:style>
  <w:style w:type="paragraph" w:styleId="Heading4">
    <w:name w:val="heading 4"/>
    <w:uiPriority w:val="9"/>
    <w:semiHidden/>
    <w:unhideWhenUsed/>
    <w:qFormat/>
    <w:rsid w:val="00490441"/>
    <w:pPr>
      <w:outlineLvl w:val="3"/>
    </w:pPr>
    <w:rPr>
      <w:i/>
      <w:iCs/>
      <w:color w:val="2E74B5"/>
    </w:rPr>
  </w:style>
  <w:style w:type="paragraph" w:styleId="Heading5">
    <w:name w:val="heading 5"/>
    <w:uiPriority w:val="9"/>
    <w:semiHidden/>
    <w:unhideWhenUsed/>
    <w:qFormat/>
    <w:rsid w:val="00490441"/>
    <w:pPr>
      <w:outlineLvl w:val="4"/>
    </w:pPr>
    <w:rPr>
      <w:color w:val="2E74B5"/>
    </w:rPr>
  </w:style>
  <w:style w:type="paragraph" w:styleId="Heading6">
    <w:name w:val="heading 6"/>
    <w:uiPriority w:val="9"/>
    <w:semiHidden/>
    <w:unhideWhenUsed/>
    <w:qFormat/>
    <w:rsid w:val="0049044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490441"/>
    <w:rPr>
      <w:sz w:val="56"/>
      <w:szCs w:val="56"/>
    </w:rPr>
  </w:style>
  <w:style w:type="paragraph" w:customStyle="1" w:styleId="Strong1">
    <w:name w:val="Strong1"/>
    <w:qFormat/>
    <w:rsid w:val="00490441"/>
    <w:rPr>
      <w:b/>
      <w:bCs/>
    </w:rPr>
  </w:style>
  <w:style w:type="paragraph" w:styleId="ListParagraph">
    <w:name w:val="List Paragraph"/>
    <w:qFormat/>
    <w:rsid w:val="00490441"/>
  </w:style>
  <w:style w:type="character" w:styleId="Hyperlink">
    <w:name w:val="Hyperlink"/>
    <w:uiPriority w:val="99"/>
    <w:unhideWhenUsed/>
    <w:rsid w:val="00490441"/>
    <w:rPr>
      <w:color w:val="0563C1"/>
      <w:u w:val="single"/>
    </w:rPr>
  </w:style>
  <w:style w:type="character" w:styleId="FootnoteReference">
    <w:name w:val="footnote reference"/>
    <w:uiPriority w:val="99"/>
    <w:semiHidden/>
    <w:unhideWhenUsed/>
    <w:rsid w:val="00490441"/>
    <w:rPr>
      <w:vertAlign w:val="superscript"/>
    </w:rPr>
  </w:style>
  <w:style w:type="paragraph" w:styleId="FootnoteText">
    <w:name w:val="footnote text"/>
    <w:link w:val="FootnoteTextChar"/>
    <w:uiPriority w:val="99"/>
    <w:semiHidden/>
    <w:unhideWhenUsed/>
    <w:rsid w:val="00490441"/>
    <w:rPr>
      <w:sz w:val="20"/>
      <w:szCs w:val="20"/>
    </w:rPr>
  </w:style>
  <w:style w:type="character" w:customStyle="1" w:styleId="FootnoteTextChar">
    <w:name w:val="Footnote Text Char"/>
    <w:link w:val="FootnoteText"/>
    <w:uiPriority w:val="99"/>
    <w:semiHidden/>
    <w:unhideWhenUsed/>
    <w:rsid w:val="00490441"/>
    <w:rPr>
      <w:sz w:val="20"/>
      <w:szCs w:val="20"/>
    </w:rPr>
  </w:style>
  <w:style w:type="character" w:styleId="EndnoteReference">
    <w:name w:val="endnote reference"/>
    <w:uiPriority w:val="99"/>
    <w:semiHidden/>
    <w:unhideWhenUsed/>
    <w:rsid w:val="00490441"/>
    <w:rPr>
      <w:vertAlign w:val="superscript"/>
    </w:rPr>
  </w:style>
  <w:style w:type="paragraph" w:styleId="EndnoteText">
    <w:name w:val="endnote text"/>
    <w:link w:val="EndnoteTextChar"/>
    <w:uiPriority w:val="99"/>
    <w:semiHidden/>
    <w:unhideWhenUsed/>
    <w:rsid w:val="00490441"/>
    <w:rPr>
      <w:sz w:val="20"/>
      <w:szCs w:val="20"/>
    </w:rPr>
  </w:style>
  <w:style w:type="character" w:customStyle="1" w:styleId="EndnoteTextChar">
    <w:name w:val="Endnote Text Char"/>
    <w:link w:val="EndnoteText"/>
    <w:uiPriority w:val="99"/>
    <w:semiHidden/>
    <w:unhideWhenUsed/>
    <w:rsid w:val="00490441"/>
    <w:rPr>
      <w:sz w:val="20"/>
      <w:szCs w:val="20"/>
    </w:rPr>
  </w:style>
  <w:style w:type="paragraph" w:styleId="Header">
    <w:name w:val="header"/>
    <w:basedOn w:val="Normal"/>
    <w:link w:val="HeaderChar"/>
    <w:uiPriority w:val="99"/>
    <w:semiHidden/>
    <w:unhideWhenUsed/>
    <w:rsid w:val="00840061"/>
    <w:pPr>
      <w:tabs>
        <w:tab w:val="center" w:pos="4680"/>
        <w:tab w:val="right" w:pos="9360"/>
      </w:tabs>
    </w:pPr>
  </w:style>
  <w:style w:type="character" w:customStyle="1" w:styleId="HeaderChar">
    <w:name w:val="Header Char"/>
    <w:basedOn w:val="DefaultParagraphFont"/>
    <w:link w:val="Header"/>
    <w:uiPriority w:val="99"/>
    <w:semiHidden/>
    <w:rsid w:val="00840061"/>
  </w:style>
  <w:style w:type="paragraph" w:styleId="Footer">
    <w:name w:val="footer"/>
    <w:basedOn w:val="Normal"/>
    <w:link w:val="FooterChar"/>
    <w:uiPriority w:val="99"/>
    <w:semiHidden/>
    <w:unhideWhenUsed/>
    <w:rsid w:val="00840061"/>
    <w:pPr>
      <w:tabs>
        <w:tab w:val="center" w:pos="4680"/>
        <w:tab w:val="right" w:pos="9360"/>
      </w:tabs>
    </w:pPr>
  </w:style>
  <w:style w:type="character" w:customStyle="1" w:styleId="FooterChar">
    <w:name w:val="Footer Char"/>
    <w:basedOn w:val="DefaultParagraphFont"/>
    <w:link w:val="Footer"/>
    <w:uiPriority w:val="99"/>
    <w:semiHidden/>
    <w:rsid w:val="00840061"/>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3032</Words>
  <Characters>17285</Characters>
  <Application>Microsoft Office Word</Application>
  <DocSecurity>0</DocSecurity>
  <Lines>144</Lines>
  <Paragraphs>40</Paragraphs>
  <ScaleCrop>false</ScaleCrop>
  <Company/>
  <LinksUpToDate>false</LinksUpToDate>
  <CharactersWithSpaces>20277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2026-03-12T22:42:00Z</dcterms:created>
  <dcterms:modified xsi:type="dcterms:W3CDTF">2026-10-15T05:05:00Z</dcterms:modified>
</cp:coreProperties>
</file>