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BOLETIM EPIDEMIOLÓGICO SEMANAL</w:t>
      </w:r>
    </w:p>
    <w:p>
      <w:pPr>
        <w:jc w:val="center"/>
      </w:pPr>
      <w:r>
        <w:rPr>
          <w:color w:val="555555"/>
          <w:sz w:val="22"/>
        </w:rPr>
        <w:t>Fundação Municipal de Saúde — Rio Claro/SP</w:t>
      </w:r>
    </w:p>
    <w:p>
      <w:pPr>
        <w:jc w:val="center"/>
      </w:pPr>
      <w:r>
        <w:rPr>
          <w:i/>
          <w:color w:val="888888"/>
          <w:sz w:val="18"/>
        </w:rPr>
        <w:t>SE 20/2026 — 17 de maio a 23 de maio de 2026 · Gerado em 25/05/2026 · EpiKanalis / EpiKinesis Inteligência Ltda.</w:t>
      </w:r>
    </w:p>
    <w:p>
      <w:pPr>
        <w:pBdr>
          <w:bottom w:val="single" w:sz="6" w:space="1" w:color="1F4E79"/>
        </w:pBdr>
      </w:pP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1. Situação na SE 20/2026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Agravo / Síndrome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Obs SE 20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02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P90</w:t>
            </w:r>
          </w:p>
        </w:tc>
        <w:tc>
          <w:tcPr>
            <w:tcW w:type="dxa" w:w="158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Todos os atendimentos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9926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13035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X - Aparelho respiratório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2202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2781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Dengue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950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4251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Sínd. Gripal (IVAS+Febre)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1746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2146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Gastroenterites (A09+K52)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316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339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V - Transtornos mentais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587"/>
            <w:shd w:val="clear" w:color="auto" w:fill="1A7942"/>
          </w:tcPr>
          <w:p>
            <w:r>
              <w:rPr>
                <w:b/>
                <w:color w:val="FFFFFF"/>
                <w:sz w:val="18"/>
              </w:rPr>
              <w:t>SUCESSO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2. Curvas Sindromicas e Canais Endêmicos</w:t>
      </w:r>
    </w:p>
    <w:p>
      <w:r>
        <w:rPr>
          <w:sz w:val="20"/>
        </w:rPr>
        <w:t>Comportamento semanal dos principais agravos em 2026 comparado ao canal endêmico Gamma-Poisson (base: 2023–2025). Faixas de cor: verde=sucesso, azul=segurança, amarelo=alerta, vermelho=epidêmico, roxo=emergência.</w:t>
      </w:r>
    </w:p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551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1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1. Curvas sindromicas + canal endêmico Gamma-Poisson — SE 1–20/2026. Base: UPAs Rio Claro (Maestro/IDS Saúde). Método: EpiKanalis v2 (EpiKinesis Inteligência Ltda.)</w:t>
      </w:r>
    </w:p>
    <w:p>
      <w:pPr>
        <w:spacing w:before="40" w:after="40"/>
      </w:pPr>
    </w:p>
    <w:p>
      <w:pPr>
        <w:pStyle w:val="Heading1"/>
      </w:pPr>
      <w:r>
        <w:rPr>
          <w:color w:val="1F4E79"/>
        </w:rPr>
        <w:t>3. Classificação de Zonas — Agravos Prioritários</w:t>
      </w:r>
    </w:p>
    <w:p>
      <w:r>
        <w:rPr>
          <w:sz w:val="20"/>
        </w:rPr>
        <w:t>Classificação bayesiana na SE 20/2026 com observado vs limiares preditivos. Tendência calculada sobre as 3 SEs anteriores (↑ &gt;15%, ↓ &lt;-15%, → estável).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118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Agravo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Prior.</w:t>
            </w:r>
          </w:p>
        </w:tc>
        <w:tc>
          <w:tcPr>
            <w:tcW w:type="dxa" w:w="1020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Obs SE 20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P25–P90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1304"/>
            <w:shd w:val="clear" w:color="auto" w:fill="2E4057"/>
          </w:tcPr>
          <w:p>
            <w:r>
              <w:rPr>
                <w:b/>
                <w:color w:val="FFFFFF"/>
                <w:sz w:val="16"/>
              </w:rPr>
              <w:t>Tendência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Dengue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291–4251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Diarréia/gastroenterite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224–289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Pneumonia NE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85–221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Gripal (IVAS+Febre)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1557–2146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S. Respiratória (J09-J22)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412–650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 - Aparelho respiratório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1934–2781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Gastroenterites (A09+K52)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Moderada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303–339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Todos os atendimentos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8507–13035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V - Transtornos mentais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102–148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XIII - Sistema osteomuscular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810–1075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XIX - Lesões e causas externas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376–425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  <w:tr>
        <w:tc>
          <w:tcPr>
            <w:tcW w:type="dxa" w:w="3118"/>
          </w:tcPr>
          <w:p>
            <w:r>
              <w:rPr>
                <w:sz w:val="16"/>
              </w:rPr>
              <w:t>IX - Aparelho circulatório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187–239</w:t>
            </w:r>
          </w:p>
        </w:tc>
        <w:tc>
          <w:tcPr>
            <w:tcW w:type="dxa" w:w="1417"/>
            <w:shd w:val="clear" w:color="auto" w:fill="1A7942"/>
          </w:tcPr>
          <w:p>
            <w:r>
              <w:rPr>
                <w:b/>
                <w:color w:val="FFFFFF"/>
                <w:sz w:val="16"/>
              </w:rPr>
              <w:t>SUCESSO</w:t>
            </w:r>
          </w:p>
        </w:tc>
        <w:tc>
          <w:tcPr>
            <w:tcW w:type="dxa" w:w="1304"/>
          </w:tcPr>
          <w:p>
            <w:r>
              <w:rPr>
                <w:sz w:val="16"/>
              </w:rPr>
              <w:t>↓ Caindo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color w:val="1F4E79"/>
        </w:rPr>
        <w:t>4. Análise Interpretativa</w:t>
      </w:r>
    </w:p>
    <w:p>
      <w:r>
        <w:rPr>
          <w:b/>
          <w:color w:val="1A7942"/>
          <w:sz w:val="22"/>
        </w:rPr>
        <w:t>▶ AVALIAÇÃO GERAL: SITUAÇÃO DENTRO DO ESPERADO</w:t>
      </w:r>
    </w:p>
    <w:p>
      <w:r>
        <w:rPr>
          <w:sz w:val="20"/>
        </w:rPr>
        <w:t>A SE 20/2026 apresenta comportamento dentro dos parâmetros históricos. Manter vigilância epidemiológica de rotina.</w:t>
      </w:r>
    </w:p>
    <w:p>
      <w:pPr>
        <w:spacing w:before="40" w:after="40"/>
      </w:pPr>
    </w:p>
    <w:p>
      <w:pPr>
        <w:pStyle w:val="ListBullet"/>
      </w:pPr>
      <w:r>
        <w:rPr>
          <w:sz w:val="20"/>
        </w:rPr>
        <w:t>Dengue: 0 atendimentos — SUCESSO. Monitoramento de rotina.</w:t>
      </w:r>
    </w:p>
    <w:p>
      <w:pPr>
        <w:pStyle w:val="ListBullet"/>
      </w:pPr>
      <w:r>
        <w:rPr>
          <w:sz w:val="20"/>
        </w:rPr>
        <w:t>Síndrome respiratória: 0 atendimentos — SUCESSO. Sem elevação relevante.</w:t>
      </w:r>
    </w:p>
    <w:p>
      <w:pPr>
        <w:pStyle w:val="ListBullet"/>
      </w:pPr>
      <w:r>
        <w:rPr>
          <w:sz w:val="20"/>
        </w:rPr>
        <w:t>Síndrome gripal (IVAS + febre): 0 atendimentos — SUCESSO. Comportamento sazonal dentro do esperado.</w:t>
      </w:r>
    </w:p>
    <w:p>
      <w:pPr>
        <w:pStyle w:val="ListBullet"/>
      </w:pPr>
      <w:r>
        <w:rPr>
          <w:sz w:val="20"/>
        </w:rPr>
        <w:t>Gastroenterites: 0 atendimentos — SUCESSO. Sem sinais de surto.</w:t>
      </w:r>
    </w:p>
    <w:p>
      <w:pPr>
        <w:spacing w:before="40" w:after="40"/>
      </w:pPr>
    </w:p>
    <w:p>
      <w:pPr>
        <w:pStyle w:val="Heading2"/>
      </w:pPr>
      <w:r>
        <w:rPr>
          <w:color w:val="2E4057"/>
        </w:rPr>
        <w:t>Recomendações Operacionais</w:t>
      </w:r>
    </w:p>
    <w:p>
      <w:pPr>
        <w:pStyle w:val="ListBullet"/>
      </w:pPr>
      <w:r>
        <w:rPr>
          <w:sz w:val="20"/>
        </w:rPr>
        <w:t>Manter monitoramento semanal de rotina.</w:t>
      </w:r>
    </w:p>
    <w:p>
      <w:pPr>
        <w:pStyle w:val="ListBullet"/>
      </w:pPr>
      <w:r>
        <w:rPr>
          <w:sz w:val="20"/>
        </w:rPr>
        <w:t>Próximo boletim: SE 21/2026. Sistema EpiKanalis (EpiKinesis Inteligência Ltda.).</w:t>
      </w:r>
    </w:p>
    <w:p>
      <w:pPr>
        <w:spacing w:before="40" w:after="40"/>
      </w:pPr>
    </w:p>
    <w:p>
      <w:pPr>
        <w:jc w:val="center"/>
      </w:pPr>
      <w:r>
        <w:rPr>
          <w:i/>
          <w:color w:val="888888"/>
          <w:sz w:val="15"/>
        </w:rPr>
        <w:t>Fonte: Sistema Maestro/IDS Saúde — UPAs Rio Claro (Cervezão e UPA 29). Método: Canal Endêmico Gamma-Poisson Hierárquico (EpiKanalis v2). Base 2023–2025 (2022 excluído). Contato: EpiKinesis Inteligência Ltda. | ekokubun@rc.unesp.br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