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Word-of-Mouth marketing w wirtualnej rzeczywistości — wstęp</w:t>
      </w:r>
    </w:p>
    <w:p>
      <w:pPr>
        <w:pStyle w:val="Heading2"/>
      </w:pPr>
      <w:r>
        <w:t>1. Marketing szeptany jako siła napędowa decyzji konsumenckich</w:t>
      </w:r>
    </w:p>
    <w:p>
      <w:r>
        <w:t>Marketing szeptany od dekad pozostaje jednym z najsilniejszych mechanizmów wpływu społecznego w decyzjach zakupowych. Badania empiryczne pokazują, że konsumenci uznają rekomendacje innych konsumentów za bardziej wiarygodne niż komunikaty marketingowe marek (Hoch, 2002, s. 137). Wraz z rozwojem mediów cyfrowych mechanika ta przeniosła się do środowiska online, gdzie eWOM kształtuje sprzedaż w sposób mierzalny i trwały (Trusov i in., 2009, s. 90). Meta-analiza Rosario (2016, s. 305) potwierdza, że efekt eWOM jest silniejszy w kategoriach produktów doświadczalnych niż użytkowych — to obserwacja kluczowa dla VR jako medium ze swojej natury doświadczalnego.</w:t>
      </w:r>
    </w:p>
    <w:p>
      <w:pPr>
        <w:pStyle w:val="Heading2"/>
      </w:pPr>
      <w:r>
        <w:t>2. Wirtualna rzeczywistość jako nowe medium doświadczenia produktowego</w:t>
      </w:r>
    </w:p>
    <w:p>
      <w:r>
        <w:t>Wirtualna rzeczywistość redefiniuje pojęcie doświadczenia produktowego, pozwalając konsumentowi wejść w interakcję z produktem zanim podejmie decyzję zakupową. Mechanika wiralności w VR opiera się na trzech elementach: zaskoczeniu, emocjach i społecznej wymianie (Berger, 2013, s. 14). Badania polskich konsumentów online wskazują, że intencja podzielenia się doświadczeniem rośnie proporcjonalnie do intensywności zaangażowania zmysłowego (Batorski, 2006, s. 103). Dodatkowo Goldstein i in. (2008) pokazali, że normatywne sygnały społeczne w środowisku cyfrowym znacząco zmieniają intencje zakupowe.</w:t>
      </w:r>
    </w:p>
    <w:p>
      <w:pPr>
        <w:pStyle w:val="Heading2"/>
      </w:pPr>
      <w:r>
        <w:t>3. Metodologia badania</w:t>
      </w:r>
    </w:p>
    <w:p>
      <w:r>
        <w:t>Badanie zastosowało metodologię mieszaną opartą na triangulacji danych ilościowych (CAWI, N=123) i jakościowych (IDI, N=3). Próba została dobrana metodą warstwową z uwzględnieniem podziału na posiadaczy i nie-posiadaczy gogli VR. Analiza statystyczna obejmowała testy χ², t Welcha oraz korelacje Pearsona, z poziomem istotności p &lt; 0,05.</w:t>
      </w:r>
    </w:p>
    <w:p>
      <w:pPr>
        <w:pStyle w:val="Heading1"/>
      </w:pPr>
      <w:r>
        <w:t>BIBLIOGRAFIA</w:t>
      </w:r>
    </w:p>
    <w:p>
      <w:pPr>
        <w:pStyle w:val="Heading2"/>
      </w:pPr>
      <w:r>
        <w:t>I. Literatura naukowa</w:t>
      </w:r>
    </w:p>
    <w:p>
      <w:r>
        <w:t>Batorski, D., &amp; Olcoń-Kubicka, M. (2006). Prowadzenie badań przez Internet — podstawowe zagadnienia metodologiczne. Studia Socjologiczne, 3(182), 99-132.</w:t>
      </w:r>
    </w:p>
    <w:p>
      <w:r>
        <w:t>Berger, J. (2013). Contagious: Why Things Catch On. Simon &amp; Schuster.</w:t>
      </w:r>
    </w:p>
    <w:p>
      <w:r>
        <w:t>Hoch, S. J. (2002). Product experience is seductive. Journal of Consumer Research, 29(3), 448-454.</w:t>
      </w:r>
    </w:p>
    <w:p>
      <w:r>
        <w:t>Krawczyk, A. (2018). Polskie pokolenie Z a media społecznościowe. Wydawnictwo Naukowe PWN.</w:t>
      </w:r>
    </w:p>
    <w:p>
      <w:r>
        <w:t>Rosario, A. B., Sotgiu, F., De Valck, K., &amp; Bijmolt, T. H. A. (2016). The effect of electronic word of mouth on sales: A meta-analytic review of platform, product, and metric factors. Journal of Marketing Research, 53(3), 297-318.</w:t>
      </w:r>
    </w:p>
    <w:p>
      <w:r>
        <w:t>Trusov, M., Bucklin, R. E., &amp; Pauwels, K. (2009). Effects of word-of-mouth versus traditional marketing: Findings from an internet social networking site. Journal of Marketing, 73(5), 90-102.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