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2868C"/>
          <w:spacing w:val="40"/>
          <w:sz w:val="22"/>
          <w:szCs w:val="22"/>
        </w:rPr>
        <w:t xml:space="preserve">STENOGRAM</w:t>
      </w:r>
    </w:p>
    <w:p>
      <w:pPr>
        <w:spacing w:after="60"/>
      </w:pPr>
      <w:r>
        <w:rPr>
          <w:b/>
          <w:bCs/>
          <w:color w:val="16242A"/>
          <w:sz w:val="40"/>
          <w:szCs w:val="40"/>
        </w:rPr>
        <w:t xml:space="preserve">Вопросы юристу по 152-ФЗ</w:t>
      </w:r>
    </w:p>
    <w:p>
      <w:pPr>
        <w:pBdr>
          <w:bottom w:val="single" w:color="12868C" w:sz="8" w:space="6"/>
        </w:pBdr>
        <w:spacing w:after="200"/>
      </w:pPr>
      <w:r>
        <w:rPr>
          <w:i/>
          <w:iCs/>
          <w:color w:val="566A6F"/>
          <w:sz w:val="20"/>
          <w:szCs w:val="20"/>
        </w:rPr>
        <w:t xml:space="preserve">Подготовка к публичному запуску · требуется юридическое заключение и утверждение формулировок · 18.07.2026</w:t>
      </w:r>
    </w:p>
    <w:p>
      <w:pPr>
        <w:spacing w:after="120"/>
      </w:pPr>
      <w:r>
        <w:rPr>
          <w:color w:val="16242A"/>
        </w:rPr>
        <w:t xml:space="preserve">Документ для передачи юристу. Персональный AI-сервис записывает и загружает аудио встреч, автоматически расшифровывает их с разделением по голосам (диаризация), формирует протокол и задачи, отправляет результат в Email/Telegram/Битрикс24. Техническая инфраструктура согласий и удаления данных уже построена и работает — требуются юридические решения и утверждённые тексты. Ниже: что уже реализовано, какие продуктовые решения приняты, и вопросы, требующие ответа юриста.</w:t>
      </w:r>
    </w:p>
    <w:p>
      <w:pPr>
        <w:pStyle w:val="Heading2"/>
        <w:spacing w:before="260" w:after="120"/>
      </w:pPr>
      <w:r>
        <w:rPr>
          <w:color w:val="16242A"/>
        </w:rPr>
        <w:t xml:space="preserve">1. Категории обрабатываемых данных</w:t>
      </w:r>
    </w:p>
    <w:p>
      <w:pPr>
        <w:spacing w:after="120"/>
      </w:pPr>
      <w:r>
        <w:rPr>
          <w:color w:val="16242A"/>
        </w:rPr>
        <w:t xml:space="preserve">Аудиозаписи встреч; тексты стенограмм; имена и контакты участников; голоса участников (используются для разделения говорящих — диаризации).</w:t>
      </w:r>
    </w:p>
    <w:p>
      <w:pPr>
        <w:pStyle w:val="Heading2"/>
        <w:spacing w:before="260" w:after="120"/>
      </w:pPr>
      <w:r>
        <w:rPr>
          <w:color w:val="16242A"/>
        </w:rPr>
        <w:t xml:space="preserve">2. Что технически уже реализовано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6242A"/>
        </w:rPr>
        <w:t xml:space="preserve">Неизменяемый аудит согласий: журнал grant/decline/revoke со снимком точного текста, версией текста, ip/ua — доказательство того, что именно видел пользователь.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6242A"/>
        </w:rPr>
        <w:t xml:space="preserve">Версионирование текстов согласий (при любой правке текста поднимается версия; старые снимки в аудите сохраняются).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6242A"/>
        </w:rPr>
        <w:t xml:space="preserve">Отдельные согласия: на запись, транскрипцию, AI-анализ, трансграничную передачу; плюс предупреждение перед каждой записью.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6242A"/>
        </w:rPr>
        <w:t xml:space="preserve">Каскадное удаление данных пользователя (проверено); удаление аудио из хранилища.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6242A"/>
        </w:rPr>
        <w:t xml:space="preserve">Ежедневные резервные копии БД и файлов с ротацией; удалённые данные исчезают из резервных копий в течение 14 дней (проверено восстановление).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6242A"/>
        </w:rPr>
        <w:t xml:space="preserve">Доступ службы поддержки к содержимому встреч — только по явному согласию пользователя, отзывается в настройках.</w:t>
      </w:r>
    </w:p>
    <w:p>
      <w:pPr>
        <w:pStyle w:val="Heading2"/>
        <w:spacing w:before="260" w:after="120"/>
      </w:pPr>
      <w:r>
        <w:rPr>
          <w:color w:val="16242A"/>
        </w:rPr>
        <w:t xml:space="preserve">3. Продуктовые решения (уже приняты)</w:t>
      </w:r>
    </w:p>
    <w:tbl>
      <w:tblPr>
        <w:tblW w:type="pct" w:w="100%"/>
        <w:tblBorders>
          <w:top w:val="single" w:color="CBD8D8" w:sz="4"/>
          <w:left w:val="single" w:color="CBD8D8" w:sz="4"/>
          <w:bottom w:val="single" w:color="CBD8D8" w:sz="4"/>
          <w:right w:val="single" w:color="CBD8D8" w:sz="4"/>
          <w:insideH w:val="single" w:color="CBD8D8" w:sz="4"/>
          <w:insideV w:val="single" w:color="CBD8D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E6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2A"/>
              </w:rPr>
              <w:t xml:space="preserve">Вопрос</w:t>
            </w:r>
          </w:p>
        </w:tc>
        <w:tc>
          <w:tcPr>
            <w:tcW w:type="pct" w:w="62%"/>
            <w:shd w:fill="E6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2A"/>
              </w:rPr>
              <w:t xml:space="preserve">Решение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Оператор персональных данных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Юридическое лицо (реквизиты предоставит владелец продукта).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Срок удаления ПДн из резервных копий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14 дней (текущая настройка ротации бэкапов).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Контур обработки (провайдеры)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Оставлено на решение юриста (базовый — смешанный, см. раздел 5).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Блокировать обработку без согласий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Оставлено на решение юриста (сейчас обработка не блокируется).</w:t>
            </w:r>
          </w:p>
        </w:tc>
      </w:tr>
    </w:tbl>
    <w:p>
      <w:pPr>
        <w:spacing w:after="80"/>
      </w:pPr>
    </w:p>
    <w:p>
      <w:pPr>
        <w:pStyle w:val="Heading2"/>
        <w:spacing w:before="260" w:after="120"/>
      </w:pPr>
      <w:r>
        <w:rPr>
          <w:color w:val="16242A"/>
        </w:rPr>
        <w:t xml:space="preserve">4. Вопросы к юристу</w:t>
      </w:r>
    </w:p>
    <w:tbl>
      <w:tblPr>
        <w:tblW w:type="pct" w:w="100%"/>
        <w:tblBorders>
          <w:top w:val="single" w:color="CBD8D8" w:sz="4"/>
          <w:left w:val="single" w:color="CBD8D8" w:sz="4"/>
          <w:bottom w:val="single" w:color="CBD8D8" w:sz="4"/>
          <w:right w:val="single" w:color="CBD8D8" w:sz="4"/>
          <w:insideH w:val="single" w:color="CBD8D8" w:sz="4"/>
          <w:insideV w:val="single" w:color="CBD8D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6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2A"/>
              </w:rPr>
              <w:t xml:space="preserve">№</w:t>
            </w:r>
          </w:p>
        </w:tc>
        <w:tc>
          <w:tcPr>
            <w:tcW w:type="pct" w:w="52%"/>
            <w:shd w:fill="E6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2A"/>
              </w:rPr>
              <w:t xml:space="preserve">Вопрос</w:t>
            </w:r>
          </w:p>
        </w:tc>
        <w:tc>
          <w:tcPr>
            <w:tcW w:type="pct" w:w="42%"/>
            <w:shd w:fill="E6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2A"/>
              </w:rPr>
              <w:t xml:space="preserve">Куда пойдёт ответ (в системе)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1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Оператор ПДн: реквизиты юрлица и политика обработки персональных данных (документ/ссылка).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Во все тексты согласий и политику в приложении.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2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Утвердить формулировки 4 согласий (запись / транскрипция / AI-анализ / трансграничная передача) и текста предупреждения перед записью.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Тексты согласий; при правке поднимается версия.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3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Трансграничная передача: правомерность и процедура (ст. 12 152-ФЗ). Часть провайдеров — за пределами РФ. Нужно ли отдельное согласие/уведомление и на каком основании.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Текст согласия на трансграничную передачу.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4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Перечень AI-провайдеров и стран обработки: подтвердить или ограничить (см. раздел 5).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Текст согласия; при ограничении — настройки провайдеров.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5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Срок хранения данных и удаления из резервных копий: подтвердить 14 дней или указать иной.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Настройка ротации резервных копий.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6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Уведомление участников встречи: достаточно ли согласия и подтверждения владельца, или требуется уведомление/согласие самих участников и его доказательство.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Поток согласий; возможен новый шаг.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7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Голосовая биометрия: является ли разделение по голосам (диаризация) обработкой биометрических ПДн; требуется ли отдельное согласие.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Возможно новый тип согласия и текст.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8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Блокировка обработки без согласий: требуется ли технически запрещать обработку записи без необходимых согласий (сейчас не блокируется, чтобы не затрагивать существующие записи).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Условие в конвейере обработки.</w:t>
            </w:r>
          </w:p>
        </w:tc>
      </w:tr>
    </w:tbl>
    <w:p>
      <w:pPr>
        <w:spacing w:after="80"/>
      </w:pPr>
    </w:p>
    <w:p>
      <w:pPr>
        <w:pStyle w:val="Heading2"/>
        <w:spacing w:before="260" w:after="120"/>
      </w:pPr>
      <w:r>
        <w:rPr>
          <w:color w:val="16242A"/>
        </w:rPr>
        <w:t xml:space="preserve">5. Фактический стек обработки (к вопросам 3–4)</w:t>
      </w:r>
    </w:p>
    <w:tbl>
      <w:tblPr>
        <w:tblW w:type="pct" w:w="100%"/>
        <w:tblBorders>
          <w:top w:val="single" w:color="CBD8D8" w:sz="4"/>
          <w:left w:val="single" w:color="CBD8D8" w:sz="4"/>
          <w:bottom w:val="single" w:color="CBD8D8" w:sz="4"/>
          <w:right w:val="single" w:color="CBD8D8" w:sz="4"/>
          <w:insideH w:val="single" w:color="CBD8D8" w:sz="4"/>
          <w:insideV w:val="single" w:color="CBD8D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E6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2A"/>
              </w:rPr>
              <w:t xml:space="preserve">Провайдер</w:t>
            </w:r>
          </w:p>
        </w:tc>
        <w:tc>
          <w:tcPr>
            <w:tcW w:type="pct" w:w="40%"/>
            <w:shd w:fill="E6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2A"/>
              </w:rPr>
              <w:t xml:space="preserve">Назначение</w:t>
            </w:r>
          </w:p>
        </w:tc>
        <w:tc>
          <w:tcPr>
            <w:tcW w:type="pct" w:w="18%"/>
            <w:shd w:fill="E6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242A"/>
              </w:rPr>
              <w:t xml:space="preserve">Юрисдикция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OpenRouter → OpenAI Whisper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Распознавание речи (ASR)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США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OpenRouter → Google Gemini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Диаризация по голосу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США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OpenRouter → Anthropic Claude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Имена спикеров, протокол, задачи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США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Shopot (api.shopot.ai)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Облачная диаризация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РФ</w:t>
            </w:r>
          </w:p>
        </w:tc>
      </w:tr>
      <w:t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Speech2Text (speech2text.ru)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Распознавание + бот-участник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42A"/>
              </w:rPr>
              <w:t xml:space="preserve">РФ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566A6F"/>
        </w:rPr>
        <w:t xml:space="preserve">Пользователь выбирает метод диаризации в настройках; распознавание, протокол и задачи по умолчанию идут через OpenRouter (США). Полностью РФ-контур возможен (Shopot/Speech2Text), но имена говорящих, протокол и задачи сейчас формируются моделью Anthropic Claude (США) — это отдельный вопрос к согласованию, если требуется режим «только РФ».</w:t>
      </w:r>
    </w:p>
    <w:p>
      <w:pPr>
        <w:pStyle w:val="Heading2"/>
        <w:spacing w:before="260" w:after="120"/>
      </w:pPr>
      <w:r>
        <w:rPr>
          <w:color w:val="16242A"/>
        </w:rPr>
        <w:t xml:space="preserve">6. После ответов — что изменится в системе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6242A"/>
        </w:rPr>
        <w:t xml:space="preserve">Вписать утверждённые тексты согласий и поднять версию набора.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6242A"/>
        </w:rPr>
        <w:t xml:space="preserve">Выставить срок ротации резервных копий согласно ответу (сейчас 14 дней).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6242A"/>
        </w:rPr>
        <w:t xml:space="preserve">При необходимости: новый тип согласия (голосовая биометрия), техническая блокировка обработки без согласий, конфигурация «только РФ» для провайдеров.</w:t>
      </w:r>
    </w:p>
    <w:p>
      <w:pPr>
        <w:spacing w:after="80"/>
      </w:pPr>
    </w:p>
    <w:p>
      <w:pPr>
        <w:spacing w:after="120"/>
      </w:pPr>
      <w:r>
        <w:rPr>
          <w:b/>
          <w:bCs/>
          <w:color w:val="16242A"/>
        </w:rPr>
        <w:t xml:space="preserve">После закрытия этих вопросов юридические пункты чек-листа перед запуском (заключение по 152-ФЗ и утверждённые тексты согласий) считаются выполненными.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4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60" w:after="120"/>
    </w:pPr>
    <w:rPr>
      <w:b/>
      <w:bCs/>
      <w:color w:val="1624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2026-07-18T19:22:58.150Z</dcterms:created>
  <dcterms:modified xsi:type="dcterms:W3CDTF">2026-07-18T19:22:58.151Z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