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gridready-ai-mvp-specification"/>
    <w:p>
      <w:pPr>
        <w:pStyle w:val="Heading1"/>
      </w:pPr>
      <w:r>
        <w:t xml:space="preserve">GridReady AI MVP Specification</w:t>
      </w:r>
    </w:p>
    <w:bookmarkStart w:id="20" w:name="X04cfcdefd43067b6284482aaf0441c3a00d62b3"/>
    <w:p>
      <w:pPr>
        <w:pStyle w:val="Heading2"/>
      </w:pPr>
      <w:r>
        <w:t xml:space="preserve">Version 0.1 — Site Power Feasibility &amp; Interconnection Readiness Product</w:t>
      </w:r>
    </w:p>
    <w:bookmarkEnd w:id="20"/>
    <w:bookmarkStart w:id="21" w:name="product-summary"/>
    <w:p>
      <w:pPr>
        <w:pStyle w:val="Heading2"/>
      </w:pPr>
      <w:r>
        <w:t xml:space="preserve">1. Product Summary</w:t>
      </w:r>
    </w:p>
    <w:p>
      <w:pPr>
        <w:pStyle w:val="FirstParagraph"/>
      </w:pPr>
      <w:r>
        <w:t xml:space="preserve">GridReady AI is an infrastructure intelligence product for AI data-centre and large-load development.</w:t>
      </w:r>
    </w:p>
    <w:p>
      <w:pPr>
        <w:pStyle w:val="BodyText"/>
      </w:pPr>
      <w:r>
        <w:t xml:space="preserve">The MVP helps developers, investors, energy developers, landowners, and consultants answer one high-value question:</w:t>
      </w:r>
    </w:p>
    <w:p>
      <w:pPr>
        <w:pStyle w:val="BodyText"/>
      </w:pPr>
      <w:r>
        <w:rPr>
          <w:b/>
          <w:bCs/>
        </w:rPr>
        <w:t xml:space="preserve">Can this candidate AI data-centre or large-load site realistically secure power, pass interconnection diligence, manage grid/reliability risk, and justify further capital commitment?</w:t>
      </w:r>
    </w:p>
    <w:p>
      <w:pPr>
        <w:pStyle w:val="BodyText"/>
      </w:pPr>
      <w:r>
        <w:t xml:space="preserve">The first product is not a full SaaS platform. It is a</w:t>
      </w:r>
      <w:r>
        <w:t xml:space="preserve"> </w:t>
      </w:r>
      <w:r>
        <w:rPr>
          <w:b/>
          <w:bCs/>
        </w:rPr>
        <w:t xml:space="preserve">software-assisted diligence workflow</w:t>
      </w:r>
      <w:r>
        <w:t xml:space="preserve"> </w:t>
      </w:r>
      <w:r>
        <w:t xml:space="preserve">that produces a paid deliverable:</w:t>
      </w:r>
    </w:p>
    <w:p>
      <w:pPr>
        <w:pStyle w:val="BodyText"/>
      </w:pPr>
      <w:r>
        <w:rPr>
          <w:b/>
          <w:bCs/>
        </w:rPr>
        <w:t xml:space="preserve">GridReady AI Site Power Feasibility &amp; Interconnection Readiness Report</w:t>
      </w:r>
    </w:p>
    <w:p>
      <w:pPr>
        <w:pStyle w:val="BodyText"/>
      </w:pPr>
      <w:r>
        <w:t xml:space="preserve">The MVP combines:</w:t>
      </w:r>
    </w:p>
    <w:p>
      <w:pPr>
        <w:pStyle w:val="Compact"/>
        <w:numPr>
          <w:ilvl w:val="0"/>
          <w:numId w:val="1001"/>
        </w:numPr>
      </w:pPr>
      <w:r>
        <w:t xml:space="preserve">Customer site intake</w:t>
      </w:r>
    </w:p>
    <w:p>
      <w:pPr>
        <w:pStyle w:val="Compact"/>
        <w:numPr>
          <w:ilvl w:val="0"/>
          <w:numId w:val="1001"/>
        </w:numPr>
      </w:pPr>
      <w:r>
        <w:t xml:space="preserve">Internal analyst dashboard</w:t>
      </w:r>
    </w:p>
    <w:p>
      <w:pPr>
        <w:pStyle w:val="Compact"/>
        <w:numPr>
          <w:ilvl w:val="0"/>
          <w:numId w:val="1001"/>
        </w:numPr>
      </w:pPr>
      <w:r>
        <w:t xml:space="preserve">GIS and grid-asset screening</w:t>
      </w:r>
    </w:p>
    <w:p>
      <w:pPr>
        <w:pStyle w:val="Compact"/>
        <w:numPr>
          <w:ilvl w:val="0"/>
          <w:numId w:val="1001"/>
        </w:numPr>
      </w:pPr>
      <w:r>
        <w:t xml:space="preserve">Interconnection-readiness checklist</w:t>
      </w:r>
    </w:p>
    <w:p>
      <w:pPr>
        <w:pStyle w:val="Compact"/>
        <w:numPr>
          <w:ilvl w:val="0"/>
          <w:numId w:val="1001"/>
        </w:numPr>
      </w:pPr>
      <w:r>
        <w:t xml:space="preserve">Reliability-risk checklist</w:t>
      </w:r>
    </w:p>
    <w:p>
      <w:pPr>
        <w:pStyle w:val="Compact"/>
        <w:numPr>
          <w:ilvl w:val="0"/>
          <w:numId w:val="1001"/>
        </w:numPr>
      </w:pPr>
      <w:r>
        <w:t xml:space="preserve">Energy economics and congestion view</w:t>
      </w:r>
    </w:p>
    <w:p>
      <w:pPr>
        <w:pStyle w:val="Compact"/>
        <w:numPr>
          <w:ilvl w:val="0"/>
          <w:numId w:val="1001"/>
        </w:numPr>
      </w:pPr>
      <w:r>
        <w:t xml:space="preserve">Flexibility-readiness assessment</w:t>
      </w:r>
    </w:p>
    <w:p>
      <w:pPr>
        <w:pStyle w:val="Compact"/>
        <w:numPr>
          <w:ilvl w:val="0"/>
          <w:numId w:val="1001"/>
        </w:numPr>
      </w:pPr>
      <w:r>
        <w:t xml:space="preserve">Evidence-backed PDF report</w:t>
      </w:r>
    </w:p>
    <w:p>
      <w:pPr>
        <w:pStyle w:val="Compact"/>
        <w:numPr>
          <w:ilvl w:val="0"/>
          <w:numId w:val="1001"/>
        </w:numPr>
      </w:pPr>
      <w:r>
        <w:t xml:space="preserve">Investor/utility-ready memo</w:t>
      </w:r>
    </w:p>
    <w:p>
      <w:pPr>
        <w:pStyle w:val="Compact"/>
        <w:numPr>
          <w:ilvl w:val="0"/>
          <w:numId w:val="1001"/>
        </w:numPr>
      </w:pPr>
      <w:r>
        <w:t xml:space="preserve">Human expert review</w:t>
      </w:r>
    </w:p>
    <w:p>
      <w:pPr>
        <w:pStyle w:val="FirstParagraph"/>
      </w:pPr>
      <w:r>
        <w:t xml:space="preserve">The MVP should start in one market only:</w:t>
      </w:r>
    </w:p>
    <w:p>
      <w:pPr>
        <w:pStyle w:val="BodyText"/>
      </w:pPr>
      <w:r>
        <w:rPr>
          <w:b/>
          <w:bCs/>
        </w:rPr>
        <w:t xml:space="preserve">ERCOT / Texas large-load and AI data-centre sites</w:t>
      </w:r>
    </w:p>
    <w:p>
      <w:pPr>
        <w:pStyle w:val="BodyText"/>
      </w:pPr>
      <w:r>
        <w:t xml:space="preserve">The product should initially target candidate sites requiring approximately</w:t>
      </w:r>
      <w:r>
        <w:t xml:space="preserve"> </w:t>
      </w:r>
      <w:r>
        <w:rPr>
          <w:b/>
          <w:bCs/>
        </w:rPr>
        <w:t xml:space="preserve">75 MW or greater</w:t>
      </w:r>
      <w:r>
        <w:t xml:space="preserve"> </w:t>
      </w:r>
      <w:r>
        <w:t xml:space="preserve">of electrical load, with an emphasis on</w:t>
      </w:r>
      <w:r>
        <w:t xml:space="preserve"> </w:t>
      </w:r>
      <w:r>
        <w:rPr>
          <w:b/>
          <w:bCs/>
        </w:rPr>
        <w:t xml:space="preserve">100 MW–500 MW AI data-centre and GPU-cloud projects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mvp-objective"/>
    <w:p>
      <w:pPr>
        <w:pStyle w:val="Heading1"/>
      </w:pPr>
      <w:r>
        <w:t xml:space="preserve">2. MVP Objective</w:t>
      </w:r>
    </w:p>
    <w:bookmarkStart w:id="23" w:name="primary-objective"/>
    <w:p>
      <w:pPr>
        <w:pStyle w:val="Heading2"/>
      </w:pPr>
      <w:r>
        <w:t xml:space="preserve">2.1 Primary Objective</w:t>
      </w:r>
    </w:p>
    <w:p>
      <w:pPr>
        <w:pStyle w:val="FirstParagraph"/>
      </w:pPr>
      <w:r>
        <w:t xml:space="preserve">Build a repeatable product that allows GridReady AI to produce a credible, evidence-backed power-feasibility report for a candidate AI data-centre site within</w:t>
      </w:r>
      <w:r>
        <w:t xml:space="preserve"> </w:t>
      </w:r>
      <w:r>
        <w:rPr>
          <w:b/>
          <w:bCs/>
        </w:rPr>
        <w:t xml:space="preserve">5–10 business days</w:t>
      </w:r>
      <w:r>
        <w:t xml:space="preserve">.</w:t>
      </w:r>
    </w:p>
    <w:bookmarkEnd w:id="23"/>
    <w:bookmarkStart w:id="24" w:name="business-objective"/>
    <w:p>
      <w:pPr>
        <w:pStyle w:val="Heading2"/>
      </w:pPr>
      <w:r>
        <w:t xml:space="preserve">2.2 Business Objective</w:t>
      </w:r>
    </w:p>
    <w:p>
      <w:pPr>
        <w:pStyle w:val="FirstParagraph"/>
      </w:pPr>
      <w:r>
        <w:t xml:space="preserve">Validate whether customers will pay for early-stage site diligence before GridReady AI invests in a full SaaS platform.</w:t>
      </w:r>
    </w:p>
    <w:p>
      <w:pPr>
        <w:pStyle w:val="BodyText"/>
      </w:pPr>
      <w:r>
        <w:t xml:space="preserve">The MVP should support:</w:t>
      </w:r>
    </w:p>
    <w:p>
      <w:pPr>
        <w:pStyle w:val="Compact"/>
        <w:numPr>
          <w:ilvl w:val="0"/>
          <w:numId w:val="1002"/>
        </w:numPr>
      </w:pPr>
      <w:r>
        <w:t xml:space="preserve">Single-site feasibility report</w:t>
      </w:r>
    </w:p>
    <w:p>
      <w:pPr>
        <w:pStyle w:val="Compact"/>
        <w:numPr>
          <w:ilvl w:val="0"/>
          <w:numId w:val="1002"/>
        </w:numPr>
      </w:pPr>
      <w:r>
        <w:t xml:space="preserve">Multi-site screening pack</w:t>
      </w:r>
    </w:p>
    <w:p>
      <w:pPr>
        <w:pStyle w:val="Compact"/>
        <w:numPr>
          <w:ilvl w:val="0"/>
          <w:numId w:val="1002"/>
        </w:numPr>
      </w:pPr>
      <w:r>
        <w:t xml:space="preserve">Investor underwriting pack</w:t>
      </w:r>
    </w:p>
    <w:p>
      <w:pPr>
        <w:pStyle w:val="Compact"/>
        <w:numPr>
          <w:ilvl w:val="0"/>
          <w:numId w:val="1002"/>
        </w:numPr>
      </w:pPr>
      <w:r>
        <w:t xml:space="preserve">Interconnection-readiness pack</w:t>
      </w:r>
    </w:p>
    <w:p>
      <w:pPr>
        <w:pStyle w:val="Compact"/>
        <w:numPr>
          <w:ilvl w:val="0"/>
          <w:numId w:val="1002"/>
        </w:numPr>
      </w:pPr>
      <w:r>
        <w:t xml:space="preserve">Strategic advisory retainer</w:t>
      </w:r>
    </w:p>
    <w:bookmarkEnd w:id="24"/>
    <w:bookmarkStart w:id="25" w:name="product-objective"/>
    <w:p>
      <w:pPr>
        <w:pStyle w:val="Heading2"/>
      </w:pPr>
      <w:r>
        <w:t xml:space="preserve">2.3 Product Objective</w:t>
      </w:r>
    </w:p>
    <w:p>
      <w:pPr>
        <w:pStyle w:val="FirstParagraph"/>
      </w:pPr>
      <w:r>
        <w:t xml:space="preserve">The MVP must reduce the customer’s uncertainty around:</w:t>
      </w:r>
    </w:p>
    <w:p>
      <w:pPr>
        <w:pStyle w:val="Compact"/>
        <w:numPr>
          <w:ilvl w:val="0"/>
          <w:numId w:val="1003"/>
        </w:numPr>
      </w:pPr>
      <w:r>
        <w:t xml:space="preserve">Whether the site is plausibly power-feasible</w:t>
      </w:r>
    </w:p>
    <w:p>
      <w:pPr>
        <w:pStyle w:val="Compact"/>
        <w:numPr>
          <w:ilvl w:val="0"/>
          <w:numId w:val="1003"/>
        </w:numPr>
      </w:pPr>
      <w:r>
        <w:t xml:space="preserve">Whether the site appears eligible for a large-load interconnection pathway</w:t>
      </w:r>
    </w:p>
    <w:p>
      <w:pPr>
        <w:pStyle w:val="Compact"/>
        <w:numPr>
          <w:ilvl w:val="0"/>
          <w:numId w:val="1003"/>
        </w:numPr>
      </w:pPr>
      <w:r>
        <w:t xml:space="preserve">Which utility, TSP, DSP, or ISO/RTO process likely applies</w:t>
      </w:r>
    </w:p>
    <w:p>
      <w:pPr>
        <w:pStyle w:val="Compact"/>
        <w:numPr>
          <w:ilvl w:val="0"/>
          <w:numId w:val="1003"/>
        </w:numPr>
      </w:pPr>
      <w:r>
        <w:t xml:space="preserve">What data, forms, studies, attestations, and engineering inputs may be needed</w:t>
      </w:r>
    </w:p>
    <w:p>
      <w:pPr>
        <w:pStyle w:val="Compact"/>
        <w:numPr>
          <w:ilvl w:val="0"/>
          <w:numId w:val="1003"/>
        </w:numPr>
      </w:pPr>
      <w:r>
        <w:t xml:space="preserve">What grid reliability or ride-through risks may matter</w:t>
      </w:r>
    </w:p>
    <w:p>
      <w:pPr>
        <w:pStyle w:val="Compact"/>
        <w:numPr>
          <w:ilvl w:val="0"/>
          <w:numId w:val="1003"/>
        </w:numPr>
      </w:pPr>
      <w:r>
        <w:t xml:space="preserve">Whether power economics, congestion, permitting, cooling, water, or local constraints create risk</w:t>
      </w:r>
    </w:p>
    <w:p>
      <w:pPr>
        <w:pStyle w:val="Compact"/>
        <w:numPr>
          <w:ilvl w:val="0"/>
          <w:numId w:val="1003"/>
        </w:numPr>
      </w:pPr>
      <w:r>
        <w:t xml:space="preserve">Whether the site can be positioned as flexible, staged, curtailable, or grid-supportive</w:t>
      </w:r>
    </w:p>
    <w:p>
      <w:pPr>
        <w:pStyle w:val="Compact"/>
        <w:numPr>
          <w:ilvl w:val="0"/>
          <w:numId w:val="1003"/>
        </w:numPr>
      </w:pPr>
      <w:r>
        <w:t xml:space="preserve">Whether the site should be pursued, paused, rejected, or escalated to deeper engineering diligence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mvp-scope"/>
    <w:p>
      <w:pPr>
        <w:pStyle w:val="Heading1"/>
      </w:pPr>
      <w:r>
        <w:t xml:space="preserve">3. MVP Scope</w:t>
      </w:r>
    </w:p>
    <w:bookmarkStart w:id="27" w:name="in-scope"/>
    <w:p>
      <w:pPr>
        <w:pStyle w:val="Heading2"/>
      </w:pPr>
      <w:r>
        <w:t xml:space="preserve">3.1 In Scope</w:t>
      </w:r>
    </w:p>
    <w:p>
      <w:pPr>
        <w:pStyle w:val="FirstParagraph"/>
      </w:pPr>
      <w:r>
        <w:t xml:space="preserve">The MVP includes:</w:t>
      </w:r>
    </w:p>
    <w:p>
      <w:pPr>
        <w:pStyle w:val="Compact"/>
        <w:numPr>
          <w:ilvl w:val="0"/>
          <w:numId w:val="1004"/>
        </w:numPr>
      </w:pPr>
      <w:r>
        <w:t xml:space="preserve">Customer-facing site intake form</w:t>
      </w:r>
    </w:p>
    <w:p>
      <w:pPr>
        <w:pStyle w:val="Compact"/>
        <w:numPr>
          <w:ilvl w:val="0"/>
          <w:numId w:val="1004"/>
        </w:numPr>
      </w:pPr>
      <w:r>
        <w:t xml:space="preserve">Admin/analyst dashboard</w:t>
      </w:r>
    </w:p>
    <w:p>
      <w:pPr>
        <w:pStyle w:val="Compact"/>
        <w:numPr>
          <w:ilvl w:val="0"/>
          <w:numId w:val="1004"/>
        </w:numPr>
      </w:pPr>
      <w:r>
        <w:t xml:space="preserve">Site database</w:t>
      </w:r>
    </w:p>
    <w:p>
      <w:pPr>
        <w:pStyle w:val="Compact"/>
        <w:numPr>
          <w:ilvl w:val="0"/>
          <w:numId w:val="1004"/>
        </w:numPr>
      </w:pPr>
      <w:r>
        <w:t xml:space="preserve">Site map view</w:t>
      </w:r>
    </w:p>
    <w:p>
      <w:pPr>
        <w:pStyle w:val="Compact"/>
        <w:numPr>
          <w:ilvl w:val="0"/>
          <w:numId w:val="1004"/>
        </w:numPr>
      </w:pPr>
      <w:r>
        <w:t xml:space="preserve">Basic GIS overlays</w:t>
      </w:r>
    </w:p>
    <w:p>
      <w:pPr>
        <w:pStyle w:val="Compact"/>
        <w:numPr>
          <w:ilvl w:val="0"/>
          <w:numId w:val="1004"/>
        </w:numPr>
      </w:pPr>
      <w:r>
        <w:t xml:space="preserve">Utility/service territory identification</w:t>
      </w:r>
    </w:p>
    <w:p>
      <w:pPr>
        <w:pStyle w:val="Compact"/>
        <w:numPr>
          <w:ilvl w:val="0"/>
          <w:numId w:val="1004"/>
        </w:numPr>
      </w:pPr>
      <w:r>
        <w:t xml:space="preserve">Nearby grid asset identification</w:t>
      </w:r>
    </w:p>
    <w:p>
      <w:pPr>
        <w:pStyle w:val="Compact"/>
        <w:numPr>
          <w:ilvl w:val="0"/>
          <w:numId w:val="1004"/>
        </w:numPr>
      </w:pPr>
      <w:r>
        <w:t xml:space="preserve">Transmission/substation proximity analysis</w:t>
      </w:r>
    </w:p>
    <w:p>
      <w:pPr>
        <w:pStyle w:val="Compact"/>
        <w:numPr>
          <w:ilvl w:val="0"/>
          <w:numId w:val="1004"/>
        </w:numPr>
      </w:pPr>
      <w:r>
        <w:t xml:space="preserve">Candidate point-of-interconnection notes</w:t>
      </w:r>
    </w:p>
    <w:p>
      <w:pPr>
        <w:pStyle w:val="Compact"/>
        <w:numPr>
          <w:ilvl w:val="0"/>
          <w:numId w:val="1004"/>
        </w:numPr>
      </w:pPr>
      <w:r>
        <w:t xml:space="preserve">ERCOT large-load process checklist</w:t>
      </w:r>
    </w:p>
    <w:p>
      <w:pPr>
        <w:pStyle w:val="Compact"/>
        <w:numPr>
          <w:ilvl w:val="0"/>
          <w:numId w:val="1004"/>
        </w:numPr>
      </w:pPr>
      <w:r>
        <w:t xml:space="preserve">Required-information checklist</w:t>
      </w:r>
    </w:p>
    <w:p>
      <w:pPr>
        <w:pStyle w:val="Compact"/>
        <w:numPr>
          <w:ilvl w:val="0"/>
          <w:numId w:val="1004"/>
        </w:numPr>
      </w:pPr>
      <w:r>
        <w:t xml:space="preserve">Reliability-risk checklist</w:t>
      </w:r>
    </w:p>
    <w:p>
      <w:pPr>
        <w:pStyle w:val="Compact"/>
        <w:numPr>
          <w:ilvl w:val="0"/>
          <w:numId w:val="1004"/>
        </w:numPr>
      </w:pPr>
      <w:r>
        <w:t xml:space="preserve">Energy economics summary</w:t>
      </w:r>
    </w:p>
    <w:p>
      <w:pPr>
        <w:pStyle w:val="Compact"/>
        <w:numPr>
          <w:ilvl w:val="0"/>
          <w:numId w:val="1004"/>
        </w:numPr>
      </w:pPr>
      <w:r>
        <w:t xml:space="preserve">Congestion-risk summary</w:t>
      </w:r>
    </w:p>
    <w:p>
      <w:pPr>
        <w:pStyle w:val="Compact"/>
        <w:numPr>
          <w:ilvl w:val="0"/>
          <w:numId w:val="1004"/>
        </w:numPr>
      </w:pPr>
      <w:r>
        <w:t xml:space="preserve">Nearby generation summary</w:t>
      </w:r>
    </w:p>
    <w:p>
      <w:pPr>
        <w:pStyle w:val="Compact"/>
        <w:numPr>
          <w:ilvl w:val="0"/>
          <w:numId w:val="1004"/>
        </w:numPr>
      </w:pPr>
      <w:r>
        <w:t xml:space="preserve">Flexibility-potential assessment</w:t>
      </w:r>
    </w:p>
    <w:p>
      <w:pPr>
        <w:pStyle w:val="Compact"/>
        <w:numPr>
          <w:ilvl w:val="0"/>
          <w:numId w:val="1004"/>
        </w:numPr>
      </w:pPr>
      <w:r>
        <w:t xml:space="preserve">Evidence source library</w:t>
      </w:r>
    </w:p>
    <w:p>
      <w:pPr>
        <w:pStyle w:val="Compact"/>
        <w:numPr>
          <w:ilvl w:val="0"/>
          <w:numId w:val="1004"/>
        </w:numPr>
      </w:pPr>
      <w:r>
        <w:t xml:space="preserve">Scoring engine</w:t>
      </w:r>
    </w:p>
    <w:p>
      <w:pPr>
        <w:pStyle w:val="Compact"/>
        <w:numPr>
          <w:ilvl w:val="0"/>
          <w:numId w:val="1004"/>
        </w:numPr>
      </w:pPr>
      <w:r>
        <w:t xml:space="preserve">Human review workflow</w:t>
      </w:r>
    </w:p>
    <w:p>
      <w:pPr>
        <w:pStyle w:val="Compact"/>
        <w:numPr>
          <w:ilvl w:val="0"/>
          <w:numId w:val="1004"/>
        </w:numPr>
      </w:pPr>
      <w:r>
        <w:t xml:space="preserve">PDF report generator</w:t>
      </w:r>
    </w:p>
    <w:p>
      <w:pPr>
        <w:pStyle w:val="Compact"/>
        <w:numPr>
          <w:ilvl w:val="0"/>
          <w:numId w:val="1004"/>
        </w:numPr>
      </w:pPr>
      <w:r>
        <w:t xml:space="preserve">Investor/utility memo generator</w:t>
      </w:r>
    </w:p>
    <w:p>
      <w:pPr>
        <w:pStyle w:val="Compact"/>
        <w:numPr>
          <w:ilvl w:val="0"/>
          <w:numId w:val="1004"/>
        </w:numPr>
      </w:pPr>
      <w:r>
        <w:t xml:space="preserve">Exportable evidence binder</w:t>
      </w:r>
    </w:p>
    <w:p>
      <w:pPr>
        <w:pStyle w:val="Compact"/>
        <w:numPr>
          <w:ilvl w:val="0"/>
          <w:numId w:val="1004"/>
        </w:numPr>
      </w:pPr>
      <w:r>
        <w:t xml:space="preserve">Internal notes and assumptions log</w:t>
      </w:r>
    </w:p>
    <w:bookmarkEnd w:id="27"/>
    <w:bookmarkStart w:id="28" w:name="out-of-scope-for-mvp"/>
    <w:p>
      <w:pPr>
        <w:pStyle w:val="Heading2"/>
      </w:pPr>
      <w:r>
        <w:t xml:space="preserve">3.2 Out of Scope for MVP</w:t>
      </w:r>
    </w:p>
    <w:p>
      <w:pPr>
        <w:pStyle w:val="FirstParagraph"/>
      </w:pPr>
      <w:r>
        <w:t xml:space="preserve">The MVP must not attempt to do the following:</w:t>
      </w:r>
    </w:p>
    <w:p>
      <w:pPr>
        <w:pStyle w:val="Compact"/>
        <w:numPr>
          <w:ilvl w:val="0"/>
          <w:numId w:val="1005"/>
        </w:numPr>
      </w:pPr>
      <w:r>
        <w:t xml:space="preserve">Guarantee power availability</w:t>
      </w:r>
    </w:p>
    <w:p>
      <w:pPr>
        <w:pStyle w:val="Compact"/>
        <w:numPr>
          <w:ilvl w:val="0"/>
          <w:numId w:val="1005"/>
        </w:numPr>
      </w:pPr>
      <w:r>
        <w:t xml:space="preserve">Guarantee interconnection approval</w:t>
      </w:r>
    </w:p>
    <w:p>
      <w:pPr>
        <w:pStyle w:val="Compact"/>
        <w:numPr>
          <w:ilvl w:val="0"/>
          <w:numId w:val="1005"/>
        </w:numPr>
      </w:pPr>
      <w:r>
        <w:t xml:space="preserve">Replace a utility, TSP, DSP, ERCOT, or ISO/RTO study</w:t>
      </w:r>
    </w:p>
    <w:p>
      <w:pPr>
        <w:pStyle w:val="Compact"/>
        <w:numPr>
          <w:ilvl w:val="0"/>
          <w:numId w:val="1005"/>
        </w:numPr>
      </w:pPr>
      <w:r>
        <w:t xml:space="preserve">Replace licensed electrical engineering analysis</w:t>
      </w:r>
    </w:p>
    <w:p>
      <w:pPr>
        <w:pStyle w:val="Compact"/>
        <w:numPr>
          <w:ilvl w:val="0"/>
          <w:numId w:val="1005"/>
        </w:numPr>
      </w:pPr>
      <w:r>
        <w:t xml:space="preserve">Perform full power-flow simulation</w:t>
      </w:r>
    </w:p>
    <w:p>
      <w:pPr>
        <w:pStyle w:val="Compact"/>
        <w:numPr>
          <w:ilvl w:val="0"/>
          <w:numId w:val="1005"/>
        </w:numPr>
      </w:pPr>
      <w:r>
        <w:t xml:space="preserve">Perform EMT/dynamic stability studies</w:t>
      </w:r>
    </w:p>
    <w:p>
      <w:pPr>
        <w:pStyle w:val="Compact"/>
        <w:numPr>
          <w:ilvl w:val="0"/>
          <w:numId w:val="1005"/>
        </w:numPr>
      </w:pPr>
      <w:r>
        <w:t xml:space="preserve">Submit interconnection applications automatically</w:t>
      </w:r>
    </w:p>
    <w:p>
      <w:pPr>
        <w:pStyle w:val="Compact"/>
        <w:numPr>
          <w:ilvl w:val="0"/>
          <w:numId w:val="1005"/>
        </w:numPr>
      </w:pPr>
      <w:r>
        <w:t xml:space="preserve">Operate or optimise live data-centre workloads</w:t>
      </w:r>
    </w:p>
    <w:p>
      <w:pPr>
        <w:pStyle w:val="Compact"/>
        <w:numPr>
          <w:ilvl w:val="0"/>
          <w:numId w:val="1005"/>
        </w:numPr>
      </w:pPr>
      <w:r>
        <w:t xml:space="preserve">Perform real-time energy trading</w:t>
      </w:r>
    </w:p>
    <w:p>
      <w:pPr>
        <w:pStyle w:val="Compact"/>
        <w:numPr>
          <w:ilvl w:val="0"/>
          <w:numId w:val="1005"/>
        </w:numPr>
      </w:pPr>
      <w:r>
        <w:t xml:space="preserve">Manage live demand-response dispatch</w:t>
      </w:r>
    </w:p>
    <w:p>
      <w:pPr>
        <w:pStyle w:val="Compact"/>
        <w:numPr>
          <w:ilvl w:val="0"/>
          <w:numId w:val="1005"/>
        </w:numPr>
      </w:pPr>
      <w:r>
        <w:t xml:space="preserve">Provide binding legal or regulatory advice</w:t>
      </w:r>
    </w:p>
    <w:p>
      <w:pPr>
        <w:pStyle w:val="Compact"/>
        <w:numPr>
          <w:ilvl w:val="0"/>
          <w:numId w:val="1005"/>
        </w:numPr>
      </w:pPr>
      <w:r>
        <w:t xml:space="preserve">Offer nationwide coverage on day one</w:t>
      </w:r>
    </w:p>
    <w:p>
      <w:pPr>
        <w:pStyle w:val="Compact"/>
        <w:numPr>
          <w:ilvl w:val="0"/>
          <w:numId w:val="1005"/>
        </w:numPr>
      </w:pPr>
      <w:r>
        <w:t xml:space="preserve">Build a fully self-serve SaaS workflow before paid pilots</w:t>
      </w:r>
    </w:p>
    <w:bookmarkEnd w:id="28"/>
    <w:bookmarkStart w:id="29" w:name="explicit-mvp-boundary"/>
    <w:p>
      <w:pPr>
        <w:pStyle w:val="Heading2"/>
      </w:pPr>
      <w:r>
        <w:t xml:space="preserve">3.3 Explicit MVP Boundary</w:t>
      </w:r>
    </w:p>
    <w:p>
      <w:pPr>
        <w:pStyle w:val="FirstParagraph"/>
      </w:pPr>
      <w:r>
        <w:t xml:space="preserve">The MVP should be positioned as:</w:t>
      </w:r>
    </w:p>
    <w:p>
      <w:pPr>
        <w:pStyle w:val="BodyText"/>
      </w:pPr>
      <w:r>
        <w:rPr>
          <w:b/>
          <w:bCs/>
        </w:rPr>
        <w:t xml:space="preserve">Early-stage power feasibility and interconnection-readiness intelligence.</w:t>
      </w:r>
    </w:p>
    <w:p>
      <w:pPr>
        <w:pStyle w:val="BodyText"/>
      </w:pPr>
      <w:r>
        <w:t xml:space="preserve">It should not be positioned as:</w:t>
      </w:r>
    </w:p>
    <w:p>
      <w:pPr>
        <w:pStyle w:val="BodyText"/>
      </w:pPr>
      <w:r>
        <w:rPr>
          <w:b/>
          <w:bCs/>
        </w:rPr>
        <w:t xml:space="preserve">A definitive engineering study, official utility capacity confirmation, or guaranteed interconnection outcome.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3" w:name="target-users"/>
    <w:p>
      <w:pPr>
        <w:pStyle w:val="Heading1"/>
      </w:pPr>
      <w:r>
        <w:t xml:space="preserve">4. Target Users</w:t>
      </w:r>
    </w:p>
    <w:bookmarkStart w:id="35" w:name="Xd56ef298a14424a916d82bf2bb1d200242f37a2"/>
    <w:p>
      <w:pPr>
        <w:pStyle w:val="Heading2"/>
      </w:pPr>
      <w:r>
        <w:t xml:space="preserve">4.1 Primary User Persona: Data-Centre Developer</w:t>
      </w:r>
    </w:p>
    <w:bookmarkStart w:id="31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 small-to-mid-sized data-centre developer evaluating multiple candidate sites for AI compute infrastructure.</w:t>
      </w:r>
    </w:p>
    <w:bookmarkEnd w:id="31"/>
    <w:bookmarkStart w:id="32" w:name="primary-need"/>
    <w:p>
      <w:pPr>
        <w:pStyle w:val="Heading3"/>
      </w:pPr>
      <w:r>
        <w:t xml:space="preserve">Primary Need</w:t>
      </w:r>
    </w:p>
    <w:p>
      <w:pPr>
        <w:pStyle w:val="FirstParagraph"/>
      </w:pPr>
      <w:r>
        <w:t xml:space="preserve">Avoid wasting months and millions on land or projects that cannot secure power on acceptable timelines.</w:t>
      </w:r>
    </w:p>
    <w:bookmarkEnd w:id="32"/>
    <w:bookmarkStart w:id="33" w:name="jobs-to-be-done"/>
    <w:p>
      <w:pPr>
        <w:pStyle w:val="Heading3"/>
      </w:pPr>
      <w:r>
        <w:t xml:space="preserve">Jobs to Be Done</w:t>
      </w:r>
    </w:p>
    <w:p>
      <w:pPr>
        <w:pStyle w:val="Compact"/>
        <w:numPr>
          <w:ilvl w:val="0"/>
          <w:numId w:val="1006"/>
        </w:numPr>
      </w:pPr>
      <w:r>
        <w:t xml:space="preserve">Screen sites before land acquisition</w:t>
      </w:r>
    </w:p>
    <w:p>
      <w:pPr>
        <w:pStyle w:val="Compact"/>
        <w:numPr>
          <w:ilvl w:val="0"/>
          <w:numId w:val="1006"/>
        </w:numPr>
      </w:pPr>
      <w:r>
        <w:t xml:space="preserve">Understand likely power constraints</w:t>
      </w:r>
    </w:p>
    <w:p>
      <w:pPr>
        <w:pStyle w:val="Compact"/>
        <w:numPr>
          <w:ilvl w:val="0"/>
          <w:numId w:val="1006"/>
        </w:numPr>
      </w:pPr>
      <w:r>
        <w:t xml:space="preserve">Identify relevant utility/TSP/DSP/ISO process</w:t>
      </w:r>
    </w:p>
    <w:p>
      <w:pPr>
        <w:pStyle w:val="Compact"/>
        <w:numPr>
          <w:ilvl w:val="0"/>
          <w:numId w:val="1006"/>
        </w:numPr>
      </w:pPr>
      <w:r>
        <w:t xml:space="preserve">Prepare for utility conversations</w:t>
      </w:r>
    </w:p>
    <w:p>
      <w:pPr>
        <w:pStyle w:val="Compact"/>
        <w:numPr>
          <w:ilvl w:val="0"/>
          <w:numId w:val="1006"/>
        </w:numPr>
      </w:pPr>
      <w:r>
        <w:t xml:space="preserve">Support investor conversations</w:t>
      </w:r>
    </w:p>
    <w:p>
      <w:pPr>
        <w:pStyle w:val="Compact"/>
        <w:numPr>
          <w:ilvl w:val="0"/>
          <w:numId w:val="1006"/>
        </w:numPr>
      </w:pPr>
      <w:r>
        <w:t xml:space="preserve">Compare multiple sites</w:t>
      </w:r>
    </w:p>
    <w:p>
      <w:pPr>
        <w:pStyle w:val="Compact"/>
        <w:numPr>
          <w:ilvl w:val="0"/>
          <w:numId w:val="1006"/>
        </w:numPr>
      </w:pPr>
      <w:r>
        <w:t xml:space="preserve">Decide whether to proceed, pause, or reject</w:t>
      </w:r>
    </w:p>
    <w:bookmarkEnd w:id="33"/>
    <w:bookmarkStart w:id="34" w:name="buying-trigger"/>
    <w:p>
      <w:pPr>
        <w:pStyle w:val="Heading3"/>
      </w:pPr>
      <w:r>
        <w:t xml:space="preserve">Buying Trigger</w:t>
      </w:r>
    </w:p>
    <w:p>
      <w:pPr>
        <w:pStyle w:val="FirstParagraph"/>
      </w:pPr>
      <w:r>
        <w:t xml:space="preserve">The developer is considering a site and needs to know whether it is worth pursuing before committing serious capital.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04290b57590943d8247adba2649319e67c3236a"/>
    <w:p>
      <w:pPr>
        <w:pStyle w:val="Heading2"/>
      </w:pPr>
      <w:r>
        <w:t xml:space="preserve">4.2 Secondary User Persona: Infrastructure Investor</w:t>
      </w:r>
    </w:p>
    <w:bookmarkStart w:id="36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An infrastructure fund or private investor underwriting a data-centre, power, or land-development opportunity.</w:t>
      </w:r>
    </w:p>
    <w:bookmarkEnd w:id="36"/>
    <w:bookmarkStart w:id="37" w:name="primary-need-1"/>
    <w:p>
      <w:pPr>
        <w:pStyle w:val="Heading3"/>
      </w:pPr>
      <w:r>
        <w:t xml:space="preserve">Primary Need</w:t>
      </w:r>
    </w:p>
    <w:p>
      <w:pPr>
        <w:pStyle w:val="FirstParagraph"/>
      </w:pPr>
      <w:r>
        <w:t xml:space="preserve">Understand whether the project’s power-access assumptions are credible.</w:t>
      </w:r>
    </w:p>
    <w:bookmarkEnd w:id="37"/>
    <w:bookmarkStart w:id="38" w:name="jobs-to-be-done-1"/>
    <w:p>
      <w:pPr>
        <w:pStyle w:val="Heading3"/>
      </w:pPr>
      <w:r>
        <w:t xml:space="preserve">Jobs to Be Done</w:t>
      </w:r>
    </w:p>
    <w:p>
      <w:pPr>
        <w:pStyle w:val="Compact"/>
        <w:numPr>
          <w:ilvl w:val="0"/>
          <w:numId w:val="1007"/>
        </w:numPr>
      </w:pPr>
      <w:r>
        <w:t xml:space="preserve">Validate sponsor assumptions</w:t>
      </w:r>
    </w:p>
    <w:p>
      <w:pPr>
        <w:pStyle w:val="Compact"/>
        <w:numPr>
          <w:ilvl w:val="0"/>
          <w:numId w:val="1007"/>
        </w:numPr>
      </w:pPr>
      <w:r>
        <w:t xml:space="preserve">Identify hidden interconnection risk</w:t>
      </w:r>
    </w:p>
    <w:p>
      <w:pPr>
        <w:pStyle w:val="Compact"/>
        <w:numPr>
          <w:ilvl w:val="0"/>
          <w:numId w:val="1007"/>
        </w:numPr>
      </w:pPr>
      <w:r>
        <w:t xml:space="preserve">Assess time-to-power risk</w:t>
      </w:r>
    </w:p>
    <w:p>
      <w:pPr>
        <w:pStyle w:val="Compact"/>
        <w:numPr>
          <w:ilvl w:val="0"/>
          <w:numId w:val="1007"/>
        </w:numPr>
      </w:pPr>
      <w:r>
        <w:t xml:space="preserve">Compare sites or projects</w:t>
      </w:r>
    </w:p>
    <w:p>
      <w:pPr>
        <w:pStyle w:val="Compact"/>
        <w:numPr>
          <w:ilvl w:val="0"/>
          <w:numId w:val="1007"/>
        </w:numPr>
      </w:pPr>
      <w:r>
        <w:t xml:space="preserve">Prepare investment committee materials</w:t>
      </w:r>
    </w:p>
    <w:p>
      <w:pPr>
        <w:pStyle w:val="Compact"/>
        <w:numPr>
          <w:ilvl w:val="0"/>
          <w:numId w:val="1007"/>
        </w:numPr>
      </w:pPr>
      <w:r>
        <w:t xml:space="preserve">Avoid underwriting unrealistic energization dates</w:t>
      </w:r>
    </w:p>
    <w:bookmarkEnd w:id="38"/>
    <w:bookmarkStart w:id="39" w:name="buying-trigger-1"/>
    <w:p>
      <w:pPr>
        <w:pStyle w:val="Heading3"/>
      </w:pPr>
      <w:r>
        <w:t xml:space="preserve">Buying Trigger</w:t>
      </w:r>
    </w:p>
    <w:p>
      <w:pPr>
        <w:pStyle w:val="FirstParagraph"/>
      </w:pPr>
      <w:r>
        <w:t xml:space="preserve">The investor is evaluating a transaction or financing package.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econdary-user-persona-energy-developer"/>
    <w:p>
      <w:pPr>
        <w:pStyle w:val="Heading2"/>
      </w:pPr>
      <w:r>
        <w:t xml:space="preserve">4.3 Secondary User Persona: Energy Developer</w:t>
      </w:r>
    </w:p>
    <w:bookmarkStart w:id="41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 renewable, gas, storage, or hybrid power developer trying to attract large-load offtakers.</w:t>
      </w:r>
    </w:p>
    <w:bookmarkEnd w:id="41"/>
    <w:bookmarkStart w:id="42" w:name="primary-need-2"/>
    <w:p>
      <w:pPr>
        <w:pStyle w:val="Heading3"/>
      </w:pPr>
      <w:r>
        <w:t xml:space="preserve">Primary Need</w:t>
      </w:r>
    </w:p>
    <w:p>
      <w:pPr>
        <w:pStyle w:val="FirstParagraph"/>
      </w:pPr>
      <w:r>
        <w:t xml:space="preserve">Prove that a site or energy project is credible for AI data-centre load.</w:t>
      </w:r>
    </w:p>
    <w:bookmarkEnd w:id="42"/>
    <w:bookmarkStart w:id="43" w:name="jobs-to-be-done-2"/>
    <w:p>
      <w:pPr>
        <w:pStyle w:val="Heading3"/>
      </w:pPr>
      <w:r>
        <w:t xml:space="preserve">Jobs to Be Done</w:t>
      </w:r>
    </w:p>
    <w:p>
      <w:pPr>
        <w:pStyle w:val="Compact"/>
        <w:numPr>
          <w:ilvl w:val="0"/>
          <w:numId w:val="1008"/>
        </w:numPr>
      </w:pPr>
      <w:r>
        <w:t xml:space="preserve">Identify large-load-compatible sites</w:t>
      </w:r>
    </w:p>
    <w:p>
      <w:pPr>
        <w:pStyle w:val="Compact"/>
        <w:numPr>
          <w:ilvl w:val="0"/>
          <w:numId w:val="1008"/>
        </w:numPr>
      </w:pPr>
      <w:r>
        <w:t xml:space="preserve">Package projects for data-centre customers</w:t>
      </w:r>
    </w:p>
    <w:p>
      <w:pPr>
        <w:pStyle w:val="Compact"/>
        <w:numPr>
          <w:ilvl w:val="0"/>
          <w:numId w:val="1008"/>
        </w:numPr>
      </w:pPr>
      <w:r>
        <w:t xml:space="preserve">Understand interconnection constraints</w:t>
      </w:r>
    </w:p>
    <w:p>
      <w:pPr>
        <w:pStyle w:val="Compact"/>
        <w:numPr>
          <w:ilvl w:val="0"/>
          <w:numId w:val="1008"/>
        </w:numPr>
      </w:pPr>
      <w:r>
        <w:t xml:space="preserve">Evaluate co-location or behind-the-meter options</w:t>
      </w:r>
    </w:p>
    <w:p>
      <w:pPr>
        <w:pStyle w:val="Compact"/>
        <w:numPr>
          <w:ilvl w:val="0"/>
          <w:numId w:val="1008"/>
        </w:numPr>
      </w:pPr>
      <w:r>
        <w:t xml:space="preserve">Create investor and offtaker materials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785cebbec92def23afc20afda4faa46b844e412"/>
    <w:p>
      <w:pPr>
        <w:pStyle w:val="Heading2"/>
      </w:pPr>
      <w:r>
        <w:t xml:space="preserve">4.4 Secondary User Persona: Industrial Landowner or Broker</w:t>
      </w:r>
    </w:p>
    <w:bookmarkStart w:id="45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 landowner or broker marketing industrial land as suitable for data-centre development.</w:t>
      </w:r>
    </w:p>
    <w:bookmarkEnd w:id="45"/>
    <w:bookmarkStart w:id="46" w:name="primary-need-3"/>
    <w:p>
      <w:pPr>
        <w:pStyle w:val="Heading3"/>
      </w:pPr>
      <w:r>
        <w:t xml:space="preserve">Primary Need</w:t>
      </w:r>
    </w:p>
    <w:p>
      <w:pPr>
        <w:pStyle w:val="FirstParagraph"/>
      </w:pPr>
      <w:r>
        <w:t xml:space="preserve">Avoid unsupported claims and package the site with credible power-readiness evidence.</w:t>
      </w:r>
    </w:p>
    <w:bookmarkEnd w:id="46"/>
    <w:bookmarkStart w:id="47" w:name="jobs-to-be-done-3"/>
    <w:p>
      <w:pPr>
        <w:pStyle w:val="Heading3"/>
      </w:pPr>
      <w:r>
        <w:t xml:space="preserve">Jobs to Be Done</w:t>
      </w:r>
    </w:p>
    <w:p>
      <w:pPr>
        <w:pStyle w:val="Compact"/>
        <w:numPr>
          <w:ilvl w:val="0"/>
          <w:numId w:val="1009"/>
        </w:numPr>
      </w:pPr>
      <w:r>
        <w:t xml:space="preserve">Assess whether the land is realistically power-viable</w:t>
      </w:r>
    </w:p>
    <w:p>
      <w:pPr>
        <w:pStyle w:val="Compact"/>
        <w:numPr>
          <w:ilvl w:val="0"/>
          <w:numId w:val="1009"/>
        </w:numPr>
      </w:pPr>
      <w:r>
        <w:t xml:space="preserve">Create a power-readiness memo</w:t>
      </w:r>
    </w:p>
    <w:p>
      <w:pPr>
        <w:pStyle w:val="Compact"/>
        <w:numPr>
          <w:ilvl w:val="0"/>
          <w:numId w:val="1009"/>
        </w:numPr>
      </w:pPr>
      <w:r>
        <w:t xml:space="preserve">Improve site marketing materials</w:t>
      </w:r>
    </w:p>
    <w:p>
      <w:pPr>
        <w:pStyle w:val="Compact"/>
        <w:numPr>
          <w:ilvl w:val="0"/>
          <w:numId w:val="1009"/>
        </w:numPr>
      </w:pPr>
      <w:r>
        <w:t xml:space="preserve">Identify gaps before approaching developers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internal-user-persona-gridready-analyst"/>
    <w:p>
      <w:pPr>
        <w:pStyle w:val="Heading2"/>
      </w:pPr>
      <w:r>
        <w:t xml:space="preserve">4.5 Internal User Persona: GridReady Analyst</w:t>
      </w:r>
    </w:p>
    <w:bookmarkStart w:id="49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An internal analyst who prepares the site diligence report using the platform.</w:t>
      </w:r>
    </w:p>
    <w:bookmarkEnd w:id="49"/>
    <w:bookmarkStart w:id="50" w:name="primary-need-4"/>
    <w:p>
      <w:pPr>
        <w:pStyle w:val="Heading3"/>
      </w:pPr>
      <w:r>
        <w:t xml:space="preserve">Primary Need</w:t>
      </w:r>
    </w:p>
    <w:p>
      <w:pPr>
        <w:pStyle w:val="FirstParagraph"/>
      </w:pPr>
      <w:r>
        <w:t xml:space="preserve">Produce consistent, high-quality, evidence-backed reports quickly.</w:t>
      </w:r>
    </w:p>
    <w:bookmarkEnd w:id="50"/>
    <w:bookmarkStart w:id="51" w:name="jobs-to-be-done-4"/>
    <w:p>
      <w:pPr>
        <w:pStyle w:val="Heading3"/>
      </w:pPr>
      <w:r>
        <w:t xml:space="preserve">Jobs to Be Done</w:t>
      </w:r>
    </w:p>
    <w:p>
      <w:pPr>
        <w:pStyle w:val="Compact"/>
        <w:numPr>
          <w:ilvl w:val="0"/>
          <w:numId w:val="1010"/>
        </w:numPr>
      </w:pPr>
      <w:r>
        <w:t xml:space="preserve">Intake site information</w:t>
      </w:r>
    </w:p>
    <w:p>
      <w:pPr>
        <w:pStyle w:val="Compact"/>
        <w:numPr>
          <w:ilvl w:val="0"/>
          <w:numId w:val="1010"/>
        </w:numPr>
      </w:pPr>
      <w:r>
        <w:t xml:space="preserve">Run repeatable checks</w:t>
      </w:r>
    </w:p>
    <w:p>
      <w:pPr>
        <w:pStyle w:val="Compact"/>
        <w:numPr>
          <w:ilvl w:val="0"/>
          <w:numId w:val="1010"/>
        </w:numPr>
      </w:pPr>
      <w:r>
        <w:t xml:space="preserve">Review GIS layers</w:t>
      </w:r>
    </w:p>
    <w:p>
      <w:pPr>
        <w:pStyle w:val="Compact"/>
        <w:numPr>
          <w:ilvl w:val="0"/>
          <w:numId w:val="1010"/>
        </w:numPr>
      </w:pPr>
      <w:r>
        <w:t xml:space="preserve">Pull source documents</w:t>
      </w:r>
    </w:p>
    <w:p>
      <w:pPr>
        <w:pStyle w:val="Compact"/>
        <w:numPr>
          <w:ilvl w:val="0"/>
          <w:numId w:val="1010"/>
        </w:numPr>
      </w:pPr>
      <w:r>
        <w:t xml:space="preserve">Enter assumptions</w:t>
      </w:r>
    </w:p>
    <w:p>
      <w:pPr>
        <w:pStyle w:val="Compact"/>
        <w:numPr>
          <w:ilvl w:val="0"/>
          <w:numId w:val="1010"/>
        </w:numPr>
      </w:pPr>
      <w:r>
        <w:t xml:space="preserve">Assign risk ratings</w:t>
      </w:r>
    </w:p>
    <w:p>
      <w:pPr>
        <w:pStyle w:val="Compact"/>
        <w:numPr>
          <w:ilvl w:val="0"/>
          <w:numId w:val="1010"/>
        </w:numPr>
      </w:pPr>
      <w:r>
        <w:t xml:space="preserve">Generate report sections</w:t>
      </w:r>
    </w:p>
    <w:p>
      <w:pPr>
        <w:pStyle w:val="Compact"/>
        <w:numPr>
          <w:ilvl w:val="0"/>
          <w:numId w:val="1010"/>
        </w:numPr>
      </w:pPr>
      <w:r>
        <w:t xml:space="preserve">Escalate technical questions to expert reviewers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8" w:name="core-product-deliverable"/>
    <w:p>
      <w:pPr>
        <w:pStyle w:val="Heading1"/>
      </w:pPr>
      <w:r>
        <w:t xml:space="preserve">5. Core Product Deliverable</w:t>
      </w:r>
    </w:p>
    <w:bookmarkStart w:id="54" w:name="mvp-deliverable-name"/>
    <w:p>
      <w:pPr>
        <w:pStyle w:val="Heading2"/>
      </w:pPr>
      <w:r>
        <w:t xml:space="preserve">5.1 MVP Deliverable Name</w:t>
      </w:r>
    </w:p>
    <w:p>
      <w:pPr>
        <w:pStyle w:val="FirstParagraph"/>
      </w:pPr>
      <w:r>
        <w:rPr>
          <w:b/>
          <w:bCs/>
        </w:rPr>
        <w:t xml:space="preserve">GridReady AI Site Power Feasibility &amp; Interconnection Readiness Report</w:t>
      </w:r>
    </w:p>
    <w:bookmarkEnd w:id="54"/>
    <w:bookmarkStart w:id="55" w:name="deliverable-format"/>
    <w:p>
      <w:pPr>
        <w:pStyle w:val="Heading2"/>
      </w:pPr>
      <w:r>
        <w:t xml:space="preserve">5.2 Deliverable Format</w:t>
      </w:r>
    </w:p>
    <w:p>
      <w:pPr>
        <w:pStyle w:val="FirstParagraph"/>
      </w:pPr>
      <w:r>
        <w:t xml:space="preserve">Each completed assessment should produce:</w:t>
      </w:r>
    </w:p>
    <w:p>
      <w:pPr>
        <w:pStyle w:val="Compact"/>
        <w:numPr>
          <w:ilvl w:val="0"/>
          <w:numId w:val="1011"/>
        </w:numPr>
      </w:pPr>
      <w:r>
        <w:t xml:space="preserve">PDF report</w:t>
      </w:r>
    </w:p>
    <w:p>
      <w:pPr>
        <w:pStyle w:val="Compact"/>
        <w:numPr>
          <w:ilvl w:val="0"/>
          <w:numId w:val="1011"/>
        </w:numPr>
      </w:pPr>
      <w:r>
        <w:t xml:space="preserve">Map pack</w:t>
      </w:r>
    </w:p>
    <w:p>
      <w:pPr>
        <w:pStyle w:val="Compact"/>
        <w:numPr>
          <w:ilvl w:val="0"/>
          <w:numId w:val="1011"/>
        </w:numPr>
      </w:pPr>
      <w:r>
        <w:t xml:space="preserve">Risk scorecard</w:t>
      </w:r>
    </w:p>
    <w:p>
      <w:pPr>
        <w:pStyle w:val="Compact"/>
        <w:numPr>
          <w:ilvl w:val="0"/>
          <w:numId w:val="1011"/>
        </w:numPr>
      </w:pPr>
      <w:r>
        <w:t xml:space="preserve">Readiness checklist</w:t>
      </w:r>
    </w:p>
    <w:p>
      <w:pPr>
        <w:pStyle w:val="Compact"/>
        <w:numPr>
          <w:ilvl w:val="0"/>
          <w:numId w:val="1011"/>
        </w:numPr>
      </w:pPr>
      <w:r>
        <w:t xml:space="preserve">Investor/utility-ready memo</w:t>
      </w:r>
    </w:p>
    <w:p>
      <w:pPr>
        <w:pStyle w:val="Compact"/>
        <w:numPr>
          <w:ilvl w:val="0"/>
          <w:numId w:val="1011"/>
        </w:numPr>
      </w:pPr>
      <w:r>
        <w:t xml:space="preserve">Evidence appendix</w:t>
      </w:r>
    </w:p>
    <w:p>
      <w:pPr>
        <w:pStyle w:val="Compact"/>
        <w:numPr>
          <w:ilvl w:val="0"/>
          <w:numId w:val="1011"/>
        </w:numPr>
      </w:pPr>
      <w:r>
        <w:t xml:space="preserve">Optional spreadsheet export</w:t>
      </w:r>
    </w:p>
    <w:bookmarkEnd w:id="55"/>
    <w:bookmarkStart w:id="56" w:name="report-length"/>
    <w:p>
      <w:pPr>
        <w:pStyle w:val="Heading2"/>
      </w:pPr>
      <w:r>
        <w:t xml:space="preserve">5.3 Report Length</w:t>
      </w:r>
    </w:p>
    <w:p>
      <w:pPr>
        <w:pStyle w:val="FirstParagraph"/>
      </w:pPr>
      <w:r>
        <w:t xml:space="preserve">The standard report should be approximately:</w:t>
      </w:r>
    </w:p>
    <w:p>
      <w:pPr>
        <w:pStyle w:val="Compact"/>
        <w:numPr>
          <w:ilvl w:val="0"/>
          <w:numId w:val="1012"/>
        </w:numPr>
      </w:pPr>
      <w:r>
        <w:t xml:space="preserve">12–20 pages for a single-site screen</w:t>
      </w:r>
    </w:p>
    <w:p>
      <w:pPr>
        <w:pStyle w:val="Compact"/>
        <w:numPr>
          <w:ilvl w:val="0"/>
          <w:numId w:val="1012"/>
        </w:numPr>
      </w:pPr>
      <w:r>
        <w:t xml:space="preserve">25–50 pages for a multi-site pack</w:t>
      </w:r>
    </w:p>
    <w:p>
      <w:pPr>
        <w:pStyle w:val="Compact"/>
        <w:numPr>
          <w:ilvl w:val="0"/>
          <w:numId w:val="1012"/>
        </w:numPr>
      </w:pPr>
      <w:r>
        <w:t xml:space="preserve">30–75 pages for a deeper investor/interconnection-readiness pack</w:t>
      </w:r>
    </w:p>
    <w:bookmarkEnd w:id="56"/>
    <w:bookmarkStart w:id="57" w:name="standard-report-sections"/>
    <w:p>
      <w:pPr>
        <w:pStyle w:val="Heading2"/>
      </w:pPr>
      <w:r>
        <w:t xml:space="preserve">5.4 Standard Report Sections</w:t>
      </w:r>
    </w:p>
    <w:p>
      <w:pPr>
        <w:pStyle w:val="FirstParagraph"/>
      </w:pPr>
      <w:r>
        <w:t xml:space="preserve">The report must include:</w:t>
      </w:r>
    </w:p>
    <w:p>
      <w:pPr>
        <w:pStyle w:val="Compact"/>
        <w:numPr>
          <w:ilvl w:val="0"/>
          <w:numId w:val="1013"/>
        </w:numPr>
      </w:pPr>
      <w:r>
        <w:t xml:space="preserve">Executive Verdict</w:t>
      </w:r>
    </w:p>
    <w:p>
      <w:pPr>
        <w:pStyle w:val="Compact"/>
        <w:numPr>
          <w:ilvl w:val="0"/>
          <w:numId w:val="1013"/>
        </w:numPr>
      </w:pPr>
      <w:r>
        <w:t xml:space="preserve">Site Overview</w:t>
      </w:r>
    </w:p>
    <w:p>
      <w:pPr>
        <w:pStyle w:val="Compact"/>
        <w:numPr>
          <w:ilvl w:val="0"/>
          <w:numId w:val="1013"/>
        </w:numPr>
      </w:pPr>
      <w:r>
        <w:t xml:space="preserve">Project Assumptions</w:t>
      </w:r>
    </w:p>
    <w:p>
      <w:pPr>
        <w:pStyle w:val="Compact"/>
        <w:numPr>
          <w:ilvl w:val="0"/>
          <w:numId w:val="1013"/>
        </w:numPr>
      </w:pPr>
      <w:r>
        <w:t xml:space="preserve">Power Feasibility Score</w:t>
      </w:r>
    </w:p>
    <w:p>
      <w:pPr>
        <w:pStyle w:val="Compact"/>
        <w:numPr>
          <w:ilvl w:val="0"/>
          <w:numId w:val="1013"/>
        </w:numPr>
      </w:pPr>
      <w:r>
        <w:t xml:space="preserve">Nearby Grid Infrastructure</w:t>
      </w:r>
    </w:p>
    <w:p>
      <w:pPr>
        <w:pStyle w:val="Compact"/>
        <w:numPr>
          <w:ilvl w:val="0"/>
          <w:numId w:val="1013"/>
        </w:numPr>
      </w:pPr>
      <w:r>
        <w:t xml:space="preserve">Utility / TSP / DSP / Market Context</w:t>
      </w:r>
    </w:p>
    <w:p>
      <w:pPr>
        <w:pStyle w:val="Compact"/>
        <w:numPr>
          <w:ilvl w:val="0"/>
          <w:numId w:val="1013"/>
        </w:numPr>
      </w:pPr>
      <w:r>
        <w:t xml:space="preserve">Likely Interconnection Pathway</w:t>
      </w:r>
    </w:p>
    <w:p>
      <w:pPr>
        <w:pStyle w:val="Compact"/>
        <w:numPr>
          <w:ilvl w:val="0"/>
          <w:numId w:val="1013"/>
        </w:numPr>
      </w:pPr>
      <w:r>
        <w:t xml:space="preserve">Required Information and Missing Diligence</w:t>
      </w:r>
    </w:p>
    <w:p>
      <w:pPr>
        <w:pStyle w:val="Compact"/>
        <w:numPr>
          <w:ilvl w:val="0"/>
          <w:numId w:val="1013"/>
        </w:numPr>
      </w:pPr>
      <w:r>
        <w:t xml:space="preserve">Grid Reliability Risk Assessment</w:t>
      </w:r>
    </w:p>
    <w:p>
      <w:pPr>
        <w:pStyle w:val="Compact"/>
        <w:numPr>
          <w:ilvl w:val="0"/>
          <w:numId w:val="1013"/>
        </w:numPr>
      </w:pPr>
      <w:r>
        <w:t xml:space="preserve">Energy Economics and Congestion View</w:t>
      </w:r>
    </w:p>
    <w:p>
      <w:pPr>
        <w:pStyle w:val="Compact"/>
        <w:numPr>
          <w:ilvl w:val="0"/>
          <w:numId w:val="1013"/>
        </w:numPr>
      </w:pPr>
      <w:r>
        <w:t xml:space="preserve">Nearby Generation and Power Procurement Options</w:t>
      </w:r>
    </w:p>
    <w:p>
      <w:pPr>
        <w:pStyle w:val="Compact"/>
        <w:numPr>
          <w:ilvl w:val="0"/>
          <w:numId w:val="1013"/>
        </w:numPr>
      </w:pPr>
      <w:r>
        <w:t xml:space="preserve">Flexibility and Demand-Response Potential</w:t>
      </w:r>
    </w:p>
    <w:p>
      <w:pPr>
        <w:pStyle w:val="Compact"/>
        <w:numPr>
          <w:ilvl w:val="0"/>
          <w:numId w:val="1013"/>
        </w:numPr>
      </w:pPr>
      <w:r>
        <w:t xml:space="preserve">Permitting, Water, Cooling, and Community Risk Flags</w:t>
      </w:r>
    </w:p>
    <w:p>
      <w:pPr>
        <w:pStyle w:val="Compact"/>
        <w:numPr>
          <w:ilvl w:val="0"/>
          <w:numId w:val="1013"/>
        </w:numPr>
      </w:pPr>
      <w:r>
        <w:t xml:space="preserve">Key Risks and Mitigants</w:t>
      </w:r>
    </w:p>
    <w:p>
      <w:pPr>
        <w:pStyle w:val="Compact"/>
        <w:numPr>
          <w:ilvl w:val="0"/>
          <w:numId w:val="1013"/>
        </w:numPr>
      </w:pPr>
      <w:r>
        <w:t xml:space="preserve">Recommended Next Steps</w:t>
      </w:r>
    </w:p>
    <w:p>
      <w:pPr>
        <w:pStyle w:val="Compact"/>
        <w:numPr>
          <w:ilvl w:val="0"/>
          <w:numId w:val="1013"/>
        </w:numPr>
      </w:pPr>
      <w:r>
        <w:t xml:space="preserve">Investor/Utility-Ready Memo</w:t>
      </w:r>
    </w:p>
    <w:p>
      <w:pPr>
        <w:pStyle w:val="Compact"/>
        <w:numPr>
          <w:ilvl w:val="0"/>
          <w:numId w:val="1013"/>
        </w:numPr>
      </w:pPr>
      <w:r>
        <w:t xml:space="preserve">Evidence Appendix</w:t>
      </w:r>
    </w:p>
    <w:p>
      <w:pPr>
        <w:pStyle w:val="Compact"/>
        <w:numPr>
          <w:ilvl w:val="0"/>
          <w:numId w:val="1013"/>
        </w:numPr>
      </w:pPr>
      <w:r>
        <w:t xml:space="preserve">Assumptions and Limitations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9" w:name="mvp-user-journeys"/>
    <w:p>
      <w:pPr>
        <w:pStyle w:val="Heading1"/>
      </w:pPr>
      <w:r>
        <w:t xml:space="preserve">6. MVP User Journeys</w:t>
      </w:r>
    </w:p>
    <w:bookmarkStart w:id="63" w:name="Xe044da11951b4f057d827c7658e0887344e7976"/>
    <w:p>
      <w:pPr>
        <w:pStyle w:val="Heading2"/>
      </w:pPr>
      <w:r>
        <w:t xml:space="preserve">6.1 Journey 1: Single-Site Feasibility Assessment</w:t>
      </w:r>
    </w:p>
    <w:bookmarkStart w:id="59" w:name="actor"/>
    <w:p>
      <w:pPr>
        <w:pStyle w:val="Heading3"/>
      </w:pPr>
      <w:r>
        <w:t xml:space="preserve">Actor</w:t>
      </w:r>
    </w:p>
    <w:p>
      <w:pPr>
        <w:pStyle w:val="FirstParagraph"/>
      </w:pPr>
      <w:r>
        <w:t xml:space="preserve">Customer</w:t>
      </w:r>
    </w:p>
    <w:bookmarkEnd w:id="59"/>
    <w:bookmarkStart w:id="60" w:name="trigger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Customer wants to evaluate a candidate AI data-centre site.</w:t>
      </w:r>
    </w:p>
    <w:bookmarkEnd w:id="60"/>
    <w:bookmarkStart w:id="61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4"/>
        </w:numPr>
      </w:pPr>
      <w:r>
        <w:t xml:space="preserve">Customer submits site intake form.</w:t>
      </w:r>
    </w:p>
    <w:p>
      <w:pPr>
        <w:pStyle w:val="Compact"/>
        <w:numPr>
          <w:ilvl w:val="0"/>
          <w:numId w:val="1014"/>
        </w:numPr>
      </w:pPr>
      <w:r>
        <w:t xml:space="preserve">Customer provides site coordinates or parcel/address.</w:t>
      </w:r>
    </w:p>
    <w:p>
      <w:pPr>
        <w:pStyle w:val="Compact"/>
        <w:numPr>
          <w:ilvl w:val="0"/>
          <w:numId w:val="1014"/>
        </w:numPr>
      </w:pPr>
      <w:r>
        <w:t xml:space="preserve">Customer enters target load in MW.</w:t>
      </w:r>
    </w:p>
    <w:p>
      <w:pPr>
        <w:pStyle w:val="Compact"/>
        <w:numPr>
          <w:ilvl w:val="0"/>
          <w:numId w:val="1014"/>
        </w:numPr>
      </w:pPr>
      <w:r>
        <w:t xml:space="preserve">Customer enters desired energization date.</w:t>
      </w:r>
    </w:p>
    <w:p>
      <w:pPr>
        <w:pStyle w:val="Compact"/>
        <w:numPr>
          <w:ilvl w:val="0"/>
          <w:numId w:val="1014"/>
        </w:numPr>
      </w:pPr>
      <w:r>
        <w:t xml:space="preserve">Customer enters project stage.</w:t>
      </w:r>
    </w:p>
    <w:p>
      <w:pPr>
        <w:pStyle w:val="Compact"/>
        <w:numPr>
          <w:ilvl w:val="0"/>
          <w:numId w:val="1014"/>
        </w:numPr>
      </w:pPr>
      <w:r>
        <w:t xml:space="preserve">Customer uploads any available documents.</w:t>
      </w:r>
    </w:p>
    <w:p>
      <w:pPr>
        <w:pStyle w:val="Compact"/>
        <w:numPr>
          <w:ilvl w:val="0"/>
          <w:numId w:val="1014"/>
        </w:numPr>
      </w:pPr>
      <w:r>
        <w:t xml:space="preserve">GridReady analyst reviews intake.</w:t>
      </w:r>
    </w:p>
    <w:p>
      <w:pPr>
        <w:pStyle w:val="Compact"/>
        <w:numPr>
          <w:ilvl w:val="0"/>
          <w:numId w:val="1014"/>
        </w:numPr>
      </w:pPr>
      <w:r>
        <w:t xml:space="preserve">Analyst runs site screening workflow.</w:t>
      </w:r>
    </w:p>
    <w:p>
      <w:pPr>
        <w:pStyle w:val="Compact"/>
        <w:numPr>
          <w:ilvl w:val="0"/>
          <w:numId w:val="1014"/>
        </w:numPr>
      </w:pPr>
      <w:r>
        <w:t xml:space="preserve">Analyst reviews utility territory and nearby grid assets.</w:t>
      </w:r>
    </w:p>
    <w:p>
      <w:pPr>
        <w:pStyle w:val="Compact"/>
        <w:numPr>
          <w:ilvl w:val="0"/>
          <w:numId w:val="1014"/>
        </w:numPr>
      </w:pPr>
      <w:r>
        <w:t xml:space="preserve">Analyst reviews relevant interconnection process.</w:t>
      </w:r>
    </w:p>
    <w:p>
      <w:pPr>
        <w:pStyle w:val="Compact"/>
        <w:numPr>
          <w:ilvl w:val="0"/>
          <w:numId w:val="1014"/>
        </w:numPr>
      </w:pPr>
      <w:r>
        <w:t xml:space="preserve">Analyst scores the site.</w:t>
      </w:r>
    </w:p>
    <w:p>
      <w:pPr>
        <w:pStyle w:val="Compact"/>
        <w:numPr>
          <w:ilvl w:val="0"/>
          <w:numId w:val="1014"/>
        </w:numPr>
      </w:pPr>
      <w:r>
        <w:t xml:space="preserve">Expert reviewer validates high-risk sections.</w:t>
      </w:r>
    </w:p>
    <w:p>
      <w:pPr>
        <w:pStyle w:val="Compact"/>
        <w:numPr>
          <w:ilvl w:val="0"/>
          <w:numId w:val="1014"/>
        </w:numPr>
      </w:pPr>
      <w:r>
        <w:t xml:space="preserve">Platform generates draft report.</w:t>
      </w:r>
    </w:p>
    <w:p>
      <w:pPr>
        <w:pStyle w:val="Compact"/>
        <w:numPr>
          <w:ilvl w:val="0"/>
          <w:numId w:val="1014"/>
        </w:numPr>
      </w:pPr>
      <w:r>
        <w:t xml:space="preserve">Analyst finalises executive verdict.</w:t>
      </w:r>
    </w:p>
    <w:p>
      <w:pPr>
        <w:pStyle w:val="Compact"/>
        <w:numPr>
          <w:ilvl w:val="0"/>
          <w:numId w:val="1014"/>
        </w:numPr>
      </w:pPr>
      <w:r>
        <w:t xml:space="preserve">Customer receives PDF report and memo.</w:t>
      </w:r>
    </w:p>
    <w:bookmarkEnd w:id="61"/>
    <w:bookmarkStart w:id="62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Customer can submit a complete site request.</w:t>
      </w:r>
    </w:p>
    <w:p>
      <w:pPr>
        <w:pStyle w:val="Compact"/>
        <w:numPr>
          <w:ilvl w:val="0"/>
          <w:numId w:val="1015"/>
        </w:numPr>
      </w:pPr>
      <w:r>
        <w:t xml:space="preserve">Analyst can view all intake data in one place.</w:t>
      </w:r>
    </w:p>
    <w:p>
      <w:pPr>
        <w:pStyle w:val="Compact"/>
        <w:numPr>
          <w:ilvl w:val="0"/>
          <w:numId w:val="1015"/>
        </w:numPr>
      </w:pPr>
      <w:r>
        <w:t xml:space="preserve">Report includes all required report sections.</w:t>
      </w:r>
    </w:p>
    <w:p>
      <w:pPr>
        <w:pStyle w:val="Compact"/>
        <w:numPr>
          <w:ilvl w:val="0"/>
          <w:numId w:val="1015"/>
        </w:numPr>
      </w:pPr>
      <w:r>
        <w:t xml:space="preserve">Each major conclusion includes evidence or assumption notes.</w:t>
      </w:r>
    </w:p>
    <w:p>
      <w:pPr>
        <w:pStyle w:val="Compact"/>
        <w:numPr>
          <w:ilvl w:val="0"/>
          <w:numId w:val="1015"/>
        </w:numPr>
      </w:pPr>
      <w:r>
        <w:t xml:space="preserve">Final recommendation uses one of the approved verdict categories.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journey-2-multi-site-screening-pack"/>
    <w:p>
      <w:pPr>
        <w:pStyle w:val="Heading2"/>
      </w:pPr>
      <w:r>
        <w:t xml:space="preserve">6.2 Journey 2: Multi-Site Screening Pack</w:t>
      </w:r>
    </w:p>
    <w:bookmarkStart w:id="64" w:name="actor-1"/>
    <w:p>
      <w:pPr>
        <w:pStyle w:val="Heading3"/>
      </w:pPr>
      <w:r>
        <w:t xml:space="preserve">Actor</w:t>
      </w:r>
    </w:p>
    <w:p>
      <w:pPr>
        <w:pStyle w:val="FirstParagraph"/>
      </w:pPr>
      <w:r>
        <w:t xml:space="preserve">Customer</w:t>
      </w:r>
    </w:p>
    <w:bookmarkEnd w:id="64"/>
    <w:bookmarkStart w:id="65" w:name="trigger-1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Customer has 3–20 candidate sites and wants to rank them.</w:t>
      </w:r>
    </w:p>
    <w:bookmarkEnd w:id="65"/>
    <w:bookmarkStart w:id="66" w:name="steps-1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6"/>
        </w:numPr>
      </w:pPr>
      <w:r>
        <w:t xml:space="preserve">Customer uploads list of sites.</w:t>
      </w:r>
    </w:p>
    <w:p>
      <w:pPr>
        <w:pStyle w:val="Compact"/>
        <w:numPr>
          <w:ilvl w:val="0"/>
          <w:numId w:val="1016"/>
        </w:numPr>
      </w:pPr>
      <w:r>
        <w:t xml:space="preserve">Platform creates individual site records.</w:t>
      </w:r>
    </w:p>
    <w:p>
      <w:pPr>
        <w:pStyle w:val="Compact"/>
        <w:numPr>
          <w:ilvl w:val="0"/>
          <w:numId w:val="1016"/>
        </w:numPr>
      </w:pPr>
      <w:r>
        <w:t xml:space="preserve">Analyst runs a light-screen workflow for each site.</w:t>
      </w:r>
    </w:p>
    <w:p>
      <w:pPr>
        <w:pStyle w:val="Compact"/>
        <w:numPr>
          <w:ilvl w:val="0"/>
          <w:numId w:val="1016"/>
        </w:numPr>
      </w:pPr>
      <w:r>
        <w:t xml:space="preserve">Platform calculates comparable scores.</w:t>
      </w:r>
    </w:p>
    <w:p>
      <w:pPr>
        <w:pStyle w:val="Compact"/>
        <w:numPr>
          <w:ilvl w:val="0"/>
          <w:numId w:val="1016"/>
        </w:numPr>
      </w:pPr>
      <w:r>
        <w:t xml:space="preserve">Platform creates ranking table.</w:t>
      </w:r>
    </w:p>
    <w:p>
      <w:pPr>
        <w:pStyle w:val="Compact"/>
        <w:numPr>
          <w:ilvl w:val="0"/>
          <w:numId w:val="1016"/>
        </w:numPr>
      </w:pPr>
      <w:r>
        <w:t xml:space="preserve">Analyst reviews top risks and obvious eliminations.</w:t>
      </w:r>
    </w:p>
    <w:p>
      <w:pPr>
        <w:pStyle w:val="Compact"/>
        <w:numPr>
          <w:ilvl w:val="0"/>
          <w:numId w:val="1016"/>
        </w:numPr>
      </w:pPr>
      <w:r>
        <w:t xml:space="preserve">Platform generates multi-site comparison report.</w:t>
      </w:r>
    </w:p>
    <w:p>
      <w:pPr>
        <w:pStyle w:val="Compact"/>
        <w:numPr>
          <w:ilvl w:val="0"/>
          <w:numId w:val="1016"/>
        </w:numPr>
      </w:pPr>
      <w:r>
        <w:t xml:space="preserve">Customer receives ranked recommendations.</w:t>
      </w:r>
    </w:p>
    <w:bookmarkEnd w:id="66"/>
    <w:bookmarkStart w:id="67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7"/>
        </w:numPr>
      </w:pPr>
      <w:r>
        <w:t xml:space="preserve">Platform supports batch site upload.</w:t>
      </w:r>
    </w:p>
    <w:p>
      <w:pPr>
        <w:pStyle w:val="Compact"/>
        <w:numPr>
          <w:ilvl w:val="0"/>
          <w:numId w:val="1017"/>
        </w:numPr>
      </w:pPr>
      <w:r>
        <w:t xml:space="preserve">Each site receives comparable scoring.</w:t>
      </w:r>
    </w:p>
    <w:p>
      <w:pPr>
        <w:pStyle w:val="Compact"/>
        <w:numPr>
          <w:ilvl w:val="0"/>
          <w:numId w:val="1017"/>
        </w:numPr>
      </w:pPr>
      <w:r>
        <w:t xml:space="preserve">Output includes ranking and recommendation category.</w:t>
      </w:r>
    </w:p>
    <w:p>
      <w:pPr>
        <w:pStyle w:val="Compact"/>
        <w:numPr>
          <w:ilvl w:val="0"/>
          <w:numId w:val="1017"/>
        </w:numPr>
      </w:pPr>
      <w:r>
        <w:t xml:space="preserve">Output identifies top 3 recommended sites and bottom sites to reject or pause.</w:t>
      </w:r>
    </w:p>
    <w:p>
      <w:pPr>
        <w:pStyle w:val="Compact"/>
        <w:numPr>
          <w:ilvl w:val="0"/>
          <w:numId w:val="1017"/>
        </w:numPr>
      </w:pPr>
      <w:r>
        <w:t xml:space="preserve">Output explains why each site scored as it did.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journey-3-investor-underwriting-pack"/>
    <w:p>
      <w:pPr>
        <w:pStyle w:val="Heading2"/>
      </w:pPr>
      <w:r>
        <w:t xml:space="preserve">6.3 Journey 3: Investor Underwriting Pack</w:t>
      </w:r>
    </w:p>
    <w:bookmarkStart w:id="69" w:name="actor-2"/>
    <w:p>
      <w:pPr>
        <w:pStyle w:val="Heading3"/>
      </w:pPr>
      <w:r>
        <w:t xml:space="preserve">Actor</w:t>
      </w:r>
    </w:p>
    <w:p>
      <w:pPr>
        <w:pStyle w:val="FirstParagraph"/>
      </w:pPr>
      <w:r>
        <w:t xml:space="preserve">Infrastructure investor</w:t>
      </w:r>
    </w:p>
    <w:bookmarkEnd w:id="69"/>
    <w:bookmarkStart w:id="70" w:name="trigger-2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Investor is evaluating a transaction or project financing.</w:t>
      </w:r>
    </w:p>
    <w:bookmarkEnd w:id="70"/>
    <w:bookmarkStart w:id="71" w:name="steps-2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8"/>
        </w:numPr>
      </w:pPr>
      <w:r>
        <w:t xml:space="preserve">Investor submits site and sponsor assumptions.</w:t>
      </w:r>
    </w:p>
    <w:p>
      <w:pPr>
        <w:pStyle w:val="Compact"/>
        <w:numPr>
          <w:ilvl w:val="0"/>
          <w:numId w:val="1018"/>
        </w:numPr>
      </w:pPr>
      <w:r>
        <w:t xml:space="preserve">Platform records claimed power capacity, claimed timeline, and claimed utility path.</w:t>
      </w:r>
    </w:p>
    <w:p>
      <w:pPr>
        <w:pStyle w:val="Compact"/>
        <w:numPr>
          <w:ilvl w:val="0"/>
          <w:numId w:val="1018"/>
        </w:numPr>
      </w:pPr>
      <w:r>
        <w:t xml:space="preserve">Analyst compares sponsor claims to public evidence and GridReady scoring.</w:t>
      </w:r>
    </w:p>
    <w:p>
      <w:pPr>
        <w:pStyle w:val="Compact"/>
        <w:numPr>
          <w:ilvl w:val="0"/>
          <w:numId w:val="1018"/>
        </w:numPr>
      </w:pPr>
      <w:r>
        <w:t xml:space="preserve">Analyst identifies unsupported assumptions.</w:t>
      </w:r>
    </w:p>
    <w:p>
      <w:pPr>
        <w:pStyle w:val="Compact"/>
        <w:numPr>
          <w:ilvl w:val="0"/>
          <w:numId w:val="1018"/>
        </w:numPr>
      </w:pPr>
      <w:r>
        <w:t xml:space="preserve">Analyst creates risk-adjusted view of power readiness.</w:t>
      </w:r>
    </w:p>
    <w:p>
      <w:pPr>
        <w:pStyle w:val="Compact"/>
        <w:numPr>
          <w:ilvl w:val="0"/>
          <w:numId w:val="1018"/>
        </w:numPr>
      </w:pPr>
      <w:r>
        <w:t xml:space="preserve">Expert reviewer validates critical risks.</w:t>
      </w:r>
    </w:p>
    <w:p>
      <w:pPr>
        <w:pStyle w:val="Compact"/>
        <w:numPr>
          <w:ilvl w:val="0"/>
          <w:numId w:val="1018"/>
        </w:numPr>
      </w:pPr>
      <w:r>
        <w:t xml:space="preserve">Platform generates investor memo and diligence checklist.</w:t>
      </w:r>
    </w:p>
    <w:bookmarkEnd w:id="71"/>
    <w:bookmarkStart w:id="72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t xml:space="preserve">Report clearly distinguishes sponsor claims from independently supported evidence.</w:t>
      </w:r>
    </w:p>
    <w:p>
      <w:pPr>
        <w:pStyle w:val="Compact"/>
        <w:numPr>
          <w:ilvl w:val="0"/>
          <w:numId w:val="1019"/>
        </w:numPr>
      </w:pPr>
      <w:r>
        <w:t xml:space="preserve">Report identifies assumptions that require direct utility/TSP confirmation.</w:t>
      </w:r>
    </w:p>
    <w:p>
      <w:pPr>
        <w:pStyle w:val="Compact"/>
        <w:numPr>
          <w:ilvl w:val="0"/>
          <w:numId w:val="1019"/>
        </w:numPr>
      </w:pPr>
      <w:r>
        <w:t xml:space="preserve">Report includes an investment-committee-friendly summary.</w:t>
      </w:r>
    </w:p>
    <w:p>
      <w:pPr>
        <w:pStyle w:val="Compact"/>
        <w:numPr>
          <w:ilvl w:val="0"/>
          <w:numId w:val="1019"/>
        </w:numPr>
      </w:pPr>
      <w:r>
        <w:t xml:space="preserve">Report has clear</w:t>
      </w:r>
      <w:r>
        <w:t xml:space="preserve"> </w:t>
      </w:r>
      <w:r>
        <w:t xml:space="preserve">“underwriting risks”</w:t>
      </w:r>
      <w:r>
        <w:t xml:space="preserve"> </w:t>
      </w:r>
      <w:r>
        <w:t xml:space="preserve">and</w:t>
      </w:r>
      <w:r>
        <w:t xml:space="preserve"> </w:t>
      </w:r>
      <w:r>
        <w:t xml:space="preserve">“next diligence questions”</w:t>
      </w:r>
      <w:r>
        <w:t xml:space="preserve"> </w:t>
      </w:r>
      <w:r>
        <w:t xml:space="preserve">sections.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X5a169c889867a37ae5710eafd7e0324b0ee1be8"/>
    <w:p>
      <w:pPr>
        <w:pStyle w:val="Heading2"/>
      </w:pPr>
      <w:r>
        <w:t xml:space="preserve">6.4 Journey 4: Internal Analyst Report Workflow</w:t>
      </w:r>
    </w:p>
    <w:bookmarkStart w:id="74" w:name="actor-3"/>
    <w:p>
      <w:pPr>
        <w:pStyle w:val="Heading3"/>
      </w:pPr>
      <w:r>
        <w:t xml:space="preserve">Actor</w:t>
      </w:r>
    </w:p>
    <w:p>
      <w:pPr>
        <w:pStyle w:val="FirstParagraph"/>
      </w:pPr>
      <w:r>
        <w:t xml:space="preserve">GridReady analyst</w:t>
      </w:r>
    </w:p>
    <w:bookmarkEnd w:id="74"/>
    <w:bookmarkStart w:id="75" w:name="trigger-3"/>
    <w:p>
      <w:pPr>
        <w:pStyle w:val="Heading3"/>
      </w:pPr>
      <w:r>
        <w:t xml:space="preserve">Trigger</w:t>
      </w:r>
    </w:p>
    <w:p>
      <w:pPr>
        <w:pStyle w:val="FirstParagraph"/>
      </w:pPr>
      <w:r>
        <w:t xml:space="preserve">A new customer project is created.</w:t>
      </w:r>
    </w:p>
    <w:bookmarkEnd w:id="75"/>
    <w:bookmarkStart w:id="76" w:name="steps-3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20"/>
        </w:numPr>
      </w:pPr>
      <w:r>
        <w:t xml:space="preserve">Analyst opens project dashboard.</w:t>
      </w:r>
    </w:p>
    <w:p>
      <w:pPr>
        <w:pStyle w:val="Compact"/>
        <w:numPr>
          <w:ilvl w:val="0"/>
          <w:numId w:val="1020"/>
        </w:numPr>
      </w:pPr>
      <w:r>
        <w:t xml:space="preserve">Analyst reviews site intake completeness.</w:t>
      </w:r>
    </w:p>
    <w:p>
      <w:pPr>
        <w:pStyle w:val="Compact"/>
        <w:numPr>
          <w:ilvl w:val="0"/>
          <w:numId w:val="1020"/>
        </w:numPr>
      </w:pPr>
      <w:r>
        <w:t xml:space="preserve">Analyst assigns market/region.</w:t>
      </w:r>
    </w:p>
    <w:p>
      <w:pPr>
        <w:pStyle w:val="Compact"/>
        <w:numPr>
          <w:ilvl w:val="0"/>
          <w:numId w:val="1020"/>
        </w:numPr>
      </w:pPr>
      <w:r>
        <w:t xml:space="preserve">Analyst validates location.</w:t>
      </w:r>
    </w:p>
    <w:p>
      <w:pPr>
        <w:pStyle w:val="Compact"/>
        <w:numPr>
          <w:ilvl w:val="0"/>
          <w:numId w:val="1020"/>
        </w:numPr>
      </w:pPr>
      <w:r>
        <w:t xml:space="preserve">Analyst reviews map layers.</w:t>
      </w:r>
    </w:p>
    <w:p>
      <w:pPr>
        <w:pStyle w:val="Compact"/>
        <w:numPr>
          <w:ilvl w:val="0"/>
          <w:numId w:val="1020"/>
        </w:numPr>
      </w:pPr>
      <w:r>
        <w:t xml:space="preserve">Analyst captures nearby grid assets.</w:t>
      </w:r>
    </w:p>
    <w:p>
      <w:pPr>
        <w:pStyle w:val="Compact"/>
        <w:numPr>
          <w:ilvl w:val="0"/>
          <w:numId w:val="1020"/>
        </w:numPr>
      </w:pPr>
      <w:r>
        <w:t xml:space="preserve">Analyst adds evidence sources.</w:t>
      </w:r>
    </w:p>
    <w:p>
      <w:pPr>
        <w:pStyle w:val="Compact"/>
        <w:numPr>
          <w:ilvl w:val="0"/>
          <w:numId w:val="1020"/>
        </w:numPr>
      </w:pPr>
      <w:r>
        <w:t xml:space="preserve">Analyst completes module checklists.</w:t>
      </w:r>
    </w:p>
    <w:p>
      <w:pPr>
        <w:pStyle w:val="Compact"/>
        <w:numPr>
          <w:ilvl w:val="0"/>
          <w:numId w:val="1020"/>
        </w:numPr>
      </w:pPr>
      <w:r>
        <w:t xml:space="preserve">Analyst assigns risk scores.</w:t>
      </w:r>
    </w:p>
    <w:p>
      <w:pPr>
        <w:pStyle w:val="Compact"/>
        <w:numPr>
          <w:ilvl w:val="0"/>
          <w:numId w:val="1020"/>
        </w:numPr>
      </w:pPr>
      <w:r>
        <w:t xml:space="preserve">Analyst requests expert review where required.</w:t>
      </w:r>
    </w:p>
    <w:p>
      <w:pPr>
        <w:pStyle w:val="Compact"/>
        <w:numPr>
          <w:ilvl w:val="0"/>
          <w:numId w:val="1020"/>
        </w:numPr>
      </w:pPr>
      <w:r>
        <w:t xml:space="preserve">Analyst generates draft report.</w:t>
      </w:r>
    </w:p>
    <w:p>
      <w:pPr>
        <w:pStyle w:val="Compact"/>
        <w:numPr>
          <w:ilvl w:val="0"/>
          <w:numId w:val="1020"/>
        </w:numPr>
      </w:pPr>
      <w:r>
        <w:t xml:space="preserve">Analyst edits language and verdict.</w:t>
      </w:r>
    </w:p>
    <w:p>
      <w:pPr>
        <w:pStyle w:val="Compact"/>
        <w:numPr>
          <w:ilvl w:val="0"/>
          <w:numId w:val="1020"/>
        </w:numPr>
      </w:pPr>
      <w:r>
        <w:t xml:space="preserve">Analyst marks report as ready.</w:t>
      </w:r>
    </w:p>
    <w:p>
      <w:pPr>
        <w:pStyle w:val="Compact"/>
        <w:numPr>
          <w:ilvl w:val="0"/>
          <w:numId w:val="1020"/>
        </w:numPr>
      </w:pPr>
      <w:r>
        <w:t xml:space="preserve">Admin sends report to customer.</w:t>
      </w:r>
    </w:p>
    <w:bookmarkEnd w:id="76"/>
    <w:bookmarkStart w:id="77" w:name="acceptance-criteria-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1"/>
        </w:numPr>
      </w:pPr>
      <w:r>
        <w:t xml:space="preserve">Analyst can complete the workflow without leaving the dashboard for internal data entry.</w:t>
      </w:r>
    </w:p>
    <w:p>
      <w:pPr>
        <w:pStyle w:val="Compact"/>
        <w:numPr>
          <w:ilvl w:val="0"/>
          <w:numId w:val="1021"/>
        </w:numPr>
      </w:pPr>
      <w:r>
        <w:t xml:space="preserve">Analyst can attach sources to every key finding.</w:t>
      </w:r>
    </w:p>
    <w:p>
      <w:pPr>
        <w:pStyle w:val="Compact"/>
        <w:numPr>
          <w:ilvl w:val="0"/>
          <w:numId w:val="1021"/>
        </w:numPr>
      </w:pPr>
      <w:r>
        <w:t xml:space="preserve">Analyst can override automated suggestions with explanation.</w:t>
      </w:r>
    </w:p>
    <w:p>
      <w:pPr>
        <w:pStyle w:val="Compact"/>
        <w:numPr>
          <w:ilvl w:val="0"/>
          <w:numId w:val="1021"/>
        </w:numPr>
      </w:pPr>
      <w:r>
        <w:t xml:space="preserve">System preserves audit trail of all edits and scoring decisions.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132" w:name="functional-requirements"/>
    <w:p>
      <w:pPr>
        <w:pStyle w:val="Heading1"/>
      </w:pPr>
      <w:r>
        <w:t xml:space="preserve">7. Functional Requirements</w:t>
      </w:r>
    </w:p>
    <w:bookmarkStart w:id="84" w:name="site-intake"/>
    <w:p>
      <w:pPr>
        <w:pStyle w:val="Heading2"/>
      </w:pPr>
      <w:r>
        <w:t xml:space="preserve">7.1 Site Intake</w:t>
      </w:r>
    </w:p>
    <w:bookmarkStart w:id="80" w:name="fr-001-customer-site-submission"/>
    <w:p>
      <w:pPr>
        <w:pStyle w:val="Heading3"/>
      </w:pPr>
      <w:r>
        <w:t xml:space="preserve">FR-001: Customer Site Submission</w:t>
      </w:r>
    </w:p>
    <w:p>
      <w:pPr>
        <w:pStyle w:val="FirstParagraph"/>
      </w:pPr>
      <w:r>
        <w:t xml:space="preserve">The system must allow a customer or internal analyst to create a site assessment request.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22"/>
        </w:numPr>
      </w:pPr>
      <w:r>
        <w:t xml:space="preserve">Customer organisation</w:t>
      </w:r>
    </w:p>
    <w:p>
      <w:pPr>
        <w:pStyle w:val="Compact"/>
        <w:numPr>
          <w:ilvl w:val="0"/>
          <w:numId w:val="1022"/>
        </w:numPr>
      </w:pPr>
      <w:r>
        <w:t xml:space="preserve">Contact name</w:t>
      </w:r>
    </w:p>
    <w:p>
      <w:pPr>
        <w:pStyle w:val="Compact"/>
        <w:numPr>
          <w:ilvl w:val="0"/>
          <w:numId w:val="1022"/>
        </w:numPr>
      </w:pPr>
      <w:r>
        <w:t xml:space="preserve">Contact email</w:t>
      </w:r>
    </w:p>
    <w:p>
      <w:pPr>
        <w:pStyle w:val="Compact"/>
        <w:numPr>
          <w:ilvl w:val="0"/>
          <w:numId w:val="1022"/>
        </w:numPr>
      </w:pPr>
      <w:r>
        <w:t xml:space="preserve">Site name</w:t>
      </w:r>
    </w:p>
    <w:p>
      <w:pPr>
        <w:pStyle w:val="Compact"/>
        <w:numPr>
          <w:ilvl w:val="0"/>
          <w:numId w:val="1022"/>
        </w:numPr>
      </w:pPr>
      <w:r>
        <w:t xml:space="preserve">Site address</w:t>
      </w:r>
    </w:p>
    <w:p>
      <w:pPr>
        <w:pStyle w:val="Compact"/>
        <w:numPr>
          <w:ilvl w:val="0"/>
          <w:numId w:val="1022"/>
        </w:numPr>
      </w:pPr>
      <w:r>
        <w:t xml:space="preserve">Latitude</w:t>
      </w:r>
    </w:p>
    <w:p>
      <w:pPr>
        <w:pStyle w:val="Compact"/>
        <w:numPr>
          <w:ilvl w:val="0"/>
          <w:numId w:val="1022"/>
        </w:numPr>
      </w:pPr>
      <w:r>
        <w:t xml:space="preserve">Longitude</w:t>
      </w:r>
    </w:p>
    <w:p>
      <w:pPr>
        <w:pStyle w:val="Compact"/>
        <w:numPr>
          <w:ilvl w:val="0"/>
          <w:numId w:val="1022"/>
        </w:numPr>
      </w:pPr>
      <w:r>
        <w:t xml:space="preserve">Parcel ID, if available</w:t>
      </w:r>
    </w:p>
    <w:p>
      <w:pPr>
        <w:pStyle w:val="Compact"/>
        <w:numPr>
          <w:ilvl w:val="0"/>
          <w:numId w:val="1022"/>
        </w:numPr>
      </w:pPr>
      <w:r>
        <w:t xml:space="preserve">Site boundary file, if available</w:t>
      </w:r>
    </w:p>
    <w:p>
      <w:pPr>
        <w:pStyle w:val="Compact"/>
        <w:numPr>
          <w:ilvl w:val="0"/>
          <w:numId w:val="1022"/>
        </w:numPr>
      </w:pPr>
      <w:r>
        <w:t xml:space="preserve">Target load in MW</w:t>
      </w:r>
    </w:p>
    <w:p>
      <w:pPr>
        <w:pStyle w:val="Compact"/>
        <w:numPr>
          <w:ilvl w:val="0"/>
          <w:numId w:val="1022"/>
        </w:numPr>
      </w:pPr>
      <w:r>
        <w:t xml:space="preserve">Initial load phase in MW</w:t>
      </w:r>
    </w:p>
    <w:p>
      <w:pPr>
        <w:pStyle w:val="Compact"/>
        <w:numPr>
          <w:ilvl w:val="0"/>
          <w:numId w:val="1022"/>
        </w:numPr>
      </w:pPr>
      <w:r>
        <w:t xml:space="preserve">Full buildout load in MW</w:t>
      </w:r>
    </w:p>
    <w:p>
      <w:pPr>
        <w:pStyle w:val="Compact"/>
        <w:numPr>
          <w:ilvl w:val="0"/>
          <w:numId w:val="1022"/>
        </w:numPr>
      </w:pPr>
      <w:r>
        <w:t xml:space="preserve">Desired energization date</w:t>
      </w:r>
    </w:p>
    <w:p>
      <w:pPr>
        <w:pStyle w:val="Compact"/>
        <w:numPr>
          <w:ilvl w:val="0"/>
          <w:numId w:val="1022"/>
        </w:numPr>
      </w:pPr>
      <w:r>
        <w:t xml:space="preserve">Project stage</w:t>
      </w:r>
    </w:p>
    <w:p>
      <w:pPr>
        <w:pStyle w:val="Compact"/>
        <w:numPr>
          <w:ilvl w:val="0"/>
          <w:numId w:val="1022"/>
        </w:numPr>
      </w:pPr>
      <w:r>
        <w:t xml:space="preserve">Land control status</w:t>
      </w:r>
    </w:p>
    <w:p>
      <w:pPr>
        <w:pStyle w:val="Compact"/>
        <w:numPr>
          <w:ilvl w:val="0"/>
          <w:numId w:val="1022"/>
        </w:numPr>
      </w:pPr>
      <w:r>
        <w:t xml:space="preserve">Known utility contact</w:t>
      </w:r>
    </w:p>
    <w:p>
      <w:pPr>
        <w:pStyle w:val="Compact"/>
        <w:numPr>
          <w:ilvl w:val="0"/>
          <w:numId w:val="1022"/>
        </w:numPr>
      </w:pPr>
      <w:r>
        <w:t xml:space="preserve">Known substation or POI, if any</w:t>
      </w:r>
    </w:p>
    <w:p>
      <w:pPr>
        <w:pStyle w:val="Compact"/>
        <w:numPr>
          <w:ilvl w:val="0"/>
          <w:numId w:val="1022"/>
        </w:numPr>
      </w:pPr>
      <w:r>
        <w:t xml:space="preserve">Existing studies, if any</w:t>
      </w:r>
    </w:p>
    <w:p>
      <w:pPr>
        <w:pStyle w:val="Compact"/>
        <w:numPr>
          <w:ilvl w:val="0"/>
          <w:numId w:val="1022"/>
        </w:numPr>
      </w:pPr>
      <w:r>
        <w:t xml:space="preserve">Existing power quote, if any</w:t>
      </w:r>
    </w:p>
    <w:p>
      <w:pPr>
        <w:pStyle w:val="Compact"/>
        <w:numPr>
          <w:ilvl w:val="0"/>
          <w:numId w:val="1022"/>
        </w:numPr>
      </w:pPr>
      <w:r>
        <w:t xml:space="preserve">Backup generation assumptions</w:t>
      </w:r>
    </w:p>
    <w:p>
      <w:pPr>
        <w:pStyle w:val="Compact"/>
        <w:numPr>
          <w:ilvl w:val="0"/>
          <w:numId w:val="1022"/>
        </w:numPr>
      </w:pPr>
      <w:r>
        <w:t xml:space="preserve">Battery/storage assumptions</w:t>
      </w:r>
    </w:p>
    <w:p>
      <w:pPr>
        <w:pStyle w:val="Compact"/>
        <w:numPr>
          <w:ilvl w:val="0"/>
          <w:numId w:val="1022"/>
        </w:numPr>
      </w:pPr>
      <w:r>
        <w:t xml:space="preserve">Curtailment willingness</w:t>
      </w:r>
    </w:p>
    <w:p>
      <w:pPr>
        <w:pStyle w:val="Compact"/>
        <w:numPr>
          <w:ilvl w:val="0"/>
          <w:numId w:val="1022"/>
        </w:numPr>
      </w:pPr>
      <w:r>
        <w:t xml:space="preserve">Workload flexibility assumptions</w:t>
      </w:r>
    </w:p>
    <w:p>
      <w:pPr>
        <w:pStyle w:val="Compact"/>
        <w:numPr>
          <w:ilvl w:val="0"/>
          <w:numId w:val="1022"/>
        </w:numPr>
      </w:pPr>
      <w:r>
        <w:t xml:space="preserve">Water/cooling notes</w:t>
      </w:r>
    </w:p>
    <w:p>
      <w:pPr>
        <w:pStyle w:val="Compact"/>
        <w:numPr>
          <w:ilvl w:val="0"/>
          <w:numId w:val="1022"/>
        </w:numPr>
      </w:pPr>
      <w:r>
        <w:t xml:space="preserve">Confidentiality status</w:t>
      </w:r>
    </w:p>
    <w:bookmarkEnd w:id="80"/>
    <w:bookmarkStart w:id="81" w:name="fr-002-site-intake-validation"/>
    <w:p>
      <w:pPr>
        <w:pStyle w:val="Heading3"/>
      </w:pPr>
      <w:r>
        <w:t xml:space="preserve">FR-002: Site Intake Validation</w:t>
      </w:r>
    </w:p>
    <w:p>
      <w:pPr>
        <w:pStyle w:val="FirstParagraph"/>
      </w:pPr>
      <w:r>
        <w:t xml:space="preserve">The system must validate that required fields are present before analysis begins.</w:t>
      </w:r>
    </w:p>
    <w:p>
      <w:pPr>
        <w:pStyle w:val="BodyText"/>
      </w:pPr>
      <w:r>
        <w:t xml:space="preserve">Required minimum fields:</w:t>
      </w:r>
    </w:p>
    <w:p>
      <w:pPr>
        <w:pStyle w:val="Compact"/>
        <w:numPr>
          <w:ilvl w:val="0"/>
          <w:numId w:val="1023"/>
        </w:numPr>
      </w:pPr>
      <w:r>
        <w:t xml:space="preserve">Site name</w:t>
      </w:r>
    </w:p>
    <w:p>
      <w:pPr>
        <w:pStyle w:val="Compact"/>
        <w:numPr>
          <w:ilvl w:val="0"/>
          <w:numId w:val="1023"/>
        </w:numPr>
      </w:pPr>
      <w:r>
        <w:t xml:space="preserve">Latitude and longitude or address</w:t>
      </w:r>
    </w:p>
    <w:p>
      <w:pPr>
        <w:pStyle w:val="Compact"/>
        <w:numPr>
          <w:ilvl w:val="0"/>
          <w:numId w:val="1023"/>
        </w:numPr>
      </w:pPr>
      <w:r>
        <w:t xml:space="preserve">Target load</w:t>
      </w:r>
    </w:p>
    <w:p>
      <w:pPr>
        <w:pStyle w:val="Compact"/>
        <w:numPr>
          <w:ilvl w:val="0"/>
          <w:numId w:val="1023"/>
        </w:numPr>
      </w:pPr>
      <w:r>
        <w:t xml:space="preserve">Desired energization date</w:t>
      </w:r>
    </w:p>
    <w:p>
      <w:pPr>
        <w:pStyle w:val="Compact"/>
        <w:numPr>
          <w:ilvl w:val="0"/>
          <w:numId w:val="1023"/>
        </w:numPr>
      </w:pPr>
      <w:r>
        <w:t xml:space="preserve">Customer name</w:t>
      </w:r>
    </w:p>
    <w:p>
      <w:pPr>
        <w:pStyle w:val="Compact"/>
        <w:numPr>
          <w:ilvl w:val="0"/>
          <w:numId w:val="1023"/>
        </w:numPr>
      </w:pPr>
      <w:r>
        <w:t xml:space="preserve">Contact email</w:t>
      </w:r>
    </w:p>
    <w:bookmarkEnd w:id="81"/>
    <w:bookmarkStart w:id="82" w:name="fr-003-file-upload"/>
    <w:p>
      <w:pPr>
        <w:pStyle w:val="Heading3"/>
      </w:pPr>
      <w:r>
        <w:t xml:space="preserve">FR-003: File Upload</w:t>
      </w:r>
    </w:p>
    <w:p>
      <w:pPr>
        <w:pStyle w:val="FirstParagraph"/>
      </w:pPr>
      <w:r>
        <w:t xml:space="preserve">The system must allow customers or analysts to upload supporting files.</w:t>
      </w:r>
    </w:p>
    <w:p>
      <w:pPr>
        <w:pStyle w:val="BodyText"/>
      </w:pPr>
      <w:r>
        <w:t xml:space="preserve">Supported file types:</w:t>
      </w:r>
    </w:p>
    <w:p>
      <w:pPr>
        <w:pStyle w:val="Compact"/>
        <w:numPr>
          <w:ilvl w:val="0"/>
          <w:numId w:val="1024"/>
        </w:numPr>
      </w:pPr>
      <w:r>
        <w:t xml:space="preserve">PDF</w:t>
      </w:r>
    </w:p>
    <w:p>
      <w:pPr>
        <w:pStyle w:val="Compact"/>
        <w:numPr>
          <w:ilvl w:val="0"/>
          <w:numId w:val="1024"/>
        </w:numPr>
      </w:pPr>
      <w:r>
        <w:t xml:space="preserve">DOCX</w:t>
      </w:r>
    </w:p>
    <w:p>
      <w:pPr>
        <w:pStyle w:val="Compact"/>
        <w:numPr>
          <w:ilvl w:val="0"/>
          <w:numId w:val="1024"/>
        </w:numPr>
      </w:pPr>
      <w:r>
        <w:t xml:space="preserve">XLSX</w:t>
      </w:r>
    </w:p>
    <w:p>
      <w:pPr>
        <w:pStyle w:val="Compact"/>
        <w:numPr>
          <w:ilvl w:val="0"/>
          <w:numId w:val="1024"/>
        </w:numPr>
      </w:pPr>
      <w:r>
        <w:t xml:space="preserve">CSV</w:t>
      </w:r>
    </w:p>
    <w:p>
      <w:pPr>
        <w:pStyle w:val="Compact"/>
        <w:numPr>
          <w:ilvl w:val="0"/>
          <w:numId w:val="1024"/>
        </w:numPr>
      </w:pPr>
      <w:r>
        <w:t xml:space="preserve">KML</w:t>
      </w:r>
    </w:p>
    <w:p>
      <w:pPr>
        <w:pStyle w:val="Compact"/>
        <w:numPr>
          <w:ilvl w:val="0"/>
          <w:numId w:val="1024"/>
        </w:numPr>
      </w:pPr>
      <w:r>
        <w:t xml:space="preserve">KMZ</w:t>
      </w:r>
    </w:p>
    <w:p>
      <w:pPr>
        <w:pStyle w:val="Compact"/>
        <w:numPr>
          <w:ilvl w:val="0"/>
          <w:numId w:val="1024"/>
        </w:numPr>
      </w:pPr>
      <w:r>
        <w:t xml:space="preserve">SHP</w:t>
      </w:r>
    </w:p>
    <w:p>
      <w:pPr>
        <w:pStyle w:val="Compact"/>
        <w:numPr>
          <w:ilvl w:val="0"/>
          <w:numId w:val="1024"/>
        </w:numPr>
      </w:pPr>
      <w:r>
        <w:t xml:space="preserve">GeoJSON</w:t>
      </w:r>
    </w:p>
    <w:p>
      <w:pPr>
        <w:pStyle w:val="Compact"/>
        <w:numPr>
          <w:ilvl w:val="0"/>
          <w:numId w:val="1024"/>
        </w:numPr>
      </w:pPr>
      <w:r>
        <w:t xml:space="preserve">PNG/JPG screenshots</w:t>
      </w:r>
    </w:p>
    <w:bookmarkEnd w:id="82"/>
    <w:bookmarkStart w:id="83" w:name="fr-004-intake-completeness-score"/>
    <w:p>
      <w:pPr>
        <w:pStyle w:val="Heading3"/>
      </w:pPr>
      <w:r>
        <w:t xml:space="preserve">FR-004: Intake Completeness Score</w:t>
      </w:r>
    </w:p>
    <w:p>
      <w:pPr>
        <w:pStyle w:val="FirstParagraph"/>
      </w:pPr>
      <w:r>
        <w:t xml:space="preserve">The system must calculate a basic intake completeness score.</w:t>
      </w:r>
    </w:p>
    <w:p>
      <w:pPr>
        <w:pStyle w:val="BodyText"/>
      </w:pPr>
      <w:r>
        <w:t xml:space="preserve">Example scale:</w:t>
      </w:r>
    </w:p>
    <w:p>
      <w:pPr>
        <w:pStyle w:val="Compact"/>
        <w:numPr>
          <w:ilvl w:val="0"/>
          <w:numId w:val="1025"/>
        </w:numPr>
      </w:pPr>
      <w:r>
        <w:t xml:space="preserve">0–40: Insufficient for credible assessment</w:t>
      </w:r>
    </w:p>
    <w:p>
      <w:pPr>
        <w:pStyle w:val="Compact"/>
        <w:numPr>
          <w:ilvl w:val="0"/>
          <w:numId w:val="1025"/>
        </w:numPr>
      </w:pPr>
      <w:r>
        <w:t xml:space="preserve">41–70: Enough for preliminary screen</w:t>
      </w:r>
    </w:p>
    <w:p>
      <w:pPr>
        <w:pStyle w:val="Compact"/>
        <w:numPr>
          <w:ilvl w:val="0"/>
          <w:numId w:val="1025"/>
        </w:numPr>
      </w:pPr>
      <w:r>
        <w:t xml:space="preserve">71–90: Good for standard report</w:t>
      </w:r>
    </w:p>
    <w:p>
      <w:pPr>
        <w:pStyle w:val="Compact"/>
        <w:numPr>
          <w:ilvl w:val="0"/>
          <w:numId w:val="1025"/>
        </w:numPr>
      </w:pPr>
      <w:r>
        <w:t xml:space="preserve">91–100: Strong intake package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site-location-and-gis"/>
    <w:p>
      <w:pPr>
        <w:pStyle w:val="Heading2"/>
      </w:pPr>
      <w:r>
        <w:t xml:space="preserve">7.2 Site Location and GIS</w:t>
      </w:r>
    </w:p>
    <w:bookmarkStart w:id="85" w:name="fr-005-map-view"/>
    <w:p>
      <w:pPr>
        <w:pStyle w:val="Heading3"/>
      </w:pPr>
      <w:r>
        <w:t xml:space="preserve">FR-005: Map View</w:t>
      </w:r>
    </w:p>
    <w:p>
      <w:pPr>
        <w:pStyle w:val="FirstParagraph"/>
      </w:pPr>
      <w:r>
        <w:t xml:space="preserve">The system must display each site on a map.</w:t>
      </w:r>
    </w:p>
    <w:p>
      <w:pPr>
        <w:pStyle w:val="BodyText"/>
      </w:pPr>
      <w:r>
        <w:t xml:space="preserve">Required map features:</w:t>
      </w:r>
    </w:p>
    <w:p>
      <w:pPr>
        <w:pStyle w:val="Compact"/>
        <w:numPr>
          <w:ilvl w:val="0"/>
          <w:numId w:val="1026"/>
        </w:numPr>
      </w:pPr>
      <w:r>
        <w:t xml:space="preserve">Site marker</w:t>
      </w:r>
    </w:p>
    <w:p>
      <w:pPr>
        <w:pStyle w:val="Compact"/>
        <w:numPr>
          <w:ilvl w:val="0"/>
          <w:numId w:val="1026"/>
        </w:numPr>
      </w:pPr>
      <w:r>
        <w:t xml:space="preserve">Optional parcel boundary</w:t>
      </w:r>
    </w:p>
    <w:p>
      <w:pPr>
        <w:pStyle w:val="Compact"/>
        <w:numPr>
          <w:ilvl w:val="0"/>
          <w:numId w:val="1026"/>
        </w:numPr>
      </w:pPr>
      <w:r>
        <w:t xml:space="preserve">Search radius rings</w:t>
      </w:r>
    </w:p>
    <w:p>
      <w:pPr>
        <w:pStyle w:val="Compact"/>
        <w:numPr>
          <w:ilvl w:val="0"/>
          <w:numId w:val="1026"/>
        </w:numPr>
      </w:pPr>
      <w:r>
        <w:t xml:space="preserve">Nearby transmission lines</w:t>
      </w:r>
    </w:p>
    <w:p>
      <w:pPr>
        <w:pStyle w:val="Compact"/>
        <w:numPr>
          <w:ilvl w:val="0"/>
          <w:numId w:val="1026"/>
        </w:numPr>
      </w:pPr>
      <w:r>
        <w:t xml:space="preserve">Nearby substations</w:t>
      </w:r>
    </w:p>
    <w:p>
      <w:pPr>
        <w:pStyle w:val="Compact"/>
        <w:numPr>
          <w:ilvl w:val="0"/>
          <w:numId w:val="1026"/>
        </w:numPr>
      </w:pPr>
      <w:r>
        <w:t xml:space="preserve">Utility/service territory overlays, where available</w:t>
      </w:r>
    </w:p>
    <w:p>
      <w:pPr>
        <w:pStyle w:val="Compact"/>
        <w:numPr>
          <w:ilvl w:val="0"/>
          <w:numId w:val="1026"/>
        </w:numPr>
      </w:pPr>
      <w:r>
        <w:t xml:space="preserve">Nearby generation assets</w:t>
      </w:r>
    </w:p>
    <w:p>
      <w:pPr>
        <w:pStyle w:val="Compact"/>
        <w:numPr>
          <w:ilvl w:val="0"/>
          <w:numId w:val="1026"/>
        </w:numPr>
      </w:pPr>
      <w:r>
        <w:t xml:space="preserve">Environmental/permitting risk overlays, where available</w:t>
      </w:r>
    </w:p>
    <w:bookmarkEnd w:id="85"/>
    <w:bookmarkStart w:id="86" w:name="fr-006-radius-analysis"/>
    <w:p>
      <w:pPr>
        <w:pStyle w:val="Heading3"/>
      </w:pPr>
      <w:r>
        <w:t xml:space="preserve">FR-006: Radius Analysis</w:t>
      </w:r>
    </w:p>
    <w:p>
      <w:pPr>
        <w:pStyle w:val="FirstParagraph"/>
      </w:pPr>
      <w:r>
        <w:t xml:space="preserve">The system must calculate distance from the site to relevant assets.</w:t>
      </w:r>
    </w:p>
    <w:p>
      <w:pPr>
        <w:pStyle w:val="BodyText"/>
      </w:pPr>
      <w:r>
        <w:t xml:space="preserve">Minimum calculations:</w:t>
      </w:r>
    </w:p>
    <w:p>
      <w:pPr>
        <w:pStyle w:val="Compact"/>
        <w:numPr>
          <w:ilvl w:val="0"/>
          <w:numId w:val="1027"/>
        </w:numPr>
      </w:pPr>
      <w:r>
        <w:t xml:space="preserve">Distance to nearest substation</w:t>
      </w:r>
    </w:p>
    <w:p>
      <w:pPr>
        <w:pStyle w:val="Compact"/>
        <w:numPr>
          <w:ilvl w:val="0"/>
          <w:numId w:val="1027"/>
        </w:numPr>
      </w:pPr>
      <w:r>
        <w:t xml:space="preserve">Distance to nearest transmission line</w:t>
      </w:r>
    </w:p>
    <w:p>
      <w:pPr>
        <w:pStyle w:val="Compact"/>
        <w:numPr>
          <w:ilvl w:val="0"/>
          <w:numId w:val="1027"/>
        </w:numPr>
      </w:pPr>
      <w:r>
        <w:t xml:space="preserve">Distance to nearest generation asset</w:t>
      </w:r>
    </w:p>
    <w:p>
      <w:pPr>
        <w:pStyle w:val="Compact"/>
        <w:numPr>
          <w:ilvl w:val="0"/>
          <w:numId w:val="1027"/>
        </w:numPr>
      </w:pPr>
      <w:r>
        <w:t xml:space="preserve">Distance to nearest major road</w:t>
      </w:r>
    </w:p>
    <w:p>
      <w:pPr>
        <w:pStyle w:val="Compact"/>
        <w:numPr>
          <w:ilvl w:val="0"/>
          <w:numId w:val="1027"/>
        </w:numPr>
      </w:pPr>
      <w:r>
        <w:t xml:space="preserve">Distance to nearest water source, if data is available</w:t>
      </w:r>
    </w:p>
    <w:p>
      <w:pPr>
        <w:pStyle w:val="Compact"/>
        <w:numPr>
          <w:ilvl w:val="0"/>
          <w:numId w:val="1027"/>
        </w:numPr>
      </w:pPr>
      <w:r>
        <w:t xml:space="preserve">Distance to nearest known load pocket or industrial zone, if available</w:t>
      </w:r>
    </w:p>
    <w:p>
      <w:pPr>
        <w:pStyle w:val="FirstParagraph"/>
      </w:pPr>
      <w:r>
        <w:t xml:space="preserve">Recommended search radii:</w:t>
      </w:r>
    </w:p>
    <w:p>
      <w:pPr>
        <w:pStyle w:val="Compact"/>
        <w:numPr>
          <w:ilvl w:val="0"/>
          <w:numId w:val="1028"/>
        </w:numPr>
      </w:pPr>
      <w:r>
        <w:t xml:space="preserve">1 mile</w:t>
      </w:r>
    </w:p>
    <w:p>
      <w:pPr>
        <w:pStyle w:val="Compact"/>
        <w:numPr>
          <w:ilvl w:val="0"/>
          <w:numId w:val="1028"/>
        </w:numPr>
      </w:pPr>
      <w:r>
        <w:t xml:space="preserve">5 miles</w:t>
      </w:r>
    </w:p>
    <w:p>
      <w:pPr>
        <w:pStyle w:val="Compact"/>
        <w:numPr>
          <w:ilvl w:val="0"/>
          <w:numId w:val="1028"/>
        </w:numPr>
      </w:pPr>
      <w:r>
        <w:t xml:space="preserve">10 miles</w:t>
      </w:r>
    </w:p>
    <w:p>
      <w:pPr>
        <w:pStyle w:val="Compact"/>
        <w:numPr>
          <w:ilvl w:val="0"/>
          <w:numId w:val="1028"/>
        </w:numPr>
      </w:pPr>
      <w:r>
        <w:t xml:space="preserve">25 miles</w:t>
      </w:r>
    </w:p>
    <w:p>
      <w:pPr>
        <w:pStyle w:val="Compact"/>
        <w:numPr>
          <w:ilvl w:val="0"/>
          <w:numId w:val="1028"/>
        </w:numPr>
      </w:pPr>
      <w:r>
        <w:t xml:space="preserve">50 miles</w:t>
      </w:r>
    </w:p>
    <w:bookmarkEnd w:id="86"/>
    <w:bookmarkStart w:id="87" w:name="fr-007-grid-asset-capture"/>
    <w:p>
      <w:pPr>
        <w:pStyle w:val="Heading3"/>
      </w:pPr>
      <w:r>
        <w:t xml:space="preserve">FR-007: Grid Asset Capture</w:t>
      </w:r>
    </w:p>
    <w:p>
      <w:pPr>
        <w:pStyle w:val="FirstParagraph"/>
      </w:pPr>
      <w:r>
        <w:t xml:space="preserve">The system must allow an analyst to save candidate grid assets to a site record.</w:t>
      </w:r>
    </w:p>
    <w:p>
      <w:pPr>
        <w:pStyle w:val="BodyText"/>
      </w:pPr>
      <w:r>
        <w:t xml:space="preserve">For each grid asset, capture:</w:t>
      </w:r>
    </w:p>
    <w:p>
      <w:pPr>
        <w:pStyle w:val="Compact"/>
        <w:numPr>
          <w:ilvl w:val="0"/>
          <w:numId w:val="1029"/>
        </w:numPr>
      </w:pPr>
      <w:r>
        <w:t xml:space="preserve">Asset name</w:t>
      </w:r>
    </w:p>
    <w:p>
      <w:pPr>
        <w:pStyle w:val="Compact"/>
        <w:numPr>
          <w:ilvl w:val="0"/>
          <w:numId w:val="1029"/>
        </w:numPr>
      </w:pPr>
      <w:r>
        <w:t xml:space="preserve">Asset type</w:t>
      </w:r>
    </w:p>
    <w:p>
      <w:pPr>
        <w:pStyle w:val="Compact"/>
        <w:numPr>
          <w:ilvl w:val="0"/>
          <w:numId w:val="1029"/>
        </w:numPr>
      </w:pPr>
      <w:r>
        <w:t xml:space="preserve">Voltage class</w:t>
      </w:r>
    </w:p>
    <w:p>
      <w:pPr>
        <w:pStyle w:val="Compact"/>
        <w:numPr>
          <w:ilvl w:val="0"/>
          <w:numId w:val="1029"/>
        </w:numPr>
      </w:pPr>
      <w:r>
        <w:t xml:space="preserve">Owner/operator, if available</w:t>
      </w:r>
    </w:p>
    <w:p>
      <w:pPr>
        <w:pStyle w:val="Compact"/>
        <w:numPr>
          <w:ilvl w:val="0"/>
          <w:numId w:val="1029"/>
        </w:numPr>
      </w:pPr>
      <w:r>
        <w:t xml:space="preserve">Distance from site</w:t>
      </w:r>
    </w:p>
    <w:p>
      <w:pPr>
        <w:pStyle w:val="Compact"/>
        <w:numPr>
          <w:ilvl w:val="0"/>
          <w:numId w:val="1029"/>
        </w:numPr>
      </w:pPr>
      <w:r>
        <w:t xml:space="preserve">Source</w:t>
      </w:r>
    </w:p>
    <w:p>
      <w:pPr>
        <w:pStyle w:val="Compact"/>
        <w:numPr>
          <w:ilvl w:val="0"/>
          <w:numId w:val="1029"/>
        </w:numPr>
      </w:pPr>
      <w:r>
        <w:t xml:space="preserve">Confidence level</w:t>
      </w:r>
    </w:p>
    <w:p>
      <w:pPr>
        <w:pStyle w:val="Compact"/>
        <w:numPr>
          <w:ilvl w:val="0"/>
          <w:numId w:val="1029"/>
        </w:numPr>
      </w:pPr>
      <w:r>
        <w:t xml:space="preserve">Notes</w:t>
      </w:r>
    </w:p>
    <w:bookmarkEnd w:id="87"/>
    <w:bookmarkStart w:id="88" w:name="fr-008-candidate-poi-notes"/>
    <w:p>
      <w:pPr>
        <w:pStyle w:val="Heading3"/>
      </w:pPr>
      <w:r>
        <w:t xml:space="preserve">FR-008: Candidate POI Notes</w:t>
      </w:r>
    </w:p>
    <w:p>
      <w:pPr>
        <w:pStyle w:val="FirstParagraph"/>
      </w:pPr>
      <w:r>
        <w:t xml:space="preserve">The system must allow analysts to record likely or possible points of interconnection.</w:t>
      </w:r>
    </w:p>
    <w:p>
      <w:pPr>
        <w:pStyle w:val="BodyText"/>
      </w:pPr>
      <w:r>
        <w:t xml:space="preserve">For each candidate POI, capture:</w:t>
      </w:r>
    </w:p>
    <w:p>
      <w:pPr>
        <w:pStyle w:val="Compact"/>
        <w:numPr>
          <w:ilvl w:val="0"/>
          <w:numId w:val="1030"/>
        </w:numPr>
      </w:pPr>
      <w:r>
        <w:t xml:space="preserve">POI name</w:t>
      </w:r>
    </w:p>
    <w:p>
      <w:pPr>
        <w:pStyle w:val="Compact"/>
        <w:numPr>
          <w:ilvl w:val="0"/>
          <w:numId w:val="1030"/>
        </w:numPr>
      </w:pPr>
      <w:r>
        <w:t xml:space="preserve">Asset type</w:t>
      </w:r>
    </w:p>
    <w:p>
      <w:pPr>
        <w:pStyle w:val="Compact"/>
        <w:numPr>
          <w:ilvl w:val="0"/>
          <w:numId w:val="1030"/>
        </w:numPr>
      </w:pPr>
      <w:r>
        <w:t xml:space="preserve">Voltage</w:t>
      </w:r>
    </w:p>
    <w:p>
      <w:pPr>
        <w:pStyle w:val="Compact"/>
        <w:numPr>
          <w:ilvl w:val="0"/>
          <w:numId w:val="1030"/>
        </w:numPr>
      </w:pPr>
      <w:r>
        <w:t xml:space="preserve">Owner/operator</w:t>
      </w:r>
    </w:p>
    <w:p>
      <w:pPr>
        <w:pStyle w:val="Compact"/>
        <w:numPr>
          <w:ilvl w:val="0"/>
          <w:numId w:val="1030"/>
        </w:numPr>
      </w:pPr>
      <w:r>
        <w:t xml:space="preserve">Distance</w:t>
      </w:r>
    </w:p>
    <w:p>
      <w:pPr>
        <w:pStyle w:val="Compact"/>
        <w:numPr>
          <w:ilvl w:val="0"/>
          <w:numId w:val="1030"/>
        </w:numPr>
      </w:pPr>
      <w:r>
        <w:t xml:space="preserve">Rationale</w:t>
      </w:r>
    </w:p>
    <w:p>
      <w:pPr>
        <w:pStyle w:val="Compact"/>
        <w:numPr>
          <w:ilvl w:val="0"/>
          <w:numId w:val="1030"/>
        </w:numPr>
      </w:pPr>
      <w:r>
        <w:t xml:space="preserve">Source evidence</w:t>
      </w:r>
    </w:p>
    <w:p>
      <w:pPr>
        <w:pStyle w:val="Compact"/>
        <w:numPr>
          <w:ilvl w:val="0"/>
          <w:numId w:val="1030"/>
        </w:numPr>
      </w:pPr>
      <w:r>
        <w:t xml:space="preserve">Confidence level</w:t>
      </w:r>
    </w:p>
    <w:p>
      <w:pPr>
        <w:pStyle w:val="Compact"/>
        <w:numPr>
          <w:ilvl w:val="0"/>
          <w:numId w:val="1030"/>
        </w:numPr>
      </w:pPr>
      <w:r>
        <w:t xml:space="preserve">Analyst notes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market-and-utility-context"/>
    <w:p>
      <w:pPr>
        <w:pStyle w:val="Heading2"/>
      </w:pPr>
      <w:r>
        <w:t xml:space="preserve">7.3 Market and Utility Context</w:t>
      </w:r>
    </w:p>
    <w:bookmarkStart w:id="90" w:name="fr-009-market-identification"/>
    <w:p>
      <w:pPr>
        <w:pStyle w:val="Heading3"/>
      </w:pPr>
      <w:r>
        <w:t xml:space="preserve">FR-009: Market Identification</w:t>
      </w:r>
    </w:p>
    <w:p>
      <w:pPr>
        <w:pStyle w:val="FirstParagraph"/>
      </w:pPr>
      <w:r>
        <w:t xml:space="preserve">The system must identify the relevant power market or region.</w:t>
      </w:r>
    </w:p>
    <w:p>
      <w:pPr>
        <w:pStyle w:val="BodyText"/>
      </w:pPr>
      <w:r>
        <w:t xml:space="preserve">For MVP, default target market:</w:t>
      </w:r>
    </w:p>
    <w:p>
      <w:pPr>
        <w:pStyle w:val="Compact"/>
        <w:numPr>
          <w:ilvl w:val="0"/>
          <w:numId w:val="1031"/>
        </w:numPr>
      </w:pPr>
      <w:r>
        <w:t xml:space="preserve">ERCOT / Texas</w:t>
      </w:r>
    </w:p>
    <w:p>
      <w:pPr>
        <w:pStyle w:val="FirstParagraph"/>
      </w:pPr>
      <w:r>
        <w:t xml:space="preserve">Future markets may include:</w:t>
      </w:r>
    </w:p>
    <w:p>
      <w:pPr>
        <w:pStyle w:val="Compact"/>
        <w:numPr>
          <w:ilvl w:val="0"/>
          <w:numId w:val="1032"/>
        </w:numPr>
      </w:pPr>
      <w:r>
        <w:t xml:space="preserve">PJM</w:t>
      </w:r>
    </w:p>
    <w:p>
      <w:pPr>
        <w:pStyle w:val="Compact"/>
        <w:numPr>
          <w:ilvl w:val="0"/>
          <w:numId w:val="1032"/>
        </w:numPr>
      </w:pPr>
      <w:r>
        <w:t xml:space="preserve">MISO</w:t>
      </w:r>
    </w:p>
    <w:p>
      <w:pPr>
        <w:pStyle w:val="Compact"/>
        <w:numPr>
          <w:ilvl w:val="0"/>
          <w:numId w:val="1032"/>
        </w:numPr>
      </w:pPr>
      <w:r>
        <w:t xml:space="preserve">SPP</w:t>
      </w:r>
    </w:p>
    <w:p>
      <w:pPr>
        <w:pStyle w:val="Compact"/>
        <w:numPr>
          <w:ilvl w:val="0"/>
          <w:numId w:val="1032"/>
        </w:numPr>
      </w:pPr>
      <w:r>
        <w:t xml:space="preserve">CAISO</w:t>
      </w:r>
    </w:p>
    <w:p>
      <w:pPr>
        <w:pStyle w:val="Compact"/>
        <w:numPr>
          <w:ilvl w:val="0"/>
          <w:numId w:val="1032"/>
        </w:numPr>
      </w:pPr>
      <w:r>
        <w:t xml:space="preserve">NYISO</w:t>
      </w:r>
    </w:p>
    <w:p>
      <w:pPr>
        <w:pStyle w:val="Compact"/>
        <w:numPr>
          <w:ilvl w:val="0"/>
          <w:numId w:val="1032"/>
        </w:numPr>
      </w:pPr>
      <w:r>
        <w:t xml:space="preserve">ISO-NE</w:t>
      </w:r>
    </w:p>
    <w:p>
      <w:pPr>
        <w:pStyle w:val="Compact"/>
        <w:numPr>
          <w:ilvl w:val="0"/>
          <w:numId w:val="1032"/>
        </w:numPr>
      </w:pPr>
      <w:r>
        <w:t xml:space="preserve">Southeast bilateral utility territories</w:t>
      </w:r>
    </w:p>
    <w:bookmarkEnd w:id="90"/>
    <w:bookmarkStart w:id="91" w:name="fr-010-utilitytspdsp-identification"/>
    <w:p>
      <w:pPr>
        <w:pStyle w:val="Heading3"/>
      </w:pPr>
      <w:r>
        <w:t xml:space="preserve">FR-010: Utility/TSP/DSP Identification</w:t>
      </w:r>
    </w:p>
    <w:p>
      <w:pPr>
        <w:pStyle w:val="FirstParagraph"/>
      </w:pPr>
      <w:r>
        <w:t xml:space="preserve">The system must identify the likely utility, TSP, DSP, or service provider based on available territory data.</w:t>
      </w:r>
    </w:p>
    <w:p>
      <w:pPr>
        <w:pStyle w:val="BodyText"/>
      </w:pPr>
      <w:r>
        <w:t xml:space="preserve">Each identification must include:</w:t>
      </w:r>
    </w:p>
    <w:p>
      <w:pPr>
        <w:pStyle w:val="Compact"/>
        <w:numPr>
          <w:ilvl w:val="0"/>
          <w:numId w:val="1033"/>
        </w:numPr>
      </w:pPr>
      <w:r>
        <w:t xml:space="preserve">Provider name</w:t>
      </w:r>
    </w:p>
    <w:p>
      <w:pPr>
        <w:pStyle w:val="Compact"/>
        <w:numPr>
          <w:ilvl w:val="0"/>
          <w:numId w:val="1033"/>
        </w:numPr>
      </w:pPr>
      <w:r>
        <w:t xml:space="preserve">Provider type</w:t>
      </w:r>
    </w:p>
    <w:p>
      <w:pPr>
        <w:pStyle w:val="Compact"/>
        <w:numPr>
          <w:ilvl w:val="0"/>
          <w:numId w:val="1033"/>
        </w:numPr>
      </w:pPr>
      <w:r>
        <w:t xml:space="preserve">Evidence source</w:t>
      </w:r>
    </w:p>
    <w:p>
      <w:pPr>
        <w:pStyle w:val="Compact"/>
        <w:numPr>
          <w:ilvl w:val="0"/>
          <w:numId w:val="1033"/>
        </w:numPr>
      </w:pPr>
      <w:r>
        <w:t xml:space="preserve">Confidence level</w:t>
      </w:r>
    </w:p>
    <w:p>
      <w:pPr>
        <w:pStyle w:val="Compact"/>
        <w:numPr>
          <w:ilvl w:val="0"/>
          <w:numId w:val="1033"/>
        </w:numPr>
      </w:pPr>
      <w:r>
        <w:t xml:space="preserve">Notes</w:t>
      </w:r>
    </w:p>
    <w:bookmarkEnd w:id="91"/>
    <w:bookmarkStart w:id="92" w:name="X27c7138da14aa55252e7956a9be7b0482c314bf"/>
    <w:p>
      <w:pPr>
        <w:pStyle w:val="Heading3"/>
      </w:pPr>
      <w:r>
        <w:t xml:space="preserve">FR-011: Interconnection Process Identification</w:t>
      </w:r>
    </w:p>
    <w:p>
      <w:pPr>
        <w:pStyle w:val="FirstParagraph"/>
      </w:pPr>
      <w:r>
        <w:t xml:space="preserve">The system must identify the likely interconnection process or diligence pathway.</w:t>
      </w:r>
    </w:p>
    <w:p>
      <w:pPr>
        <w:pStyle w:val="BodyText"/>
      </w:pPr>
      <w:r>
        <w:t xml:space="preserve">For MVP, supported pathways:</w:t>
      </w:r>
    </w:p>
    <w:p>
      <w:pPr>
        <w:pStyle w:val="Compact"/>
        <w:numPr>
          <w:ilvl w:val="0"/>
          <w:numId w:val="1034"/>
        </w:numPr>
      </w:pPr>
      <w:r>
        <w:t xml:space="preserve">ERCOT large-load pathway</w:t>
      </w:r>
    </w:p>
    <w:p>
      <w:pPr>
        <w:pStyle w:val="Compact"/>
        <w:numPr>
          <w:ilvl w:val="0"/>
          <w:numId w:val="1034"/>
        </w:numPr>
      </w:pPr>
      <w:r>
        <w:t xml:space="preserve">Utility/TSP-led preliminary service discussions</w:t>
      </w:r>
    </w:p>
    <w:p>
      <w:pPr>
        <w:pStyle w:val="Compact"/>
        <w:numPr>
          <w:ilvl w:val="0"/>
          <w:numId w:val="1034"/>
        </w:numPr>
      </w:pPr>
      <w:r>
        <w:t xml:space="preserve">Distribution-connected load pathway, if applicable</w:t>
      </w:r>
    </w:p>
    <w:p>
      <w:pPr>
        <w:pStyle w:val="Compact"/>
        <w:numPr>
          <w:ilvl w:val="0"/>
          <w:numId w:val="1034"/>
        </w:numPr>
      </w:pPr>
      <w:r>
        <w:t xml:space="preserve">Co-located generation/load pathway, if applicable</w:t>
      </w:r>
    </w:p>
    <w:p>
      <w:pPr>
        <w:pStyle w:val="Compact"/>
        <w:numPr>
          <w:ilvl w:val="0"/>
          <w:numId w:val="1034"/>
        </w:numPr>
      </w:pPr>
      <w:r>
        <w:t xml:space="preserve">Behind-the-meter or private-wire scenario, if applicable</w:t>
      </w:r>
    </w:p>
    <w:bookmarkEnd w:id="92"/>
    <w:bookmarkStart w:id="93" w:name="fr-012-process-uncertainty-flag"/>
    <w:p>
      <w:pPr>
        <w:pStyle w:val="Heading3"/>
      </w:pPr>
      <w:r>
        <w:t xml:space="preserve">FR-012: Process Uncertainty Flag</w:t>
      </w:r>
    </w:p>
    <w:p>
      <w:pPr>
        <w:pStyle w:val="FirstParagraph"/>
      </w:pPr>
      <w:r>
        <w:t xml:space="preserve">If the system cannot confidently identify the applicable process, it must flag this as a major diligence item.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interconnection-readiness"/>
    <w:p>
      <w:pPr>
        <w:pStyle w:val="Heading2"/>
      </w:pPr>
      <w:r>
        <w:t xml:space="preserve">7.4 Interconnection Readiness</w:t>
      </w:r>
    </w:p>
    <w:bookmarkStart w:id="95" w:name="fr-013-large-load-eligibility-check"/>
    <w:p>
      <w:pPr>
        <w:pStyle w:val="Heading3"/>
      </w:pPr>
      <w:r>
        <w:t xml:space="preserve">FR-013: Large-Load Eligibility Check</w:t>
      </w:r>
    </w:p>
    <w:p>
      <w:pPr>
        <w:pStyle w:val="FirstParagraph"/>
      </w:pPr>
      <w:r>
        <w:t xml:space="preserve">The system must determine whether the stated project size appears to meet or exceed the relevant large-load threshold for the selected market.</w:t>
      </w:r>
    </w:p>
    <w:p>
      <w:pPr>
        <w:pStyle w:val="BodyText"/>
      </w:pPr>
      <w:r>
        <w:t xml:space="preserve">For MVP, the system should flag sites at or above 75 MW in ERCOT as potentially subject to large-load interconnection requirements.</w:t>
      </w:r>
    </w:p>
    <w:bookmarkEnd w:id="95"/>
    <w:bookmarkStart w:id="96" w:name="fr-014-required-information-checklist"/>
    <w:p>
      <w:pPr>
        <w:pStyle w:val="Heading3"/>
      </w:pPr>
      <w:r>
        <w:t xml:space="preserve">FR-014: Required Information Checklist</w:t>
      </w:r>
    </w:p>
    <w:p>
      <w:pPr>
        <w:pStyle w:val="FirstParagraph"/>
      </w:pPr>
      <w:r>
        <w:t xml:space="preserve">The system must generate a checklist of information likely required for a large-load interconnection process.</w:t>
      </w:r>
    </w:p>
    <w:p>
      <w:pPr>
        <w:pStyle w:val="BodyText"/>
      </w:pPr>
      <w:r>
        <w:t xml:space="preserve">Checklist categories:</w:t>
      </w:r>
    </w:p>
    <w:p>
      <w:pPr>
        <w:pStyle w:val="Compact"/>
        <w:numPr>
          <w:ilvl w:val="0"/>
          <w:numId w:val="1035"/>
        </w:numPr>
      </w:pPr>
      <w:r>
        <w:t xml:space="preserve">Site ownership/control</w:t>
      </w:r>
    </w:p>
    <w:p>
      <w:pPr>
        <w:pStyle w:val="Compact"/>
        <w:numPr>
          <w:ilvl w:val="0"/>
          <w:numId w:val="1035"/>
        </w:numPr>
      </w:pPr>
      <w:r>
        <w:t xml:space="preserve">Legal entity</w:t>
      </w:r>
    </w:p>
    <w:p>
      <w:pPr>
        <w:pStyle w:val="Compact"/>
        <w:numPr>
          <w:ilvl w:val="0"/>
          <w:numId w:val="1035"/>
        </w:numPr>
      </w:pPr>
      <w:r>
        <w:t xml:space="preserve">Load size</w:t>
      </w:r>
    </w:p>
    <w:p>
      <w:pPr>
        <w:pStyle w:val="Compact"/>
        <w:numPr>
          <w:ilvl w:val="0"/>
          <w:numId w:val="1035"/>
        </w:numPr>
      </w:pPr>
      <w:r>
        <w:t xml:space="preserve">Load ramp schedule</w:t>
      </w:r>
    </w:p>
    <w:p>
      <w:pPr>
        <w:pStyle w:val="Compact"/>
        <w:numPr>
          <w:ilvl w:val="0"/>
          <w:numId w:val="1035"/>
        </w:numPr>
      </w:pPr>
      <w:r>
        <w:t xml:space="preserve">Requested energization date</w:t>
      </w:r>
    </w:p>
    <w:p>
      <w:pPr>
        <w:pStyle w:val="Compact"/>
        <w:numPr>
          <w:ilvl w:val="0"/>
          <w:numId w:val="1035"/>
        </w:numPr>
      </w:pPr>
      <w:r>
        <w:t xml:space="preserve">Electrical one-line diagram</w:t>
      </w:r>
    </w:p>
    <w:p>
      <w:pPr>
        <w:pStyle w:val="Compact"/>
        <w:numPr>
          <w:ilvl w:val="0"/>
          <w:numId w:val="1035"/>
        </w:numPr>
      </w:pPr>
      <w:r>
        <w:t xml:space="preserve">Load model</w:t>
      </w:r>
    </w:p>
    <w:p>
      <w:pPr>
        <w:pStyle w:val="Compact"/>
        <w:numPr>
          <w:ilvl w:val="0"/>
          <w:numId w:val="1035"/>
        </w:numPr>
      </w:pPr>
      <w:r>
        <w:t xml:space="preserve">Protection settings</w:t>
      </w:r>
    </w:p>
    <w:p>
      <w:pPr>
        <w:pStyle w:val="Compact"/>
        <w:numPr>
          <w:ilvl w:val="0"/>
          <w:numId w:val="1035"/>
        </w:numPr>
      </w:pPr>
      <w:r>
        <w:t xml:space="preserve">Voltage ride-through capability</w:t>
      </w:r>
    </w:p>
    <w:p>
      <w:pPr>
        <w:pStyle w:val="Compact"/>
        <w:numPr>
          <w:ilvl w:val="0"/>
          <w:numId w:val="1035"/>
        </w:numPr>
      </w:pPr>
      <w:r>
        <w:t xml:space="preserve">Frequency ride-through capability</w:t>
      </w:r>
    </w:p>
    <w:p>
      <w:pPr>
        <w:pStyle w:val="Compact"/>
        <w:numPr>
          <w:ilvl w:val="0"/>
          <w:numId w:val="1035"/>
        </w:numPr>
      </w:pPr>
      <w:r>
        <w:t xml:space="preserve">Backup generation configuration</w:t>
      </w:r>
    </w:p>
    <w:p>
      <w:pPr>
        <w:pStyle w:val="Compact"/>
        <w:numPr>
          <w:ilvl w:val="0"/>
          <w:numId w:val="1035"/>
        </w:numPr>
      </w:pPr>
      <w:r>
        <w:t xml:space="preserve">Battery/storage configuration</w:t>
      </w:r>
    </w:p>
    <w:p>
      <w:pPr>
        <w:pStyle w:val="Compact"/>
        <w:numPr>
          <w:ilvl w:val="0"/>
          <w:numId w:val="1035"/>
        </w:numPr>
      </w:pPr>
      <w:r>
        <w:t xml:space="preserve">UPS configuration</w:t>
      </w:r>
    </w:p>
    <w:p>
      <w:pPr>
        <w:pStyle w:val="Compact"/>
        <w:numPr>
          <w:ilvl w:val="0"/>
          <w:numId w:val="1035"/>
        </w:numPr>
      </w:pPr>
      <w:r>
        <w:t xml:space="preserve">Telemetry and metering</w:t>
      </w:r>
    </w:p>
    <w:p>
      <w:pPr>
        <w:pStyle w:val="Compact"/>
        <w:numPr>
          <w:ilvl w:val="0"/>
          <w:numId w:val="1035"/>
        </w:numPr>
      </w:pPr>
      <w:r>
        <w:t xml:space="preserve">Curtailment capability</w:t>
      </w:r>
    </w:p>
    <w:p>
      <w:pPr>
        <w:pStyle w:val="Compact"/>
        <w:numPr>
          <w:ilvl w:val="0"/>
          <w:numId w:val="1035"/>
        </w:numPr>
      </w:pPr>
      <w:r>
        <w:t xml:space="preserve">Commissioning plan</w:t>
      </w:r>
    </w:p>
    <w:p>
      <w:pPr>
        <w:pStyle w:val="Compact"/>
        <w:numPr>
          <w:ilvl w:val="0"/>
          <w:numId w:val="1035"/>
        </w:numPr>
      </w:pPr>
      <w:r>
        <w:t xml:space="preserve">Financial security</w:t>
      </w:r>
    </w:p>
    <w:p>
      <w:pPr>
        <w:pStyle w:val="Compact"/>
        <w:numPr>
          <w:ilvl w:val="0"/>
          <w:numId w:val="1035"/>
        </w:numPr>
      </w:pPr>
      <w:r>
        <w:t xml:space="preserve">Point-of-interconnection assumptions</w:t>
      </w:r>
    </w:p>
    <w:p>
      <w:pPr>
        <w:pStyle w:val="Compact"/>
        <w:numPr>
          <w:ilvl w:val="0"/>
          <w:numId w:val="1035"/>
        </w:numPr>
      </w:pPr>
      <w:r>
        <w:t xml:space="preserve">Studies already completed</w:t>
      </w:r>
    </w:p>
    <w:p>
      <w:pPr>
        <w:pStyle w:val="Compact"/>
        <w:numPr>
          <w:ilvl w:val="0"/>
          <w:numId w:val="1035"/>
        </w:numPr>
      </w:pPr>
      <w:r>
        <w:t xml:space="preserve">Utility/TSP communications</w:t>
      </w:r>
    </w:p>
    <w:bookmarkEnd w:id="96"/>
    <w:bookmarkStart w:id="97" w:name="fr-015-missing-diligence-identification"/>
    <w:p>
      <w:pPr>
        <w:pStyle w:val="Heading3"/>
      </w:pPr>
      <w:r>
        <w:t xml:space="preserve">FR-015: Missing Diligence Identification</w:t>
      </w:r>
    </w:p>
    <w:p>
      <w:pPr>
        <w:pStyle w:val="FirstParagraph"/>
      </w:pPr>
      <w:r>
        <w:t xml:space="preserve">The system must identify missing or weak inputs.</w:t>
      </w:r>
    </w:p>
    <w:p>
      <w:pPr>
        <w:pStyle w:val="BodyText"/>
      </w:pPr>
      <w:r>
        <w:t xml:space="preserve">Missing items should be categorised as:</w:t>
      </w:r>
    </w:p>
    <w:p>
      <w:pPr>
        <w:pStyle w:val="Compact"/>
        <w:numPr>
          <w:ilvl w:val="0"/>
          <w:numId w:val="1036"/>
        </w:numPr>
      </w:pPr>
      <w:r>
        <w:t xml:space="preserve">Critical blocker</w:t>
      </w:r>
    </w:p>
    <w:p>
      <w:pPr>
        <w:pStyle w:val="Compact"/>
        <w:numPr>
          <w:ilvl w:val="0"/>
          <w:numId w:val="1036"/>
        </w:numPr>
      </w:pPr>
      <w:r>
        <w:t xml:space="preserve">High-priority missing item</w:t>
      </w:r>
    </w:p>
    <w:p>
      <w:pPr>
        <w:pStyle w:val="Compact"/>
        <w:numPr>
          <w:ilvl w:val="0"/>
          <w:numId w:val="1036"/>
        </w:numPr>
      </w:pPr>
      <w:r>
        <w:t xml:space="preserve">Medium-priority missing item</w:t>
      </w:r>
    </w:p>
    <w:p>
      <w:pPr>
        <w:pStyle w:val="Compact"/>
        <w:numPr>
          <w:ilvl w:val="0"/>
          <w:numId w:val="1036"/>
        </w:numPr>
      </w:pPr>
      <w:r>
        <w:t xml:space="preserve">Nice-to-have</w:t>
      </w:r>
    </w:p>
    <w:p>
      <w:pPr>
        <w:pStyle w:val="Compact"/>
        <w:numPr>
          <w:ilvl w:val="0"/>
          <w:numId w:val="1036"/>
        </w:numPr>
      </w:pPr>
      <w:r>
        <w:t xml:space="preserve">Not applicable</w:t>
      </w:r>
    </w:p>
    <w:bookmarkEnd w:id="97"/>
    <w:bookmarkStart w:id="98" w:name="fr-016-interconnection-readiness-score"/>
    <w:p>
      <w:pPr>
        <w:pStyle w:val="Heading3"/>
      </w:pPr>
      <w:r>
        <w:t xml:space="preserve">FR-016: Interconnection Readiness Score</w:t>
      </w:r>
    </w:p>
    <w:p>
      <w:pPr>
        <w:pStyle w:val="FirstParagraph"/>
      </w:pPr>
      <w:r>
        <w:t xml:space="preserve">The system must calculate an Interconnection Readiness Score from 0 to 100.</w:t>
      </w:r>
    </w:p>
    <w:p>
      <w:pPr>
        <w:pStyle w:val="BodyText"/>
      </w:pPr>
      <w:r>
        <w:t xml:space="preserve">Suggested interpretation:</w:t>
      </w:r>
    </w:p>
    <w:p>
      <w:pPr>
        <w:pStyle w:val="Compact"/>
        <w:numPr>
          <w:ilvl w:val="0"/>
          <w:numId w:val="1037"/>
        </w:numPr>
      </w:pPr>
      <w:r>
        <w:t xml:space="preserve">0–25: Not ready</w:t>
      </w:r>
    </w:p>
    <w:p>
      <w:pPr>
        <w:pStyle w:val="Compact"/>
        <w:numPr>
          <w:ilvl w:val="0"/>
          <w:numId w:val="1037"/>
        </w:numPr>
      </w:pPr>
      <w:r>
        <w:t xml:space="preserve">26–50: Early diligence only</w:t>
      </w:r>
    </w:p>
    <w:p>
      <w:pPr>
        <w:pStyle w:val="Compact"/>
        <w:numPr>
          <w:ilvl w:val="0"/>
          <w:numId w:val="1037"/>
        </w:numPr>
      </w:pPr>
      <w:r>
        <w:t xml:space="preserve">51–70: Partially ready</w:t>
      </w:r>
    </w:p>
    <w:p>
      <w:pPr>
        <w:pStyle w:val="Compact"/>
        <w:numPr>
          <w:ilvl w:val="0"/>
          <w:numId w:val="1037"/>
        </w:numPr>
      </w:pPr>
      <w:r>
        <w:t xml:space="preserve">71–85: Good readiness</w:t>
      </w:r>
    </w:p>
    <w:p>
      <w:pPr>
        <w:pStyle w:val="Compact"/>
        <w:numPr>
          <w:ilvl w:val="0"/>
          <w:numId w:val="1037"/>
        </w:numPr>
      </w:pPr>
      <w:r>
        <w:t xml:space="preserve">86–100: Strong readiness</w:t>
      </w:r>
    </w:p>
    <w:bookmarkEnd w:id="98"/>
    <w:bookmarkStart w:id="99" w:name="fr-017-interconnection-risk-narrative"/>
    <w:p>
      <w:pPr>
        <w:pStyle w:val="Heading3"/>
      </w:pPr>
      <w:r>
        <w:t xml:space="preserve">FR-017: Interconnection Risk Narrative</w:t>
      </w:r>
    </w:p>
    <w:p>
      <w:pPr>
        <w:pStyle w:val="FirstParagraph"/>
      </w:pPr>
      <w:r>
        <w:t xml:space="preserve">The system must generate a plain-English summary explaining why the site appears ready or not ready.</w:t>
      </w:r>
    </w:p>
    <w:p>
      <w:pPr>
        <w:pStyle w:val="BodyText"/>
      </w:pPr>
      <w:r>
        <w:t xml:space="preserve">The narrative must include:</w:t>
      </w:r>
    </w:p>
    <w:p>
      <w:pPr>
        <w:pStyle w:val="Compact"/>
        <w:numPr>
          <w:ilvl w:val="0"/>
          <w:numId w:val="1038"/>
        </w:numPr>
      </w:pPr>
      <w:r>
        <w:t xml:space="preserve">Relevant process</w:t>
      </w:r>
    </w:p>
    <w:p>
      <w:pPr>
        <w:pStyle w:val="Compact"/>
        <w:numPr>
          <w:ilvl w:val="0"/>
          <w:numId w:val="1038"/>
        </w:numPr>
      </w:pPr>
      <w:r>
        <w:t xml:space="preserve">Missing inputs</w:t>
      </w:r>
    </w:p>
    <w:p>
      <w:pPr>
        <w:pStyle w:val="Compact"/>
        <w:numPr>
          <w:ilvl w:val="0"/>
          <w:numId w:val="1038"/>
        </w:numPr>
      </w:pPr>
      <w:r>
        <w:t xml:space="preserve">Likely blockers</w:t>
      </w:r>
    </w:p>
    <w:p>
      <w:pPr>
        <w:pStyle w:val="Compact"/>
        <w:numPr>
          <w:ilvl w:val="0"/>
          <w:numId w:val="1038"/>
        </w:numPr>
      </w:pPr>
      <w:r>
        <w:t xml:space="preserve">Required next steps</w:t>
      </w:r>
    </w:p>
    <w:p>
      <w:pPr>
        <w:pStyle w:val="Compact"/>
        <w:numPr>
          <w:ilvl w:val="0"/>
          <w:numId w:val="1038"/>
        </w:numPr>
      </w:pPr>
      <w:r>
        <w:t xml:space="preserve">Assumption caveats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grid-reliability-risk"/>
    <w:p>
      <w:pPr>
        <w:pStyle w:val="Heading2"/>
      </w:pPr>
      <w:r>
        <w:t xml:space="preserve">7.5 Grid Reliability Risk</w:t>
      </w:r>
    </w:p>
    <w:bookmarkStart w:id="101" w:name="fr-018-reliability-risk-checklist"/>
    <w:p>
      <w:pPr>
        <w:pStyle w:val="Heading3"/>
      </w:pPr>
      <w:r>
        <w:t xml:space="preserve">FR-018: Reliability Risk Checklist</w:t>
      </w:r>
    </w:p>
    <w:p>
      <w:pPr>
        <w:pStyle w:val="FirstParagraph"/>
      </w:pPr>
      <w:r>
        <w:t xml:space="preserve">The system must generate a reliability-risk checklist.</w:t>
      </w:r>
    </w:p>
    <w:p>
      <w:pPr>
        <w:pStyle w:val="BodyText"/>
      </w:pPr>
      <w:r>
        <w:t xml:space="preserve">Checklist categories:</w:t>
      </w:r>
    </w:p>
    <w:p>
      <w:pPr>
        <w:pStyle w:val="Compact"/>
        <w:numPr>
          <w:ilvl w:val="0"/>
          <w:numId w:val="1039"/>
        </w:numPr>
      </w:pPr>
      <w:r>
        <w:t xml:space="preserve">Voltage ride-through capability</w:t>
      </w:r>
    </w:p>
    <w:p>
      <w:pPr>
        <w:pStyle w:val="Compact"/>
        <w:numPr>
          <w:ilvl w:val="0"/>
          <w:numId w:val="1039"/>
        </w:numPr>
      </w:pPr>
      <w:r>
        <w:t xml:space="preserve">Frequency ride-through capability</w:t>
      </w:r>
    </w:p>
    <w:p>
      <w:pPr>
        <w:pStyle w:val="Compact"/>
        <w:numPr>
          <w:ilvl w:val="0"/>
          <w:numId w:val="1039"/>
        </w:numPr>
      </w:pPr>
      <w:r>
        <w:t xml:space="preserve">Protection settings</w:t>
      </w:r>
    </w:p>
    <w:p>
      <w:pPr>
        <w:pStyle w:val="Compact"/>
        <w:numPr>
          <w:ilvl w:val="0"/>
          <w:numId w:val="1039"/>
        </w:numPr>
      </w:pPr>
      <w:r>
        <w:t xml:space="preserve">UPS behaviour</w:t>
      </w:r>
    </w:p>
    <w:p>
      <w:pPr>
        <w:pStyle w:val="Compact"/>
        <w:numPr>
          <w:ilvl w:val="0"/>
          <w:numId w:val="1039"/>
        </w:numPr>
      </w:pPr>
      <w:r>
        <w:t xml:space="preserve">Backup generation transition behaviour</w:t>
      </w:r>
    </w:p>
    <w:p>
      <w:pPr>
        <w:pStyle w:val="Compact"/>
        <w:numPr>
          <w:ilvl w:val="0"/>
          <w:numId w:val="1039"/>
        </w:numPr>
      </w:pPr>
      <w:r>
        <w:t xml:space="preserve">Battery/storage control behaviour</w:t>
      </w:r>
    </w:p>
    <w:p>
      <w:pPr>
        <w:pStyle w:val="Compact"/>
        <w:numPr>
          <w:ilvl w:val="0"/>
          <w:numId w:val="1039"/>
        </w:numPr>
      </w:pPr>
      <w:r>
        <w:t xml:space="preserve">Sudden load drop risk</w:t>
      </w:r>
    </w:p>
    <w:p>
      <w:pPr>
        <w:pStyle w:val="Compact"/>
        <w:numPr>
          <w:ilvl w:val="0"/>
          <w:numId w:val="1039"/>
        </w:numPr>
      </w:pPr>
      <w:r>
        <w:t xml:space="preserve">Staged ramping capability</w:t>
      </w:r>
    </w:p>
    <w:p>
      <w:pPr>
        <w:pStyle w:val="Compact"/>
        <w:numPr>
          <w:ilvl w:val="0"/>
          <w:numId w:val="1039"/>
        </w:numPr>
      </w:pPr>
      <w:r>
        <w:t xml:space="preserve">Telemetry and observability</w:t>
      </w:r>
    </w:p>
    <w:p>
      <w:pPr>
        <w:pStyle w:val="Compact"/>
        <w:numPr>
          <w:ilvl w:val="0"/>
          <w:numId w:val="1039"/>
        </w:numPr>
      </w:pPr>
      <w:r>
        <w:t xml:space="preserve">Dynamic model availability</w:t>
      </w:r>
    </w:p>
    <w:p>
      <w:pPr>
        <w:pStyle w:val="Compact"/>
        <w:numPr>
          <w:ilvl w:val="0"/>
          <w:numId w:val="1039"/>
        </w:numPr>
      </w:pPr>
      <w:r>
        <w:t xml:space="preserve">Commissioning plan</w:t>
      </w:r>
    </w:p>
    <w:p>
      <w:pPr>
        <w:pStyle w:val="Compact"/>
        <w:numPr>
          <w:ilvl w:val="0"/>
          <w:numId w:val="1039"/>
        </w:numPr>
      </w:pPr>
      <w:r>
        <w:t xml:space="preserve">Disturbance response plan</w:t>
      </w:r>
    </w:p>
    <w:p>
      <w:pPr>
        <w:pStyle w:val="Compact"/>
        <w:numPr>
          <w:ilvl w:val="0"/>
          <w:numId w:val="1039"/>
        </w:numPr>
      </w:pPr>
      <w:r>
        <w:t xml:space="preserve">Reactive power considerations</w:t>
      </w:r>
    </w:p>
    <w:p>
      <w:pPr>
        <w:pStyle w:val="Compact"/>
        <w:numPr>
          <w:ilvl w:val="0"/>
          <w:numId w:val="1039"/>
        </w:numPr>
      </w:pPr>
      <w:r>
        <w:t xml:space="preserve">Harmonics/power quality, if known</w:t>
      </w:r>
    </w:p>
    <w:p>
      <w:pPr>
        <w:pStyle w:val="Compact"/>
        <w:numPr>
          <w:ilvl w:val="0"/>
          <w:numId w:val="1039"/>
        </w:numPr>
      </w:pPr>
      <w:r>
        <w:t xml:space="preserve">Co-located generation interaction, if applicable</w:t>
      </w:r>
    </w:p>
    <w:bookmarkEnd w:id="101"/>
    <w:bookmarkStart w:id="102" w:name="fr-019-ride-through-risk-flag"/>
    <w:p>
      <w:pPr>
        <w:pStyle w:val="Heading3"/>
      </w:pPr>
      <w:r>
        <w:t xml:space="preserve">FR-019: Ride-Through Risk Flag</w:t>
      </w:r>
    </w:p>
    <w:p>
      <w:pPr>
        <w:pStyle w:val="FirstParagraph"/>
      </w:pPr>
      <w:r>
        <w:t xml:space="preserve">The system must flag unknown or unsupported ride-through assumptions as high-risk for large electronic load projects.</w:t>
      </w:r>
    </w:p>
    <w:bookmarkEnd w:id="102"/>
    <w:bookmarkStart w:id="103" w:name="fr-020-sudden-load-drop-risk"/>
    <w:p>
      <w:pPr>
        <w:pStyle w:val="Heading3"/>
      </w:pPr>
      <w:r>
        <w:t xml:space="preserve">FR-020: Sudden Load Drop Risk</w:t>
      </w:r>
    </w:p>
    <w:p>
      <w:pPr>
        <w:pStyle w:val="FirstParagraph"/>
      </w:pPr>
      <w:r>
        <w:t xml:space="preserve">The system must capture whether a large portion of site load could disconnect rapidly during grid disturbances.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40"/>
        </w:numPr>
      </w:pPr>
      <w:r>
        <w:t xml:space="preserve">Estimated total load</w:t>
      </w:r>
    </w:p>
    <w:p>
      <w:pPr>
        <w:pStyle w:val="Compact"/>
        <w:numPr>
          <w:ilvl w:val="0"/>
          <w:numId w:val="1040"/>
        </w:numPr>
      </w:pPr>
      <w:r>
        <w:t xml:space="preserve">Estimated interruptible load</w:t>
      </w:r>
    </w:p>
    <w:p>
      <w:pPr>
        <w:pStyle w:val="Compact"/>
        <w:numPr>
          <w:ilvl w:val="0"/>
          <w:numId w:val="1040"/>
        </w:numPr>
      </w:pPr>
      <w:r>
        <w:t xml:space="preserve">Estimated load that could trip simultaneously</w:t>
      </w:r>
    </w:p>
    <w:p>
      <w:pPr>
        <w:pStyle w:val="Compact"/>
        <w:numPr>
          <w:ilvl w:val="0"/>
          <w:numId w:val="1040"/>
        </w:numPr>
      </w:pPr>
      <w:r>
        <w:t xml:space="preserve">Known UPS behaviour</w:t>
      </w:r>
    </w:p>
    <w:p>
      <w:pPr>
        <w:pStyle w:val="Compact"/>
        <w:numPr>
          <w:ilvl w:val="0"/>
          <w:numId w:val="1040"/>
        </w:numPr>
      </w:pPr>
      <w:r>
        <w:t xml:space="preserve">Known protection settings</w:t>
      </w:r>
    </w:p>
    <w:p>
      <w:pPr>
        <w:pStyle w:val="Compact"/>
        <w:numPr>
          <w:ilvl w:val="0"/>
          <w:numId w:val="1040"/>
        </w:numPr>
      </w:pPr>
      <w:r>
        <w:t xml:space="preserve">Known staged trip settings</w:t>
      </w:r>
    </w:p>
    <w:p>
      <w:pPr>
        <w:pStyle w:val="Compact"/>
        <w:numPr>
          <w:ilvl w:val="0"/>
          <w:numId w:val="1040"/>
        </w:numPr>
      </w:pPr>
      <w:r>
        <w:t xml:space="preserve">Confidence level</w:t>
      </w:r>
    </w:p>
    <w:bookmarkEnd w:id="103"/>
    <w:bookmarkStart w:id="104" w:name="fr-021-reliability-readiness-score"/>
    <w:p>
      <w:pPr>
        <w:pStyle w:val="Heading3"/>
      </w:pPr>
      <w:r>
        <w:t xml:space="preserve">FR-021: Reliability Readiness Score</w:t>
      </w:r>
    </w:p>
    <w:p>
      <w:pPr>
        <w:pStyle w:val="FirstParagraph"/>
      </w:pPr>
      <w:r>
        <w:t xml:space="preserve">The system must calculate a Reliability Readiness Score from 0 to 100.</w:t>
      </w:r>
    </w:p>
    <w:p>
      <w:pPr>
        <w:pStyle w:val="BodyText"/>
      </w:pPr>
      <w:r>
        <w:t xml:space="preserve">Suggested interpretation:</w:t>
      </w:r>
    </w:p>
    <w:p>
      <w:pPr>
        <w:pStyle w:val="Compact"/>
        <w:numPr>
          <w:ilvl w:val="0"/>
          <w:numId w:val="1041"/>
        </w:numPr>
      </w:pPr>
      <w:r>
        <w:t xml:space="preserve">0–25: Severe reliability uncertainty</w:t>
      </w:r>
    </w:p>
    <w:p>
      <w:pPr>
        <w:pStyle w:val="Compact"/>
        <w:numPr>
          <w:ilvl w:val="0"/>
          <w:numId w:val="1041"/>
        </w:numPr>
      </w:pPr>
      <w:r>
        <w:t xml:space="preserve">26–50: Material reliability gaps</w:t>
      </w:r>
    </w:p>
    <w:p>
      <w:pPr>
        <w:pStyle w:val="Compact"/>
        <w:numPr>
          <w:ilvl w:val="0"/>
          <w:numId w:val="1041"/>
        </w:numPr>
      </w:pPr>
      <w:r>
        <w:t xml:space="preserve">51–70: Moderate readiness</w:t>
      </w:r>
    </w:p>
    <w:p>
      <w:pPr>
        <w:pStyle w:val="Compact"/>
        <w:numPr>
          <w:ilvl w:val="0"/>
          <w:numId w:val="1041"/>
        </w:numPr>
      </w:pPr>
      <w:r>
        <w:t xml:space="preserve">71–85: Good readiness</w:t>
      </w:r>
    </w:p>
    <w:p>
      <w:pPr>
        <w:pStyle w:val="Compact"/>
        <w:numPr>
          <w:ilvl w:val="0"/>
          <w:numId w:val="1041"/>
        </w:numPr>
      </w:pPr>
      <w:r>
        <w:t xml:space="preserve">86–100: Strong readiness</w:t>
      </w:r>
    </w:p>
    <w:bookmarkEnd w:id="104"/>
    <w:bookmarkStart w:id="105" w:name="fr-022-expert-review-trigger"/>
    <w:p>
      <w:pPr>
        <w:pStyle w:val="Heading3"/>
      </w:pPr>
      <w:r>
        <w:t xml:space="preserve">FR-022: Expert Review Trigger</w:t>
      </w:r>
    </w:p>
    <w:p>
      <w:pPr>
        <w:pStyle w:val="FirstParagraph"/>
      </w:pPr>
      <w:r>
        <w:t xml:space="preserve">The system must require expert review if:</w:t>
      </w:r>
    </w:p>
    <w:p>
      <w:pPr>
        <w:pStyle w:val="Compact"/>
        <w:numPr>
          <w:ilvl w:val="0"/>
          <w:numId w:val="1042"/>
        </w:numPr>
      </w:pPr>
      <w:r>
        <w:t xml:space="preserve">Target load is 75 MW or greater</w:t>
      </w:r>
    </w:p>
    <w:p>
      <w:pPr>
        <w:pStyle w:val="Compact"/>
        <w:numPr>
          <w:ilvl w:val="0"/>
          <w:numId w:val="1042"/>
        </w:numPr>
      </w:pPr>
      <w:r>
        <w:t xml:space="preserve">Ride-through settings are unknown</w:t>
      </w:r>
    </w:p>
    <w:p>
      <w:pPr>
        <w:pStyle w:val="Compact"/>
        <w:numPr>
          <w:ilvl w:val="0"/>
          <w:numId w:val="1042"/>
        </w:numPr>
      </w:pPr>
      <w:r>
        <w:t xml:space="preserve">Backup generation is part of the power strategy</w:t>
      </w:r>
    </w:p>
    <w:p>
      <w:pPr>
        <w:pStyle w:val="Compact"/>
        <w:numPr>
          <w:ilvl w:val="0"/>
          <w:numId w:val="1042"/>
        </w:numPr>
      </w:pPr>
      <w:r>
        <w:t xml:space="preserve">Battery/storage is part of the power strategy</w:t>
      </w:r>
    </w:p>
    <w:p>
      <w:pPr>
        <w:pStyle w:val="Compact"/>
        <w:numPr>
          <w:ilvl w:val="0"/>
          <w:numId w:val="1042"/>
        </w:numPr>
      </w:pPr>
      <w:r>
        <w:t xml:space="preserve">Co-located generation is part of the power strategy</w:t>
      </w:r>
    </w:p>
    <w:p>
      <w:pPr>
        <w:pStyle w:val="Compact"/>
        <w:numPr>
          <w:ilvl w:val="0"/>
          <w:numId w:val="1042"/>
        </w:numPr>
      </w:pPr>
      <w:r>
        <w:t xml:space="preserve">Analyst marks reliability risk as high</w:t>
      </w:r>
    </w:p>
    <w:p>
      <w:pPr>
        <w:pStyle w:val="Compact"/>
        <w:numPr>
          <w:ilvl w:val="0"/>
          <w:numId w:val="1042"/>
        </w:numPr>
      </w:pPr>
      <w:r>
        <w:t xml:space="preserve">Customer intends energization within 24 months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energy-economics-and-congestion"/>
    <w:p>
      <w:pPr>
        <w:pStyle w:val="Heading2"/>
      </w:pPr>
      <w:r>
        <w:t xml:space="preserve">7.6 Energy Economics and Congestion</w:t>
      </w:r>
    </w:p>
    <w:bookmarkStart w:id="107" w:name="fr-023-power-market-zone-identification"/>
    <w:p>
      <w:pPr>
        <w:pStyle w:val="Heading3"/>
      </w:pPr>
      <w:r>
        <w:t xml:space="preserve">FR-023: Power Market Zone Identification</w:t>
      </w:r>
    </w:p>
    <w:p>
      <w:pPr>
        <w:pStyle w:val="FirstParagraph"/>
      </w:pPr>
      <w:r>
        <w:t xml:space="preserve">The system must identify the relevant power pricing zone, hub, load zone, or market region where available.</w:t>
      </w:r>
    </w:p>
    <w:bookmarkEnd w:id="107"/>
    <w:bookmarkStart w:id="108" w:name="fr-024-congestion-risk-summary"/>
    <w:p>
      <w:pPr>
        <w:pStyle w:val="Heading3"/>
      </w:pPr>
      <w:r>
        <w:t xml:space="preserve">FR-024: Congestion Risk Summary</w:t>
      </w:r>
    </w:p>
    <w:p>
      <w:pPr>
        <w:pStyle w:val="FirstParagraph"/>
      </w:pPr>
      <w:r>
        <w:t xml:space="preserve">The system must provide a qualitative congestion-risk view based on available market and grid data.</w:t>
      </w:r>
    </w:p>
    <w:p>
      <w:pPr>
        <w:pStyle w:val="BodyText"/>
      </w:pPr>
      <w:r>
        <w:t xml:space="preserve">Risk categories:</w:t>
      </w:r>
    </w:p>
    <w:p>
      <w:pPr>
        <w:pStyle w:val="Compact"/>
        <w:numPr>
          <w:ilvl w:val="0"/>
          <w:numId w:val="1043"/>
        </w:numPr>
      </w:pPr>
      <w:r>
        <w:t xml:space="preserve">Low</w:t>
      </w:r>
    </w:p>
    <w:p>
      <w:pPr>
        <w:pStyle w:val="Compact"/>
        <w:numPr>
          <w:ilvl w:val="0"/>
          <w:numId w:val="1043"/>
        </w:numPr>
      </w:pPr>
      <w:r>
        <w:t xml:space="preserve">Moderate</w:t>
      </w:r>
    </w:p>
    <w:p>
      <w:pPr>
        <w:pStyle w:val="Compact"/>
        <w:numPr>
          <w:ilvl w:val="0"/>
          <w:numId w:val="1043"/>
        </w:numPr>
      </w:pPr>
      <w:r>
        <w:t xml:space="preserve">High</w:t>
      </w:r>
    </w:p>
    <w:p>
      <w:pPr>
        <w:pStyle w:val="Compact"/>
        <w:numPr>
          <w:ilvl w:val="0"/>
          <w:numId w:val="1043"/>
        </w:numPr>
      </w:pPr>
      <w:r>
        <w:t xml:space="preserve">Unknown</w:t>
      </w:r>
    </w:p>
    <w:bookmarkEnd w:id="108"/>
    <w:bookmarkStart w:id="109" w:name="fr-025-nearby-generation-summary"/>
    <w:p>
      <w:pPr>
        <w:pStyle w:val="Heading3"/>
      </w:pPr>
      <w:r>
        <w:t xml:space="preserve">FR-025: Nearby Generation Summary</w:t>
      </w:r>
    </w:p>
    <w:p>
      <w:pPr>
        <w:pStyle w:val="FirstParagraph"/>
      </w:pPr>
      <w:r>
        <w:t xml:space="preserve">The system must identify nearby generation assets where available.</w:t>
      </w:r>
    </w:p>
    <w:p>
      <w:pPr>
        <w:pStyle w:val="BodyText"/>
      </w:pPr>
      <w:r>
        <w:t xml:space="preserve">For each asset:</w:t>
      </w:r>
    </w:p>
    <w:p>
      <w:pPr>
        <w:pStyle w:val="Compact"/>
        <w:numPr>
          <w:ilvl w:val="0"/>
          <w:numId w:val="1044"/>
        </w:numPr>
      </w:pPr>
      <w:r>
        <w:t xml:space="preserve">Name</w:t>
      </w:r>
    </w:p>
    <w:p>
      <w:pPr>
        <w:pStyle w:val="Compact"/>
        <w:numPr>
          <w:ilvl w:val="0"/>
          <w:numId w:val="1044"/>
        </w:numPr>
      </w:pPr>
      <w:r>
        <w:t xml:space="preserve">Technology type</w:t>
      </w:r>
    </w:p>
    <w:p>
      <w:pPr>
        <w:pStyle w:val="Compact"/>
        <w:numPr>
          <w:ilvl w:val="0"/>
          <w:numId w:val="1044"/>
        </w:numPr>
      </w:pPr>
      <w:r>
        <w:t xml:space="preserve">Capacity</w:t>
      </w:r>
    </w:p>
    <w:p>
      <w:pPr>
        <w:pStyle w:val="Compact"/>
        <w:numPr>
          <w:ilvl w:val="0"/>
          <w:numId w:val="1044"/>
        </w:numPr>
      </w:pPr>
      <w:r>
        <w:t xml:space="preserve">Operating/planned status, if available</w:t>
      </w:r>
    </w:p>
    <w:p>
      <w:pPr>
        <w:pStyle w:val="Compact"/>
        <w:numPr>
          <w:ilvl w:val="0"/>
          <w:numId w:val="1044"/>
        </w:numPr>
      </w:pPr>
      <w:r>
        <w:t xml:space="preserve">Distance</w:t>
      </w:r>
    </w:p>
    <w:p>
      <w:pPr>
        <w:pStyle w:val="Compact"/>
        <w:numPr>
          <w:ilvl w:val="0"/>
          <w:numId w:val="1044"/>
        </w:numPr>
      </w:pPr>
      <w:r>
        <w:t xml:space="preserve">Owner/operator, if available</w:t>
      </w:r>
    </w:p>
    <w:p>
      <w:pPr>
        <w:pStyle w:val="Compact"/>
        <w:numPr>
          <w:ilvl w:val="0"/>
          <w:numId w:val="1044"/>
        </w:numPr>
      </w:pPr>
      <w:r>
        <w:t xml:space="preserve">Interconnection relevance</w:t>
      </w:r>
    </w:p>
    <w:p>
      <w:pPr>
        <w:pStyle w:val="Compact"/>
        <w:numPr>
          <w:ilvl w:val="0"/>
          <w:numId w:val="1044"/>
        </w:numPr>
      </w:pPr>
      <w:r>
        <w:t xml:space="preserve">Source</w:t>
      </w:r>
    </w:p>
    <w:p>
      <w:pPr>
        <w:pStyle w:val="Compact"/>
        <w:numPr>
          <w:ilvl w:val="0"/>
          <w:numId w:val="1044"/>
        </w:numPr>
      </w:pPr>
      <w:r>
        <w:t xml:space="preserve">Confidence</w:t>
      </w:r>
    </w:p>
    <w:bookmarkEnd w:id="109"/>
    <w:bookmarkStart w:id="110" w:name="fr-026-power-procurement-options"/>
    <w:p>
      <w:pPr>
        <w:pStyle w:val="Heading3"/>
      </w:pPr>
      <w:r>
        <w:t xml:space="preserve">FR-026: Power Procurement Options</w:t>
      </w:r>
    </w:p>
    <w:p>
      <w:pPr>
        <w:pStyle w:val="FirstParagraph"/>
      </w:pPr>
      <w:r>
        <w:t xml:space="preserve">The system must support analyst notes on possible power procurement strategies.</w:t>
      </w:r>
    </w:p>
    <w:p>
      <w:pPr>
        <w:pStyle w:val="BodyText"/>
      </w:pPr>
      <w:r>
        <w:t xml:space="preserve">Options:</w:t>
      </w:r>
    </w:p>
    <w:p>
      <w:pPr>
        <w:pStyle w:val="Compact"/>
        <w:numPr>
          <w:ilvl w:val="0"/>
          <w:numId w:val="1045"/>
        </w:numPr>
      </w:pPr>
      <w:r>
        <w:t xml:space="preserve">Retail supply</w:t>
      </w:r>
    </w:p>
    <w:p>
      <w:pPr>
        <w:pStyle w:val="Compact"/>
        <w:numPr>
          <w:ilvl w:val="0"/>
          <w:numId w:val="1045"/>
        </w:numPr>
      </w:pPr>
      <w:r>
        <w:t xml:space="preserve">Utility tariff/service agreement</w:t>
      </w:r>
    </w:p>
    <w:p>
      <w:pPr>
        <w:pStyle w:val="Compact"/>
        <w:numPr>
          <w:ilvl w:val="0"/>
          <w:numId w:val="1045"/>
        </w:numPr>
      </w:pPr>
      <w:r>
        <w:t xml:space="preserve">PPA</w:t>
      </w:r>
    </w:p>
    <w:p>
      <w:pPr>
        <w:pStyle w:val="Compact"/>
        <w:numPr>
          <w:ilvl w:val="0"/>
          <w:numId w:val="1045"/>
        </w:numPr>
      </w:pPr>
      <w:r>
        <w:t xml:space="preserve">Virtual PPA</w:t>
      </w:r>
    </w:p>
    <w:p>
      <w:pPr>
        <w:pStyle w:val="Compact"/>
        <w:numPr>
          <w:ilvl w:val="0"/>
          <w:numId w:val="1045"/>
        </w:numPr>
      </w:pPr>
      <w:r>
        <w:t xml:space="preserve">Behind-the-meter generation</w:t>
      </w:r>
    </w:p>
    <w:p>
      <w:pPr>
        <w:pStyle w:val="Compact"/>
        <w:numPr>
          <w:ilvl w:val="0"/>
          <w:numId w:val="1045"/>
        </w:numPr>
      </w:pPr>
      <w:r>
        <w:t xml:space="preserve">Co-located generation</w:t>
      </w:r>
    </w:p>
    <w:p>
      <w:pPr>
        <w:pStyle w:val="Compact"/>
        <w:numPr>
          <w:ilvl w:val="0"/>
          <w:numId w:val="1045"/>
        </w:numPr>
      </w:pPr>
      <w:r>
        <w:t xml:space="preserve">Battery-backed supply</w:t>
      </w:r>
    </w:p>
    <w:p>
      <w:pPr>
        <w:pStyle w:val="Compact"/>
        <w:numPr>
          <w:ilvl w:val="0"/>
          <w:numId w:val="1045"/>
        </w:numPr>
      </w:pPr>
      <w:r>
        <w:t xml:space="preserve">Hybrid power stack</w:t>
      </w:r>
    </w:p>
    <w:p>
      <w:pPr>
        <w:pStyle w:val="Compact"/>
        <w:numPr>
          <w:ilvl w:val="0"/>
          <w:numId w:val="1045"/>
        </w:numPr>
      </w:pPr>
      <w:r>
        <w:t xml:space="preserve">Curtailable service</w:t>
      </w:r>
    </w:p>
    <w:p>
      <w:pPr>
        <w:pStyle w:val="Compact"/>
        <w:numPr>
          <w:ilvl w:val="0"/>
          <w:numId w:val="1045"/>
        </w:numPr>
      </w:pPr>
      <w:r>
        <w:t xml:space="preserve">Demand response</w:t>
      </w:r>
    </w:p>
    <w:p>
      <w:pPr>
        <w:pStyle w:val="Compact"/>
        <w:numPr>
          <w:ilvl w:val="0"/>
          <w:numId w:val="1045"/>
        </w:numPr>
      </w:pPr>
      <w:r>
        <w:t xml:space="preserve">Onsite backup generation</w:t>
      </w:r>
    </w:p>
    <w:bookmarkEnd w:id="110"/>
    <w:bookmarkStart w:id="111" w:name="fr-027-energy-economics-score"/>
    <w:p>
      <w:pPr>
        <w:pStyle w:val="Heading3"/>
      </w:pPr>
      <w:r>
        <w:t xml:space="preserve">FR-027: Energy Economics Score</w:t>
      </w:r>
    </w:p>
    <w:p>
      <w:pPr>
        <w:pStyle w:val="FirstParagraph"/>
      </w:pPr>
      <w:r>
        <w:t xml:space="preserve">The system must calculate an Energy Economics Score from 0 to 100.</w:t>
      </w:r>
    </w:p>
    <w:p>
      <w:pPr>
        <w:pStyle w:val="BodyText"/>
      </w:pPr>
      <w:r>
        <w:t xml:space="preserve">Suggested inputs:</w:t>
      </w:r>
    </w:p>
    <w:p>
      <w:pPr>
        <w:pStyle w:val="Compact"/>
        <w:numPr>
          <w:ilvl w:val="0"/>
          <w:numId w:val="1046"/>
        </w:numPr>
      </w:pPr>
      <w:r>
        <w:t xml:space="preserve">Market price exposure</w:t>
      </w:r>
    </w:p>
    <w:p>
      <w:pPr>
        <w:pStyle w:val="Compact"/>
        <w:numPr>
          <w:ilvl w:val="0"/>
          <w:numId w:val="1046"/>
        </w:numPr>
      </w:pPr>
      <w:r>
        <w:t xml:space="preserve">Congestion exposure</w:t>
      </w:r>
    </w:p>
    <w:p>
      <w:pPr>
        <w:pStyle w:val="Compact"/>
        <w:numPr>
          <w:ilvl w:val="0"/>
          <w:numId w:val="1046"/>
        </w:numPr>
      </w:pPr>
      <w:r>
        <w:t xml:space="preserve">Nearby generation availability</w:t>
      </w:r>
    </w:p>
    <w:p>
      <w:pPr>
        <w:pStyle w:val="Compact"/>
        <w:numPr>
          <w:ilvl w:val="0"/>
          <w:numId w:val="1046"/>
        </w:numPr>
      </w:pPr>
      <w:r>
        <w:t xml:space="preserve">Power procurement optionality</w:t>
      </w:r>
    </w:p>
    <w:p>
      <w:pPr>
        <w:pStyle w:val="Compact"/>
        <w:numPr>
          <w:ilvl w:val="0"/>
          <w:numId w:val="1046"/>
        </w:numPr>
      </w:pPr>
      <w:r>
        <w:t xml:space="preserve">Tariff/service uncertainty</w:t>
      </w:r>
    </w:p>
    <w:p>
      <w:pPr>
        <w:pStyle w:val="Compact"/>
        <w:numPr>
          <w:ilvl w:val="0"/>
          <w:numId w:val="1046"/>
        </w:numPr>
      </w:pPr>
      <w:r>
        <w:t xml:space="preserve">Capacity/resource adequacy exposure, where relevant</w:t>
      </w:r>
    </w:p>
    <w:p>
      <w:pPr>
        <w:pStyle w:val="Compact"/>
        <w:numPr>
          <w:ilvl w:val="0"/>
          <w:numId w:val="1046"/>
        </w:numPr>
      </w:pPr>
      <w:r>
        <w:t xml:space="preserve">Behind-the-meter feasibility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X2d1bffecb48c0fdfed0d54d5d29cf5e387a42a5"/>
    <w:p>
      <w:pPr>
        <w:pStyle w:val="Heading2"/>
      </w:pPr>
      <w:r>
        <w:t xml:space="preserve">7.7 Flexibility and Demand-Response Potential</w:t>
      </w:r>
    </w:p>
    <w:bookmarkStart w:id="113" w:name="fr-028-flexibility-intake"/>
    <w:p>
      <w:pPr>
        <w:pStyle w:val="Heading3"/>
      </w:pPr>
      <w:r>
        <w:t xml:space="preserve">FR-028: Flexibility Intake</w:t>
      </w:r>
    </w:p>
    <w:p>
      <w:pPr>
        <w:pStyle w:val="FirstParagraph"/>
      </w:pPr>
      <w:r>
        <w:t xml:space="preserve">The system must collect flexibility assumptions.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47"/>
        </w:numPr>
      </w:pPr>
      <w:r>
        <w:t xml:space="preserve">Can load be curtailed?</w:t>
      </w:r>
    </w:p>
    <w:p>
      <w:pPr>
        <w:pStyle w:val="Compact"/>
        <w:numPr>
          <w:ilvl w:val="0"/>
          <w:numId w:val="1047"/>
        </w:numPr>
      </w:pPr>
      <w:r>
        <w:t xml:space="preserve">Maximum curtailable MW</w:t>
      </w:r>
    </w:p>
    <w:p>
      <w:pPr>
        <w:pStyle w:val="Compact"/>
        <w:numPr>
          <w:ilvl w:val="0"/>
          <w:numId w:val="1047"/>
        </w:numPr>
      </w:pPr>
      <w:r>
        <w:t xml:space="preserve">Minimum curtailment notice required</w:t>
      </w:r>
    </w:p>
    <w:p>
      <w:pPr>
        <w:pStyle w:val="Compact"/>
        <w:numPr>
          <w:ilvl w:val="0"/>
          <w:numId w:val="1047"/>
        </w:numPr>
      </w:pPr>
      <w:r>
        <w:t xml:space="preserve">Maximum curtailment duration</w:t>
      </w:r>
    </w:p>
    <w:p>
      <w:pPr>
        <w:pStyle w:val="Compact"/>
        <w:numPr>
          <w:ilvl w:val="0"/>
          <w:numId w:val="1047"/>
        </w:numPr>
      </w:pPr>
      <w:r>
        <w:t xml:space="preserve">Maximum annual curtailment hours</w:t>
      </w:r>
    </w:p>
    <w:p>
      <w:pPr>
        <w:pStyle w:val="Compact"/>
        <w:numPr>
          <w:ilvl w:val="0"/>
          <w:numId w:val="1047"/>
        </w:numPr>
      </w:pPr>
      <w:r>
        <w:t xml:space="preserve">Can compute workloads shift geographically?</w:t>
      </w:r>
    </w:p>
    <w:p>
      <w:pPr>
        <w:pStyle w:val="Compact"/>
        <w:numPr>
          <w:ilvl w:val="0"/>
          <w:numId w:val="1047"/>
        </w:numPr>
      </w:pPr>
      <w:r>
        <w:t xml:space="preserve">Can workload ramp gradually?</w:t>
      </w:r>
    </w:p>
    <w:p>
      <w:pPr>
        <w:pStyle w:val="Compact"/>
        <w:numPr>
          <w:ilvl w:val="0"/>
          <w:numId w:val="1047"/>
        </w:numPr>
      </w:pPr>
      <w:r>
        <w:t xml:space="preserve">Can energization be staged?</w:t>
      </w:r>
    </w:p>
    <w:p>
      <w:pPr>
        <w:pStyle w:val="Compact"/>
        <w:numPr>
          <w:ilvl w:val="0"/>
          <w:numId w:val="1047"/>
        </w:numPr>
      </w:pPr>
      <w:r>
        <w:t xml:space="preserve">Is battery storage planned?</w:t>
      </w:r>
    </w:p>
    <w:p>
      <w:pPr>
        <w:pStyle w:val="Compact"/>
        <w:numPr>
          <w:ilvl w:val="0"/>
          <w:numId w:val="1047"/>
        </w:numPr>
      </w:pPr>
      <w:r>
        <w:t xml:space="preserve">Is backup generation planned?</w:t>
      </w:r>
    </w:p>
    <w:p>
      <w:pPr>
        <w:pStyle w:val="Compact"/>
        <w:numPr>
          <w:ilvl w:val="0"/>
          <w:numId w:val="1047"/>
        </w:numPr>
      </w:pPr>
      <w:r>
        <w:t xml:space="preserve">Is thermal storage available?</w:t>
      </w:r>
    </w:p>
    <w:p>
      <w:pPr>
        <w:pStyle w:val="Compact"/>
        <w:numPr>
          <w:ilvl w:val="0"/>
          <w:numId w:val="1047"/>
        </w:numPr>
      </w:pPr>
      <w:r>
        <w:t xml:space="preserve">Is demand-response participation desired?</w:t>
      </w:r>
    </w:p>
    <w:bookmarkEnd w:id="113"/>
    <w:bookmarkStart w:id="114" w:name="fr-029-flexibility-classification"/>
    <w:p>
      <w:pPr>
        <w:pStyle w:val="Heading3"/>
      </w:pPr>
      <w:r>
        <w:t xml:space="preserve">FR-029: Flexibility Classification</w:t>
      </w:r>
    </w:p>
    <w:p>
      <w:pPr>
        <w:pStyle w:val="FirstParagraph"/>
      </w:pPr>
      <w:r>
        <w:t xml:space="preserve">The system must classify the site into one of the following flexibility profiles:</w:t>
      </w:r>
    </w:p>
    <w:p>
      <w:pPr>
        <w:pStyle w:val="Compact"/>
        <w:numPr>
          <w:ilvl w:val="0"/>
          <w:numId w:val="1048"/>
        </w:numPr>
      </w:pPr>
      <w:r>
        <w:t xml:space="preserve">Firm load only</w:t>
      </w:r>
    </w:p>
    <w:p>
      <w:pPr>
        <w:pStyle w:val="Compact"/>
        <w:numPr>
          <w:ilvl w:val="0"/>
          <w:numId w:val="1048"/>
        </w:numPr>
      </w:pPr>
      <w:r>
        <w:t xml:space="preserve">Partially curtailable load</w:t>
      </w:r>
    </w:p>
    <w:p>
      <w:pPr>
        <w:pStyle w:val="Compact"/>
        <w:numPr>
          <w:ilvl w:val="0"/>
          <w:numId w:val="1048"/>
        </w:numPr>
      </w:pPr>
      <w:r>
        <w:t xml:space="preserve">Staged-ramp load</w:t>
      </w:r>
    </w:p>
    <w:p>
      <w:pPr>
        <w:pStyle w:val="Compact"/>
        <w:numPr>
          <w:ilvl w:val="0"/>
          <w:numId w:val="1048"/>
        </w:numPr>
      </w:pPr>
      <w:r>
        <w:t xml:space="preserve">Battery-supported flexible load</w:t>
      </w:r>
    </w:p>
    <w:p>
      <w:pPr>
        <w:pStyle w:val="Compact"/>
        <w:numPr>
          <w:ilvl w:val="0"/>
          <w:numId w:val="1048"/>
        </w:numPr>
      </w:pPr>
      <w:r>
        <w:t xml:space="preserve">Backup-generation-supported load</w:t>
      </w:r>
    </w:p>
    <w:p>
      <w:pPr>
        <w:pStyle w:val="Compact"/>
        <w:numPr>
          <w:ilvl w:val="0"/>
          <w:numId w:val="1048"/>
        </w:numPr>
      </w:pPr>
      <w:r>
        <w:t xml:space="preserve">Workload-shiftable AI compute load</w:t>
      </w:r>
    </w:p>
    <w:p>
      <w:pPr>
        <w:pStyle w:val="Compact"/>
        <w:numPr>
          <w:ilvl w:val="0"/>
          <w:numId w:val="1048"/>
        </w:numPr>
      </w:pPr>
      <w:r>
        <w:t xml:space="preserve">Hybrid flexible/load-resource site</w:t>
      </w:r>
    </w:p>
    <w:p>
      <w:pPr>
        <w:pStyle w:val="Compact"/>
        <w:numPr>
          <w:ilvl w:val="0"/>
          <w:numId w:val="1048"/>
        </w:numPr>
      </w:pPr>
      <w:r>
        <w:t xml:space="preserve">Unknown flexibility</w:t>
      </w:r>
    </w:p>
    <w:bookmarkEnd w:id="114"/>
    <w:bookmarkStart w:id="115" w:name="fr-030-flexibility-score"/>
    <w:p>
      <w:pPr>
        <w:pStyle w:val="Heading3"/>
      </w:pPr>
      <w:r>
        <w:t xml:space="preserve">FR-030: Flexibility Score</w:t>
      </w:r>
    </w:p>
    <w:p>
      <w:pPr>
        <w:pStyle w:val="FirstParagraph"/>
      </w:pPr>
      <w:r>
        <w:t xml:space="preserve">The system must calculate a Flexibility Score from 0 to 100.</w:t>
      </w:r>
    </w:p>
    <w:p>
      <w:pPr>
        <w:pStyle w:val="BodyText"/>
      </w:pPr>
      <w:r>
        <w:t xml:space="preserve">Suggested interpretation:</w:t>
      </w:r>
    </w:p>
    <w:p>
      <w:pPr>
        <w:pStyle w:val="Compact"/>
        <w:numPr>
          <w:ilvl w:val="0"/>
          <w:numId w:val="1049"/>
        </w:numPr>
      </w:pPr>
      <w:r>
        <w:t xml:space="preserve">0–25: No meaningful flexibility</w:t>
      </w:r>
    </w:p>
    <w:p>
      <w:pPr>
        <w:pStyle w:val="Compact"/>
        <w:numPr>
          <w:ilvl w:val="0"/>
          <w:numId w:val="1049"/>
        </w:numPr>
      </w:pPr>
      <w:r>
        <w:t xml:space="preserve">26–50: Limited flexibility</w:t>
      </w:r>
    </w:p>
    <w:p>
      <w:pPr>
        <w:pStyle w:val="Compact"/>
        <w:numPr>
          <w:ilvl w:val="0"/>
          <w:numId w:val="1049"/>
        </w:numPr>
      </w:pPr>
      <w:r>
        <w:t xml:space="preserve">51–70: Some useful flexibility</w:t>
      </w:r>
    </w:p>
    <w:p>
      <w:pPr>
        <w:pStyle w:val="Compact"/>
        <w:numPr>
          <w:ilvl w:val="0"/>
          <w:numId w:val="1049"/>
        </w:numPr>
      </w:pPr>
      <w:r>
        <w:t xml:space="preserve">71–85: Strong flexibility</w:t>
      </w:r>
    </w:p>
    <w:p>
      <w:pPr>
        <w:pStyle w:val="Compact"/>
        <w:numPr>
          <w:ilvl w:val="0"/>
          <w:numId w:val="1049"/>
        </w:numPr>
      </w:pPr>
      <w:r>
        <w:t xml:space="preserve">86–100: Highly grid-supportive flexibility</w:t>
      </w:r>
    </w:p>
    <w:bookmarkEnd w:id="115"/>
    <w:bookmarkStart w:id="116" w:name="fr-031-flexibility-narrative"/>
    <w:p>
      <w:pPr>
        <w:pStyle w:val="Heading3"/>
      </w:pPr>
      <w:r>
        <w:t xml:space="preserve">FR-031: Flexibility Narrative</w:t>
      </w:r>
    </w:p>
    <w:p>
      <w:pPr>
        <w:pStyle w:val="FirstParagraph"/>
      </w:pPr>
      <w:r>
        <w:t xml:space="preserve">The system must generate a narrative explaining how the customer could position the site as more grid-supportive.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0"/>
        </w:numPr>
      </w:pPr>
      <w:r>
        <w:t xml:space="preserve">Stage energization over phases</w:t>
      </w:r>
    </w:p>
    <w:p>
      <w:pPr>
        <w:pStyle w:val="Compact"/>
        <w:numPr>
          <w:ilvl w:val="0"/>
          <w:numId w:val="1050"/>
        </w:numPr>
      </w:pPr>
      <w:r>
        <w:t xml:space="preserve">Offer curtailment during constrained periods</w:t>
      </w:r>
    </w:p>
    <w:p>
      <w:pPr>
        <w:pStyle w:val="Compact"/>
        <w:numPr>
          <w:ilvl w:val="0"/>
          <w:numId w:val="1050"/>
        </w:numPr>
      </w:pPr>
      <w:r>
        <w:t xml:space="preserve">Add battery storage</w:t>
      </w:r>
    </w:p>
    <w:p>
      <w:pPr>
        <w:pStyle w:val="Compact"/>
        <w:numPr>
          <w:ilvl w:val="0"/>
          <w:numId w:val="1050"/>
        </w:numPr>
      </w:pPr>
      <w:r>
        <w:t xml:space="preserve">Coordinate backup generation controls</w:t>
      </w:r>
    </w:p>
    <w:p>
      <w:pPr>
        <w:pStyle w:val="Compact"/>
        <w:numPr>
          <w:ilvl w:val="0"/>
          <w:numId w:val="1050"/>
        </w:numPr>
      </w:pPr>
      <w:r>
        <w:t xml:space="preserve">Implement workload shifting</w:t>
      </w:r>
    </w:p>
    <w:p>
      <w:pPr>
        <w:pStyle w:val="Compact"/>
        <w:numPr>
          <w:ilvl w:val="0"/>
          <w:numId w:val="1050"/>
        </w:numPr>
      </w:pPr>
      <w:r>
        <w:t xml:space="preserve">Provide telemetry</w:t>
      </w:r>
    </w:p>
    <w:p>
      <w:pPr>
        <w:pStyle w:val="Compact"/>
        <w:numPr>
          <w:ilvl w:val="0"/>
          <w:numId w:val="1050"/>
        </w:numPr>
      </w:pPr>
      <w:r>
        <w:t xml:space="preserve">Improve ride-through documentation</w:t>
      </w:r>
    </w:p>
    <w:p>
      <w:pPr>
        <w:pStyle w:val="Compact"/>
        <w:numPr>
          <w:ilvl w:val="0"/>
          <w:numId w:val="1050"/>
        </w:numPr>
      </w:pPr>
      <w:r>
        <w:t xml:space="preserve">Prepare demand-response strategy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site-permitting-water-and-community-risk"/>
    <w:p>
      <w:pPr>
        <w:pStyle w:val="Heading2"/>
      </w:pPr>
      <w:r>
        <w:t xml:space="preserve">7.8 Site, Permitting, Water, and Community Risk</w:t>
      </w:r>
    </w:p>
    <w:bookmarkStart w:id="118" w:name="fr-032-site-risk-checklist"/>
    <w:p>
      <w:pPr>
        <w:pStyle w:val="Heading3"/>
      </w:pPr>
      <w:r>
        <w:t xml:space="preserve">FR-032: Site Risk Checklist</w:t>
      </w:r>
    </w:p>
    <w:p>
      <w:pPr>
        <w:pStyle w:val="FirstParagraph"/>
      </w:pPr>
      <w:r>
        <w:t xml:space="preserve">The system must include a site-risk checklist.</w:t>
      </w:r>
    </w:p>
    <w:p>
      <w:pPr>
        <w:pStyle w:val="BodyText"/>
      </w:pPr>
      <w:r>
        <w:t xml:space="preserve">Categories:</w:t>
      </w:r>
    </w:p>
    <w:p>
      <w:pPr>
        <w:pStyle w:val="Compact"/>
        <w:numPr>
          <w:ilvl w:val="0"/>
          <w:numId w:val="1051"/>
        </w:numPr>
      </w:pPr>
      <w:r>
        <w:t xml:space="preserve">Land control</w:t>
      </w:r>
    </w:p>
    <w:p>
      <w:pPr>
        <w:pStyle w:val="Compact"/>
        <w:numPr>
          <w:ilvl w:val="0"/>
          <w:numId w:val="1051"/>
        </w:numPr>
      </w:pPr>
      <w:r>
        <w:t xml:space="preserve">Zoning</w:t>
      </w:r>
    </w:p>
    <w:p>
      <w:pPr>
        <w:pStyle w:val="Compact"/>
        <w:numPr>
          <w:ilvl w:val="0"/>
          <w:numId w:val="1051"/>
        </w:numPr>
      </w:pPr>
      <w:r>
        <w:t xml:space="preserve">Flood risk</w:t>
      </w:r>
    </w:p>
    <w:p>
      <w:pPr>
        <w:pStyle w:val="Compact"/>
        <w:numPr>
          <w:ilvl w:val="0"/>
          <w:numId w:val="1051"/>
        </w:numPr>
      </w:pPr>
      <w:r>
        <w:t xml:space="preserve">Environmental constraints</w:t>
      </w:r>
    </w:p>
    <w:p>
      <w:pPr>
        <w:pStyle w:val="Compact"/>
        <w:numPr>
          <w:ilvl w:val="0"/>
          <w:numId w:val="1051"/>
        </w:numPr>
      </w:pPr>
      <w:r>
        <w:t xml:space="preserve">Water availability</w:t>
      </w:r>
    </w:p>
    <w:p>
      <w:pPr>
        <w:pStyle w:val="Compact"/>
        <w:numPr>
          <w:ilvl w:val="0"/>
          <w:numId w:val="1051"/>
        </w:numPr>
      </w:pPr>
      <w:r>
        <w:t xml:space="preserve">Cooling feasibility</w:t>
      </w:r>
    </w:p>
    <w:p>
      <w:pPr>
        <w:pStyle w:val="Compact"/>
        <w:numPr>
          <w:ilvl w:val="0"/>
          <w:numId w:val="1051"/>
        </w:numPr>
      </w:pPr>
      <w:r>
        <w:t xml:space="preserve">Community opposition risk</w:t>
      </w:r>
    </w:p>
    <w:p>
      <w:pPr>
        <w:pStyle w:val="Compact"/>
        <w:numPr>
          <w:ilvl w:val="0"/>
          <w:numId w:val="1051"/>
        </w:numPr>
      </w:pPr>
      <w:r>
        <w:t xml:space="preserve">Road access</w:t>
      </w:r>
    </w:p>
    <w:p>
      <w:pPr>
        <w:pStyle w:val="Compact"/>
        <w:numPr>
          <w:ilvl w:val="0"/>
          <w:numId w:val="1051"/>
        </w:numPr>
      </w:pPr>
      <w:r>
        <w:t xml:space="preserve">Fibre/network access</w:t>
      </w:r>
    </w:p>
    <w:p>
      <w:pPr>
        <w:pStyle w:val="Compact"/>
        <w:numPr>
          <w:ilvl w:val="0"/>
          <w:numId w:val="1051"/>
        </w:numPr>
      </w:pPr>
      <w:r>
        <w:t xml:space="preserve">Nearby industrial compatibility</w:t>
      </w:r>
    </w:p>
    <w:p>
      <w:pPr>
        <w:pStyle w:val="Compact"/>
        <w:numPr>
          <w:ilvl w:val="0"/>
          <w:numId w:val="1051"/>
        </w:numPr>
      </w:pPr>
      <w:r>
        <w:t xml:space="preserve">Noise concerns</w:t>
      </w:r>
    </w:p>
    <w:p>
      <w:pPr>
        <w:pStyle w:val="Compact"/>
        <w:numPr>
          <w:ilvl w:val="0"/>
          <w:numId w:val="1051"/>
        </w:numPr>
      </w:pPr>
      <w:r>
        <w:t xml:space="preserve">Air permitting risk for backup generation</w:t>
      </w:r>
    </w:p>
    <w:p>
      <w:pPr>
        <w:pStyle w:val="Compact"/>
        <w:numPr>
          <w:ilvl w:val="0"/>
          <w:numId w:val="1051"/>
        </w:numPr>
      </w:pPr>
      <w:r>
        <w:t xml:space="preserve">Local tax/economic development context</w:t>
      </w:r>
    </w:p>
    <w:bookmarkEnd w:id="118"/>
    <w:bookmarkStart w:id="119" w:name="fr-033-site-risk-score"/>
    <w:p>
      <w:pPr>
        <w:pStyle w:val="Heading3"/>
      </w:pPr>
      <w:r>
        <w:t xml:space="preserve">FR-033: Site Risk Score</w:t>
      </w:r>
    </w:p>
    <w:p>
      <w:pPr>
        <w:pStyle w:val="FirstParagraph"/>
      </w:pPr>
      <w:r>
        <w:t xml:space="preserve">The system must calculate a Site Risk Score from 0 to 100.</w:t>
      </w:r>
    </w:p>
    <w:p>
      <w:pPr>
        <w:pStyle w:val="BodyText"/>
      </w:pPr>
      <w:r>
        <w:t xml:space="preserve">This score should not dominate the MVP because the product is primarily power-readiness focused. However, it should flag non-power blockers.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evidence-and-source-management"/>
    <w:p>
      <w:pPr>
        <w:pStyle w:val="Heading2"/>
      </w:pPr>
      <w:r>
        <w:t xml:space="preserve">7.9 Evidence and Source Management</w:t>
      </w:r>
    </w:p>
    <w:bookmarkStart w:id="121" w:name="fr-034-evidence-library"/>
    <w:p>
      <w:pPr>
        <w:pStyle w:val="Heading3"/>
      </w:pPr>
      <w:r>
        <w:t xml:space="preserve">FR-034: Evidence Library</w:t>
      </w:r>
    </w:p>
    <w:p>
      <w:pPr>
        <w:pStyle w:val="FirstParagraph"/>
      </w:pPr>
      <w:r>
        <w:t xml:space="preserve">The system must allow each project to have an evidence library.</w:t>
      </w:r>
    </w:p>
    <w:p>
      <w:pPr>
        <w:pStyle w:val="BodyText"/>
      </w:pPr>
      <w:r>
        <w:t xml:space="preserve">Evidence source fields:</w:t>
      </w:r>
    </w:p>
    <w:p>
      <w:pPr>
        <w:pStyle w:val="Compact"/>
        <w:numPr>
          <w:ilvl w:val="0"/>
          <w:numId w:val="1052"/>
        </w:numPr>
      </w:pPr>
      <w:r>
        <w:t xml:space="preserve">Source title</w:t>
      </w:r>
    </w:p>
    <w:p>
      <w:pPr>
        <w:pStyle w:val="Compact"/>
        <w:numPr>
          <w:ilvl w:val="0"/>
          <w:numId w:val="1052"/>
        </w:numPr>
      </w:pPr>
      <w:r>
        <w:t xml:space="preserve">Source type</w:t>
      </w:r>
    </w:p>
    <w:p>
      <w:pPr>
        <w:pStyle w:val="Compact"/>
        <w:numPr>
          <w:ilvl w:val="0"/>
          <w:numId w:val="1052"/>
        </w:numPr>
      </w:pPr>
      <w:r>
        <w:t xml:space="preserve">URL or file reference</w:t>
      </w:r>
    </w:p>
    <w:p>
      <w:pPr>
        <w:pStyle w:val="Compact"/>
        <w:numPr>
          <w:ilvl w:val="0"/>
          <w:numId w:val="1052"/>
        </w:numPr>
      </w:pPr>
      <w:r>
        <w:t xml:space="preserve">Publisher</w:t>
      </w:r>
    </w:p>
    <w:p>
      <w:pPr>
        <w:pStyle w:val="Compact"/>
        <w:numPr>
          <w:ilvl w:val="0"/>
          <w:numId w:val="1052"/>
        </w:numPr>
      </w:pPr>
      <w:r>
        <w:t xml:space="preserve">Publication date</w:t>
      </w:r>
    </w:p>
    <w:p>
      <w:pPr>
        <w:pStyle w:val="Compact"/>
        <w:numPr>
          <w:ilvl w:val="0"/>
          <w:numId w:val="1052"/>
        </w:numPr>
      </w:pPr>
      <w:r>
        <w:t xml:space="preserve">Access date</w:t>
      </w:r>
    </w:p>
    <w:p>
      <w:pPr>
        <w:pStyle w:val="Compact"/>
        <w:numPr>
          <w:ilvl w:val="0"/>
          <w:numId w:val="1052"/>
        </w:numPr>
      </w:pPr>
      <w:r>
        <w:t xml:space="preserve">Relevant excerpt or note</w:t>
      </w:r>
    </w:p>
    <w:p>
      <w:pPr>
        <w:pStyle w:val="Compact"/>
        <w:numPr>
          <w:ilvl w:val="0"/>
          <w:numId w:val="1052"/>
        </w:numPr>
      </w:pPr>
      <w:r>
        <w:t xml:space="preserve">Associated site</w:t>
      </w:r>
    </w:p>
    <w:p>
      <w:pPr>
        <w:pStyle w:val="Compact"/>
        <w:numPr>
          <w:ilvl w:val="0"/>
          <w:numId w:val="1052"/>
        </w:numPr>
      </w:pPr>
      <w:r>
        <w:t xml:space="preserve">Associated report section</w:t>
      </w:r>
    </w:p>
    <w:p>
      <w:pPr>
        <w:pStyle w:val="Compact"/>
        <w:numPr>
          <w:ilvl w:val="0"/>
          <w:numId w:val="1052"/>
        </w:numPr>
      </w:pPr>
      <w:r>
        <w:t xml:space="preserve">Confidence level</w:t>
      </w:r>
    </w:p>
    <w:p>
      <w:pPr>
        <w:pStyle w:val="Compact"/>
        <w:numPr>
          <w:ilvl w:val="0"/>
          <w:numId w:val="1052"/>
        </w:numPr>
      </w:pPr>
      <w:r>
        <w:t xml:space="preserve">Analyst notes</w:t>
      </w:r>
    </w:p>
    <w:bookmarkEnd w:id="121"/>
    <w:bookmarkStart w:id="122" w:name="fr-035-evidence-required-for-key-claims"/>
    <w:p>
      <w:pPr>
        <w:pStyle w:val="Heading3"/>
      </w:pPr>
      <w:r>
        <w:t xml:space="preserve">FR-035: Evidence Required for Key Claims</w:t>
      </w:r>
    </w:p>
    <w:p>
      <w:pPr>
        <w:pStyle w:val="FirstParagraph"/>
      </w:pPr>
      <w:r>
        <w:t xml:space="preserve">Every key claim in the report must be connected to at least one of:</w:t>
      </w:r>
    </w:p>
    <w:p>
      <w:pPr>
        <w:pStyle w:val="Compact"/>
        <w:numPr>
          <w:ilvl w:val="0"/>
          <w:numId w:val="1053"/>
        </w:numPr>
      </w:pPr>
      <w:r>
        <w:t xml:space="preserve">Source evidence</w:t>
      </w:r>
    </w:p>
    <w:p>
      <w:pPr>
        <w:pStyle w:val="Compact"/>
        <w:numPr>
          <w:ilvl w:val="0"/>
          <w:numId w:val="1053"/>
        </w:numPr>
      </w:pPr>
      <w:r>
        <w:t xml:space="preserve">Customer-provided data</w:t>
      </w:r>
    </w:p>
    <w:p>
      <w:pPr>
        <w:pStyle w:val="Compact"/>
        <w:numPr>
          <w:ilvl w:val="0"/>
          <w:numId w:val="1053"/>
        </w:numPr>
      </w:pPr>
      <w:r>
        <w:t xml:space="preserve">Analyst assumption</w:t>
      </w:r>
    </w:p>
    <w:p>
      <w:pPr>
        <w:pStyle w:val="Compact"/>
        <w:numPr>
          <w:ilvl w:val="0"/>
          <w:numId w:val="1053"/>
        </w:numPr>
      </w:pPr>
      <w:r>
        <w:t xml:space="preserve">Expert judgement</w:t>
      </w:r>
    </w:p>
    <w:bookmarkEnd w:id="122"/>
    <w:bookmarkStart w:id="123" w:name="fr-036-source-confidence-level"/>
    <w:p>
      <w:pPr>
        <w:pStyle w:val="Heading3"/>
      </w:pPr>
      <w:r>
        <w:t xml:space="preserve">FR-036: Source Confidence Level</w:t>
      </w:r>
    </w:p>
    <w:p>
      <w:pPr>
        <w:pStyle w:val="FirstParagraph"/>
      </w:pPr>
      <w:r>
        <w:t xml:space="preserve">Each evidence source must be classified as:</w:t>
      </w:r>
    </w:p>
    <w:p>
      <w:pPr>
        <w:pStyle w:val="Compact"/>
        <w:numPr>
          <w:ilvl w:val="0"/>
          <w:numId w:val="1054"/>
        </w:numPr>
      </w:pPr>
      <w:r>
        <w:t xml:space="preserve">Official source</w:t>
      </w:r>
    </w:p>
    <w:p>
      <w:pPr>
        <w:pStyle w:val="Compact"/>
        <w:numPr>
          <w:ilvl w:val="0"/>
          <w:numId w:val="1054"/>
        </w:numPr>
      </w:pPr>
      <w:r>
        <w:t xml:space="preserve">Utility/TSP/DSP source</w:t>
      </w:r>
    </w:p>
    <w:p>
      <w:pPr>
        <w:pStyle w:val="Compact"/>
        <w:numPr>
          <w:ilvl w:val="0"/>
          <w:numId w:val="1054"/>
        </w:numPr>
      </w:pPr>
      <w:r>
        <w:t xml:space="preserve">ISO/RTO source</w:t>
      </w:r>
    </w:p>
    <w:p>
      <w:pPr>
        <w:pStyle w:val="Compact"/>
        <w:numPr>
          <w:ilvl w:val="0"/>
          <w:numId w:val="1054"/>
        </w:numPr>
      </w:pPr>
      <w:r>
        <w:t xml:space="preserve">Government/regulator source</w:t>
      </w:r>
    </w:p>
    <w:p>
      <w:pPr>
        <w:pStyle w:val="Compact"/>
        <w:numPr>
          <w:ilvl w:val="0"/>
          <w:numId w:val="1054"/>
        </w:numPr>
      </w:pPr>
      <w:r>
        <w:t xml:space="preserve">Customer-provided source</w:t>
      </w:r>
    </w:p>
    <w:p>
      <w:pPr>
        <w:pStyle w:val="Compact"/>
        <w:numPr>
          <w:ilvl w:val="0"/>
          <w:numId w:val="1054"/>
        </w:numPr>
      </w:pPr>
      <w:r>
        <w:t xml:space="preserve">Commercial data source</w:t>
      </w:r>
    </w:p>
    <w:p>
      <w:pPr>
        <w:pStyle w:val="Compact"/>
        <w:numPr>
          <w:ilvl w:val="0"/>
          <w:numId w:val="1054"/>
        </w:numPr>
      </w:pPr>
      <w:r>
        <w:t xml:space="preserve">Analyst-derived estimate</w:t>
      </w:r>
    </w:p>
    <w:p>
      <w:pPr>
        <w:pStyle w:val="Compact"/>
        <w:numPr>
          <w:ilvl w:val="0"/>
          <w:numId w:val="1054"/>
        </w:numPr>
      </w:pPr>
      <w:r>
        <w:t xml:space="preserve">Unverified source</w:t>
      </w:r>
    </w:p>
    <w:bookmarkEnd w:id="123"/>
    <w:bookmarkStart w:id="124" w:name="fr-037-evidence-gap-flag"/>
    <w:p>
      <w:pPr>
        <w:pStyle w:val="Heading3"/>
      </w:pPr>
      <w:r>
        <w:t xml:space="preserve">FR-037: Evidence Gap Flag</w:t>
      </w:r>
    </w:p>
    <w:p>
      <w:pPr>
        <w:pStyle w:val="FirstParagraph"/>
      </w:pPr>
      <w:r>
        <w:t xml:space="preserve">If a report section relies heavily on assumptions rather than direct evidence, the system must flag the section as lower confidence.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1" w:name="scoring-engine"/>
    <w:p>
      <w:pPr>
        <w:pStyle w:val="Heading2"/>
      </w:pPr>
      <w:r>
        <w:t xml:space="preserve">7.10 Scoring Engine</w:t>
      </w:r>
    </w:p>
    <w:bookmarkStart w:id="126" w:name="fr-038-overall-power-readiness-score"/>
    <w:p>
      <w:pPr>
        <w:pStyle w:val="Heading3"/>
      </w:pPr>
      <w:r>
        <w:t xml:space="preserve">FR-038: Overall Power Readiness Score</w:t>
      </w:r>
    </w:p>
    <w:p>
      <w:pPr>
        <w:pStyle w:val="FirstParagraph"/>
      </w:pPr>
      <w:r>
        <w:t xml:space="preserve">The system must calculate an Overall Power Readiness Score from 0 to 100.</w:t>
      </w:r>
    </w:p>
    <w:p>
      <w:pPr>
        <w:pStyle w:val="BodyText"/>
      </w:pPr>
      <w:r>
        <w:t xml:space="preserve">Recommended weighting:</w:t>
      </w:r>
    </w:p>
    <w:p>
      <w:pPr>
        <w:pStyle w:val="Compact"/>
        <w:numPr>
          <w:ilvl w:val="0"/>
          <w:numId w:val="1055"/>
        </w:numPr>
      </w:pPr>
      <w:r>
        <w:t xml:space="preserve">Power Feasibility: 30%</w:t>
      </w:r>
    </w:p>
    <w:p>
      <w:pPr>
        <w:pStyle w:val="Compact"/>
        <w:numPr>
          <w:ilvl w:val="0"/>
          <w:numId w:val="1055"/>
        </w:numPr>
      </w:pPr>
      <w:r>
        <w:t xml:space="preserve">Interconnection Readiness: 20%</w:t>
      </w:r>
    </w:p>
    <w:p>
      <w:pPr>
        <w:pStyle w:val="Compact"/>
        <w:numPr>
          <w:ilvl w:val="0"/>
          <w:numId w:val="1055"/>
        </w:numPr>
      </w:pPr>
      <w:r>
        <w:t xml:space="preserve">Grid Reliability Readiness: 15%</w:t>
      </w:r>
    </w:p>
    <w:p>
      <w:pPr>
        <w:pStyle w:val="Compact"/>
        <w:numPr>
          <w:ilvl w:val="0"/>
          <w:numId w:val="1055"/>
        </w:numPr>
      </w:pPr>
      <w:r>
        <w:t xml:space="preserve">Energy Economics and Congestion: 10%</w:t>
      </w:r>
    </w:p>
    <w:p>
      <w:pPr>
        <w:pStyle w:val="Compact"/>
        <w:numPr>
          <w:ilvl w:val="0"/>
          <w:numId w:val="1055"/>
        </w:numPr>
      </w:pPr>
      <w:r>
        <w:t xml:space="preserve">Flexibility Potential: 10%</w:t>
      </w:r>
    </w:p>
    <w:p>
      <w:pPr>
        <w:pStyle w:val="Compact"/>
        <w:numPr>
          <w:ilvl w:val="0"/>
          <w:numId w:val="1055"/>
        </w:numPr>
      </w:pPr>
      <w:r>
        <w:t xml:space="preserve">Site/Permitting/Water Risk: 10%</w:t>
      </w:r>
    </w:p>
    <w:p>
      <w:pPr>
        <w:pStyle w:val="Compact"/>
        <w:numPr>
          <w:ilvl w:val="0"/>
          <w:numId w:val="1055"/>
        </w:numPr>
      </w:pPr>
      <w:r>
        <w:t xml:space="preserve">Evidence Confidence: 5%</w:t>
      </w:r>
    </w:p>
    <w:bookmarkEnd w:id="126"/>
    <w:bookmarkStart w:id="127" w:name="fr-039-score-bands"/>
    <w:p>
      <w:pPr>
        <w:pStyle w:val="Heading3"/>
      </w:pPr>
      <w:r>
        <w:t xml:space="preserve">FR-039: Score Bands</w:t>
      </w:r>
    </w:p>
    <w:p>
      <w:pPr>
        <w:pStyle w:val="FirstParagraph"/>
      </w:pPr>
      <w:r>
        <w:t xml:space="preserve">Overall score interpretation:</w:t>
      </w:r>
    </w:p>
    <w:p>
      <w:pPr>
        <w:pStyle w:val="Compact"/>
        <w:numPr>
          <w:ilvl w:val="0"/>
          <w:numId w:val="1056"/>
        </w:numPr>
      </w:pPr>
      <w:r>
        <w:t xml:space="preserve">0–24: Reject / not currently viable</w:t>
      </w:r>
    </w:p>
    <w:p>
      <w:pPr>
        <w:pStyle w:val="Compact"/>
        <w:numPr>
          <w:ilvl w:val="0"/>
          <w:numId w:val="1056"/>
        </w:numPr>
      </w:pPr>
      <w:r>
        <w:t xml:space="preserve">25–44: High risk / major blockers</w:t>
      </w:r>
    </w:p>
    <w:p>
      <w:pPr>
        <w:pStyle w:val="Compact"/>
        <w:numPr>
          <w:ilvl w:val="0"/>
          <w:numId w:val="1056"/>
        </w:numPr>
      </w:pPr>
      <w:r>
        <w:t xml:space="preserve">45–59: Proceed only with targeted diligence</w:t>
      </w:r>
    </w:p>
    <w:p>
      <w:pPr>
        <w:pStyle w:val="Compact"/>
        <w:numPr>
          <w:ilvl w:val="0"/>
          <w:numId w:val="1056"/>
        </w:numPr>
      </w:pPr>
      <w:r>
        <w:t xml:space="preserve">60–74: Plausible but unresolved risks</w:t>
      </w:r>
    </w:p>
    <w:p>
      <w:pPr>
        <w:pStyle w:val="Compact"/>
        <w:numPr>
          <w:ilvl w:val="0"/>
          <w:numId w:val="1056"/>
        </w:numPr>
      </w:pPr>
      <w:r>
        <w:t xml:space="preserve">75–84: Strong candidate</w:t>
      </w:r>
    </w:p>
    <w:p>
      <w:pPr>
        <w:pStyle w:val="Compact"/>
        <w:numPr>
          <w:ilvl w:val="0"/>
          <w:numId w:val="1056"/>
        </w:numPr>
      </w:pPr>
      <w:r>
        <w:t xml:space="preserve">85–100: Highly attractive candidate</w:t>
      </w:r>
    </w:p>
    <w:bookmarkEnd w:id="127"/>
    <w:bookmarkStart w:id="128" w:name="fr-040-verdict-categories"/>
    <w:p>
      <w:pPr>
        <w:pStyle w:val="Heading3"/>
      </w:pPr>
      <w:r>
        <w:t xml:space="preserve">FR-040: Verdict Categories</w:t>
      </w:r>
    </w:p>
    <w:p>
      <w:pPr>
        <w:pStyle w:val="FirstParagraph"/>
      </w:pPr>
      <w:r>
        <w:t xml:space="preserve">Every report must assign one verdict: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Reject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Pause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Proceed with targeted diligence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Proceed with caution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Strong candidate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Strong candidate, subject to utility/TSP confirmation</w:t>
      </w:r>
    </w:p>
    <w:bookmarkEnd w:id="128"/>
    <w:bookmarkStart w:id="129" w:name="fr-041-confidence-level"/>
    <w:p>
      <w:pPr>
        <w:pStyle w:val="Heading3"/>
      </w:pPr>
      <w:r>
        <w:t xml:space="preserve">FR-041: Confidence Level</w:t>
      </w:r>
    </w:p>
    <w:p>
      <w:pPr>
        <w:pStyle w:val="FirstParagraph"/>
      </w:pPr>
      <w:r>
        <w:t xml:space="preserve">The system must assign a confidence level separate from the score.</w:t>
      </w:r>
    </w:p>
    <w:p>
      <w:pPr>
        <w:pStyle w:val="BodyText"/>
      </w:pPr>
      <w:r>
        <w:t xml:space="preserve">Confidence levels:</w:t>
      </w:r>
    </w:p>
    <w:p>
      <w:pPr>
        <w:pStyle w:val="Compact"/>
        <w:numPr>
          <w:ilvl w:val="0"/>
          <w:numId w:val="1058"/>
        </w:numPr>
      </w:pPr>
      <w:r>
        <w:t xml:space="preserve">Low</w:t>
      </w:r>
    </w:p>
    <w:p>
      <w:pPr>
        <w:pStyle w:val="Compact"/>
        <w:numPr>
          <w:ilvl w:val="0"/>
          <w:numId w:val="1058"/>
        </w:numPr>
      </w:pPr>
      <w:r>
        <w:t xml:space="preserve">Medium</w:t>
      </w:r>
    </w:p>
    <w:p>
      <w:pPr>
        <w:pStyle w:val="Compact"/>
        <w:numPr>
          <w:ilvl w:val="0"/>
          <w:numId w:val="1058"/>
        </w:numPr>
      </w:pPr>
      <w:r>
        <w:t xml:space="preserve">High</w:t>
      </w:r>
    </w:p>
    <w:p>
      <w:pPr>
        <w:pStyle w:val="FirstParagraph"/>
      </w:pPr>
      <w:r>
        <w:t xml:space="preserve">Confidence must be based on data completeness, source quality, and expert review status.</w:t>
      </w:r>
    </w:p>
    <w:bookmarkEnd w:id="129"/>
    <w:bookmarkStart w:id="130" w:name="fr-042-manual-override"/>
    <w:p>
      <w:pPr>
        <w:pStyle w:val="Heading3"/>
      </w:pPr>
      <w:r>
        <w:t xml:space="preserve">FR-042: Manual Override</w:t>
      </w:r>
    </w:p>
    <w:p>
      <w:pPr>
        <w:pStyle w:val="FirstParagraph"/>
      </w:pPr>
      <w:r>
        <w:t xml:space="preserve">Analysts must be able to override generated scores.</w:t>
      </w:r>
    </w:p>
    <w:p>
      <w:pPr>
        <w:pStyle w:val="BodyText"/>
      </w:pPr>
      <w:r>
        <w:t xml:space="preserve">Every override must require:</w:t>
      </w:r>
    </w:p>
    <w:p>
      <w:pPr>
        <w:pStyle w:val="Compact"/>
        <w:numPr>
          <w:ilvl w:val="0"/>
          <w:numId w:val="1059"/>
        </w:numPr>
      </w:pPr>
      <w:r>
        <w:t xml:space="preserve">Previous score</w:t>
      </w:r>
    </w:p>
    <w:p>
      <w:pPr>
        <w:pStyle w:val="Compact"/>
        <w:numPr>
          <w:ilvl w:val="0"/>
          <w:numId w:val="1059"/>
        </w:numPr>
      </w:pPr>
      <w:r>
        <w:t xml:space="preserve">New score</w:t>
      </w:r>
    </w:p>
    <w:p>
      <w:pPr>
        <w:pStyle w:val="Compact"/>
        <w:numPr>
          <w:ilvl w:val="0"/>
          <w:numId w:val="1059"/>
        </w:numPr>
      </w:pPr>
      <w:r>
        <w:t xml:space="preserve">Reason for override</w:t>
      </w:r>
    </w:p>
    <w:p>
      <w:pPr>
        <w:pStyle w:val="Compact"/>
        <w:numPr>
          <w:ilvl w:val="0"/>
          <w:numId w:val="1059"/>
        </w:numPr>
      </w:pPr>
      <w:r>
        <w:t xml:space="preserve">Analyst name</w:t>
      </w:r>
    </w:p>
    <w:p>
      <w:pPr>
        <w:pStyle w:val="Compact"/>
        <w:numPr>
          <w:ilvl w:val="0"/>
          <w:numId w:val="1059"/>
        </w:numPr>
      </w:pPr>
      <w:r>
        <w:t xml:space="preserve">Timestamp</w:t>
      </w:r>
    </w:p>
    <w:p>
      <w:pPr>
        <w:pStyle w:val="Compact"/>
        <w:numPr>
          <w:ilvl w:val="0"/>
          <w:numId w:val="1059"/>
        </w:numPr>
      </w:pPr>
      <w:r>
        <w:t xml:space="preserve">Optional expert reviewer approval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41" w:name="scoring-methodology"/>
    <w:p>
      <w:pPr>
        <w:pStyle w:val="Heading1"/>
      </w:pPr>
      <w:r>
        <w:t xml:space="preserve">8. Scoring Methodology</w:t>
      </w:r>
    </w:p>
    <w:bookmarkStart w:id="133" w:name="overall-scoring-philosophy"/>
    <w:p>
      <w:pPr>
        <w:pStyle w:val="Heading2"/>
      </w:pPr>
      <w:r>
        <w:t xml:space="preserve">8.1 Overall Scoring Philosophy</w:t>
      </w:r>
    </w:p>
    <w:p>
      <w:pPr>
        <w:pStyle w:val="FirstParagraph"/>
      </w:pPr>
      <w:r>
        <w:t xml:space="preserve">The score should not pretend to know actual available grid capacity unless confirmed by a utility/TSP/DSP/ISO/RTO study.</w:t>
      </w:r>
    </w:p>
    <w:p>
      <w:pPr>
        <w:pStyle w:val="BodyText"/>
      </w:pPr>
      <w:r>
        <w:t xml:space="preserve">The score should represent:</w:t>
      </w:r>
    </w:p>
    <w:p>
      <w:pPr>
        <w:pStyle w:val="BodyText"/>
      </w:pPr>
      <w:r>
        <w:rPr>
          <w:b/>
          <w:bCs/>
        </w:rPr>
        <w:t xml:space="preserve">Probability that the site is worth further development diligence based on available evidence.</w:t>
      </w:r>
    </w:p>
    <w:p>
      <w:pPr>
        <w:pStyle w:val="BodyText"/>
      </w:pPr>
      <w:r>
        <w:t xml:space="preserve">The scoring engine must separate:</w:t>
      </w:r>
    </w:p>
    <w:p>
      <w:pPr>
        <w:pStyle w:val="Compact"/>
        <w:numPr>
          <w:ilvl w:val="0"/>
          <w:numId w:val="1060"/>
        </w:numPr>
      </w:pPr>
      <w:r>
        <w:t xml:space="preserve">Site attractiveness</w:t>
      </w:r>
    </w:p>
    <w:p>
      <w:pPr>
        <w:pStyle w:val="Compact"/>
        <w:numPr>
          <w:ilvl w:val="0"/>
          <w:numId w:val="1060"/>
        </w:numPr>
      </w:pPr>
      <w:r>
        <w:t xml:space="preserve">Interconnection readiness</w:t>
      </w:r>
    </w:p>
    <w:p>
      <w:pPr>
        <w:pStyle w:val="Compact"/>
        <w:numPr>
          <w:ilvl w:val="0"/>
          <w:numId w:val="1060"/>
        </w:numPr>
      </w:pPr>
      <w:r>
        <w:t xml:space="preserve">Reliability readiness</w:t>
      </w:r>
    </w:p>
    <w:p>
      <w:pPr>
        <w:pStyle w:val="Compact"/>
        <w:numPr>
          <w:ilvl w:val="0"/>
          <w:numId w:val="1060"/>
        </w:numPr>
      </w:pPr>
      <w:r>
        <w:t xml:space="preserve">Data confidence</w:t>
      </w:r>
    </w:p>
    <w:p>
      <w:pPr>
        <w:pStyle w:val="FirstParagraph"/>
      </w:pPr>
      <w:r>
        <w:t xml:space="preserve">A site may score well on physical grid proximity but poorly on confidence if critical data is missing.</w:t>
      </w:r>
    </w:p>
    <w:p>
      <w:r>
        <w:pict>
          <v:rect style="width:0;height:1.5pt" o:hralign="center" o:hrstd="t" o:hr="t"/>
        </w:pict>
      </w:r>
    </w:p>
    <w:bookmarkEnd w:id="133"/>
    <w:bookmarkStart w:id="134" w:name="power-feasibility-score"/>
    <w:p>
      <w:pPr>
        <w:pStyle w:val="Heading2"/>
      </w:pPr>
      <w:r>
        <w:t xml:space="preserve">8.2 Power Feasibility Score</w:t>
      </w:r>
    </w:p>
    <w:p>
      <w:pPr>
        <w:pStyle w:val="FirstParagraph"/>
      </w:pPr>
      <w:r>
        <w:t xml:space="preserve">Weight in overall score: 30%</w:t>
      </w:r>
    </w:p>
    <w:p>
      <w:pPr>
        <w:pStyle w:val="BodyText"/>
      </w:pPr>
      <w:r>
        <w:t xml:space="preserve">Sub-factors:</w:t>
      </w:r>
    </w:p>
    <w:p>
      <w:pPr>
        <w:pStyle w:val="Compact"/>
        <w:numPr>
          <w:ilvl w:val="0"/>
          <w:numId w:val="1061"/>
        </w:numPr>
      </w:pPr>
      <w:r>
        <w:t xml:space="preserve">Transmission proximity — 20%</w:t>
      </w:r>
    </w:p>
    <w:p>
      <w:pPr>
        <w:pStyle w:val="Compact"/>
        <w:numPr>
          <w:ilvl w:val="0"/>
          <w:numId w:val="1061"/>
        </w:numPr>
      </w:pPr>
      <w:r>
        <w:t xml:space="preserve">Substation proximity — 20%</w:t>
      </w:r>
    </w:p>
    <w:p>
      <w:pPr>
        <w:pStyle w:val="Compact"/>
        <w:numPr>
          <w:ilvl w:val="0"/>
          <w:numId w:val="1061"/>
        </w:numPr>
      </w:pPr>
      <w:r>
        <w:t xml:space="preserve">Voltage class suitability — 15%</w:t>
      </w:r>
    </w:p>
    <w:p>
      <w:pPr>
        <w:pStyle w:val="Compact"/>
        <w:numPr>
          <w:ilvl w:val="0"/>
          <w:numId w:val="1061"/>
        </w:numPr>
      </w:pPr>
      <w:r>
        <w:t xml:space="preserve">Utility/TSP/DSP clarity — 10%</w:t>
      </w:r>
    </w:p>
    <w:p>
      <w:pPr>
        <w:pStyle w:val="Compact"/>
        <w:numPr>
          <w:ilvl w:val="0"/>
          <w:numId w:val="1061"/>
        </w:numPr>
      </w:pPr>
      <w:r>
        <w:t xml:space="preserve">Known grid constraint indicators — 15%</w:t>
      </w:r>
    </w:p>
    <w:p>
      <w:pPr>
        <w:pStyle w:val="Compact"/>
        <w:numPr>
          <w:ilvl w:val="0"/>
          <w:numId w:val="1061"/>
        </w:numPr>
      </w:pPr>
      <w:r>
        <w:t xml:space="preserve">Likely upgrade complexity — 10%</w:t>
      </w:r>
    </w:p>
    <w:p>
      <w:pPr>
        <w:pStyle w:val="Compact"/>
        <w:numPr>
          <w:ilvl w:val="0"/>
          <w:numId w:val="1061"/>
        </w:numPr>
      </w:pPr>
      <w:r>
        <w:t xml:space="preserve">Time-to-power plausibility — 10%</w:t>
      </w:r>
    </w:p>
    <w:p>
      <w:pPr>
        <w:pStyle w:val="FirstParagraph"/>
      </w:pPr>
      <w:r>
        <w:t xml:space="preserve">Example scoring guidance:</w:t>
      </w:r>
    </w:p>
    <w:p>
      <w:pPr>
        <w:pStyle w:val="Compact"/>
        <w:numPr>
          <w:ilvl w:val="0"/>
          <w:numId w:val="1062"/>
        </w:numPr>
      </w:pPr>
      <w:r>
        <w:t xml:space="preserve">90–100: Strong nearby infrastructure, high-voltage access, clear utility/TSP path, no obvious public constraint indicators</w:t>
      </w:r>
    </w:p>
    <w:p>
      <w:pPr>
        <w:pStyle w:val="Compact"/>
        <w:numPr>
          <w:ilvl w:val="0"/>
          <w:numId w:val="1062"/>
        </w:numPr>
      </w:pPr>
      <w:r>
        <w:t xml:space="preserve">70–89: Good infrastructure context, some unresolved questions</w:t>
      </w:r>
    </w:p>
    <w:p>
      <w:pPr>
        <w:pStyle w:val="Compact"/>
        <w:numPr>
          <w:ilvl w:val="0"/>
          <w:numId w:val="1062"/>
        </w:numPr>
      </w:pPr>
      <w:r>
        <w:t xml:space="preserve">50–69: Plausible but uncertain</w:t>
      </w:r>
    </w:p>
    <w:p>
      <w:pPr>
        <w:pStyle w:val="Compact"/>
        <w:numPr>
          <w:ilvl w:val="0"/>
          <w:numId w:val="1062"/>
        </w:numPr>
      </w:pPr>
      <w:r>
        <w:t xml:space="preserve">30–49: Weak indicators, likely major diligence required</w:t>
      </w:r>
    </w:p>
    <w:p>
      <w:pPr>
        <w:pStyle w:val="Compact"/>
        <w:numPr>
          <w:ilvl w:val="0"/>
          <w:numId w:val="1062"/>
        </w:numPr>
      </w:pPr>
      <w:r>
        <w:t xml:space="preserve">0–29: No credible power-feasibility evidence yet</w:t>
      </w:r>
    </w:p>
    <w:p>
      <w:r>
        <w:pict>
          <v:rect style="width:0;height:1.5pt" o:hralign="center" o:hrstd="t" o:hr="t"/>
        </w:pict>
      </w:r>
    </w:p>
    <w:bookmarkEnd w:id="134"/>
    <w:bookmarkStart w:id="135" w:name="interconnection-readiness-score"/>
    <w:p>
      <w:pPr>
        <w:pStyle w:val="Heading2"/>
      </w:pPr>
      <w:r>
        <w:t xml:space="preserve">8.3 Interconnection Readiness Score</w:t>
      </w:r>
    </w:p>
    <w:p>
      <w:pPr>
        <w:pStyle w:val="FirstParagraph"/>
      </w:pPr>
      <w:r>
        <w:t xml:space="preserve">Weight in overall score: 20%</w:t>
      </w:r>
    </w:p>
    <w:p>
      <w:pPr>
        <w:pStyle w:val="BodyText"/>
      </w:pPr>
      <w:r>
        <w:t xml:space="preserve">Sub-factors:</w:t>
      </w:r>
    </w:p>
    <w:p>
      <w:pPr>
        <w:pStyle w:val="Compact"/>
        <w:numPr>
          <w:ilvl w:val="0"/>
          <w:numId w:val="1063"/>
        </w:numPr>
      </w:pPr>
      <w:r>
        <w:t xml:space="preserve">Applicable process identified — 15%</w:t>
      </w:r>
    </w:p>
    <w:p>
      <w:pPr>
        <w:pStyle w:val="Compact"/>
        <w:numPr>
          <w:ilvl w:val="0"/>
          <w:numId w:val="1063"/>
        </w:numPr>
      </w:pPr>
      <w:r>
        <w:t xml:space="preserve">Required information available — 20%</w:t>
      </w:r>
    </w:p>
    <w:p>
      <w:pPr>
        <w:pStyle w:val="Compact"/>
        <w:numPr>
          <w:ilvl w:val="0"/>
          <w:numId w:val="1063"/>
        </w:numPr>
      </w:pPr>
      <w:r>
        <w:t xml:space="preserve">Load ramp schedule clarity — 10%</w:t>
      </w:r>
    </w:p>
    <w:p>
      <w:pPr>
        <w:pStyle w:val="Compact"/>
        <w:numPr>
          <w:ilvl w:val="0"/>
          <w:numId w:val="1063"/>
        </w:numPr>
      </w:pPr>
      <w:r>
        <w:t xml:space="preserve">Project entity/land control clarity — 10%</w:t>
      </w:r>
    </w:p>
    <w:p>
      <w:pPr>
        <w:pStyle w:val="Compact"/>
        <w:numPr>
          <w:ilvl w:val="0"/>
          <w:numId w:val="1063"/>
        </w:numPr>
      </w:pPr>
      <w:r>
        <w:t xml:space="preserve">One-line/model/protection inputs — 15%</w:t>
      </w:r>
    </w:p>
    <w:p>
      <w:pPr>
        <w:pStyle w:val="Compact"/>
        <w:numPr>
          <w:ilvl w:val="0"/>
          <w:numId w:val="1063"/>
        </w:numPr>
      </w:pPr>
      <w:r>
        <w:t xml:space="preserve">Commissioning plan readiness — 10%</w:t>
      </w:r>
    </w:p>
    <w:p>
      <w:pPr>
        <w:pStyle w:val="Compact"/>
        <w:numPr>
          <w:ilvl w:val="0"/>
          <w:numId w:val="1063"/>
        </w:numPr>
      </w:pPr>
      <w:r>
        <w:t xml:space="preserve">Utility/TSP communication maturity — 10%</w:t>
      </w:r>
    </w:p>
    <w:p>
      <w:pPr>
        <w:pStyle w:val="Compact"/>
        <w:numPr>
          <w:ilvl w:val="0"/>
          <w:numId w:val="1063"/>
        </w:numPr>
      </w:pPr>
      <w:r>
        <w:t xml:space="preserve">Financial/security readiness — 10%</w:t>
      </w:r>
    </w:p>
    <w:p>
      <w:r>
        <w:pict>
          <v:rect style="width:0;height:1.5pt" o:hralign="center" o:hrstd="t" o:hr="t"/>
        </w:pict>
      </w:r>
    </w:p>
    <w:bookmarkEnd w:id="135"/>
    <w:bookmarkStart w:id="136" w:name="grid-reliability-readiness-score"/>
    <w:p>
      <w:pPr>
        <w:pStyle w:val="Heading2"/>
      </w:pPr>
      <w:r>
        <w:t xml:space="preserve">8.4 Grid Reliability Readiness Score</w:t>
      </w:r>
    </w:p>
    <w:p>
      <w:pPr>
        <w:pStyle w:val="FirstParagraph"/>
      </w:pPr>
      <w:r>
        <w:t xml:space="preserve">Weight in overall score: 15%</w:t>
      </w:r>
    </w:p>
    <w:p>
      <w:pPr>
        <w:pStyle w:val="BodyText"/>
      </w:pPr>
      <w:r>
        <w:t xml:space="preserve">Sub-factors:</w:t>
      </w:r>
    </w:p>
    <w:p>
      <w:pPr>
        <w:pStyle w:val="Compact"/>
        <w:numPr>
          <w:ilvl w:val="0"/>
          <w:numId w:val="1064"/>
        </w:numPr>
      </w:pPr>
      <w:r>
        <w:t xml:space="preserve">Voltage ride-through information — 20%</w:t>
      </w:r>
    </w:p>
    <w:p>
      <w:pPr>
        <w:pStyle w:val="Compact"/>
        <w:numPr>
          <w:ilvl w:val="0"/>
          <w:numId w:val="1064"/>
        </w:numPr>
      </w:pPr>
      <w:r>
        <w:t xml:space="preserve">Frequency ride-through information — 15%</w:t>
      </w:r>
    </w:p>
    <w:p>
      <w:pPr>
        <w:pStyle w:val="Compact"/>
        <w:numPr>
          <w:ilvl w:val="0"/>
          <w:numId w:val="1064"/>
        </w:numPr>
      </w:pPr>
      <w:r>
        <w:t xml:space="preserve">Protection settings — 15%</w:t>
      </w:r>
    </w:p>
    <w:p>
      <w:pPr>
        <w:pStyle w:val="Compact"/>
        <w:numPr>
          <w:ilvl w:val="0"/>
          <w:numId w:val="1064"/>
        </w:numPr>
      </w:pPr>
      <w:r>
        <w:t xml:space="preserve">UPS/backup generation behaviour — 15%</w:t>
      </w:r>
    </w:p>
    <w:p>
      <w:pPr>
        <w:pStyle w:val="Compact"/>
        <w:numPr>
          <w:ilvl w:val="0"/>
          <w:numId w:val="1064"/>
        </w:numPr>
      </w:pPr>
      <w:r>
        <w:t xml:space="preserve">Dynamic model availability — 10%</w:t>
      </w:r>
    </w:p>
    <w:p>
      <w:pPr>
        <w:pStyle w:val="Compact"/>
        <w:numPr>
          <w:ilvl w:val="0"/>
          <w:numId w:val="1064"/>
        </w:numPr>
      </w:pPr>
      <w:r>
        <w:t xml:space="preserve">Telemetry/observability readiness — 10%</w:t>
      </w:r>
    </w:p>
    <w:p>
      <w:pPr>
        <w:pStyle w:val="Compact"/>
        <w:numPr>
          <w:ilvl w:val="0"/>
          <w:numId w:val="1064"/>
        </w:numPr>
      </w:pPr>
      <w:r>
        <w:t xml:space="preserve">Staged ramp/controlled disconnection — 10%</w:t>
      </w:r>
    </w:p>
    <w:p>
      <w:pPr>
        <w:pStyle w:val="Compact"/>
        <w:numPr>
          <w:ilvl w:val="0"/>
          <w:numId w:val="1064"/>
        </w:numPr>
      </w:pPr>
      <w:r>
        <w:t xml:space="preserve">Co-located generation coordination — 5%</w:t>
      </w:r>
    </w:p>
    <w:p>
      <w:r>
        <w:pict>
          <v:rect style="width:0;height:1.5pt" o:hralign="center" o:hrstd="t" o:hr="t"/>
        </w:pict>
      </w:r>
    </w:p>
    <w:bookmarkEnd w:id="136"/>
    <w:bookmarkStart w:id="137" w:name="energy-economics-and-congestion-score"/>
    <w:p>
      <w:pPr>
        <w:pStyle w:val="Heading2"/>
      </w:pPr>
      <w:r>
        <w:t xml:space="preserve">8.5 Energy Economics and Congestion Score</w:t>
      </w:r>
    </w:p>
    <w:p>
      <w:pPr>
        <w:pStyle w:val="FirstParagraph"/>
      </w:pPr>
      <w:r>
        <w:t xml:space="preserve">Weight in overall score: 10%</w:t>
      </w:r>
    </w:p>
    <w:p>
      <w:pPr>
        <w:pStyle w:val="BodyText"/>
      </w:pPr>
      <w:r>
        <w:t xml:space="preserve">Sub-factors:</w:t>
      </w:r>
    </w:p>
    <w:p>
      <w:pPr>
        <w:pStyle w:val="Compact"/>
        <w:numPr>
          <w:ilvl w:val="0"/>
          <w:numId w:val="1065"/>
        </w:numPr>
      </w:pPr>
      <w:r>
        <w:t xml:space="preserve">Power price zone attractiveness — 20%</w:t>
      </w:r>
    </w:p>
    <w:p>
      <w:pPr>
        <w:pStyle w:val="Compact"/>
        <w:numPr>
          <w:ilvl w:val="0"/>
          <w:numId w:val="1065"/>
        </w:numPr>
      </w:pPr>
      <w:r>
        <w:t xml:space="preserve">Congestion risk — 25%</w:t>
      </w:r>
    </w:p>
    <w:p>
      <w:pPr>
        <w:pStyle w:val="Compact"/>
        <w:numPr>
          <w:ilvl w:val="0"/>
          <w:numId w:val="1065"/>
        </w:numPr>
      </w:pPr>
      <w:r>
        <w:t xml:space="preserve">Nearby generation optionality — 20%</w:t>
      </w:r>
    </w:p>
    <w:p>
      <w:pPr>
        <w:pStyle w:val="Compact"/>
        <w:numPr>
          <w:ilvl w:val="0"/>
          <w:numId w:val="1065"/>
        </w:numPr>
      </w:pPr>
      <w:r>
        <w:t xml:space="preserve">Retail/utility service clarity — 15%</w:t>
      </w:r>
    </w:p>
    <w:p>
      <w:pPr>
        <w:pStyle w:val="Compact"/>
        <w:numPr>
          <w:ilvl w:val="0"/>
          <w:numId w:val="1065"/>
        </w:numPr>
      </w:pPr>
      <w:r>
        <w:t xml:space="preserve">Behind-the-meter feasibility — 10%</w:t>
      </w:r>
    </w:p>
    <w:p>
      <w:pPr>
        <w:pStyle w:val="Compact"/>
        <w:numPr>
          <w:ilvl w:val="0"/>
          <w:numId w:val="1065"/>
        </w:numPr>
      </w:pPr>
      <w:r>
        <w:t xml:space="preserve">Power procurement optionality — 10%</w:t>
      </w:r>
    </w:p>
    <w:p>
      <w:r>
        <w:pict>
          <v:rect style="width:0;height:1.5pt" o:hralign="center" o:hrstd="t" o:hr="t"/>
        </w:pict>
      </w:r>
    </w:p>
    <w:bookmarkEnd w:id="137"/>
    <w:bookmarkStart w:id="138" w:name="flexibility-potential-score"/>
    <w:p>
      <w:pPr>
        <w:pStyle w:val="Heading2"/>
      </w:pPr>
      <w:r>
        <w:t xml:space="preserve">8.6 Flexibility Potential Score</w:t>
      </w:r>
    </w:p>
    <w:p>
      <w:pPr>
        <w:pStyle w:val="FirstParagraph"/>
      </w:pPr>
      <w:r>
        <w:t xml:space="preserve">Weight in overall score: 10%</w:t>
      </w:r>
    </w:p>
    <w:p>
      <w:pPr>
        <w:pStyle w:val="BodyText"/>
      </w:pPr>
      <w:r>
        <w:t xml:space="preserve">Sub-factors:</w:t>
      </w:r>
    </w:p>
    <w:p>
      <w:pPr>
        <w:pStyle w:val="Compact"/>
        <w:numPr>
          <w:ilvl w:val="0"/>
          <w:numId w:val="1066"/>
        </w:numPr>
      </w:pPr>
      <w:r>
        <w:t xml:space="preserve">Curtailment capability — 20%</w:t>
      </w:r>
    </w:p>
    <w:p>
      <w:pPr>
        <w:pStyle w:val="Compact"/>
        <w:numPr>
          <w:ilvl w:val="0"/>
          <w:numId w:val="1066"/>
        </w:numPr>
      </w:pPr>
      <w:r>
        <w:t xml:space="preserve">Staged energization — 15%</w:t>
      </w:r>
    </w:p>
    <w:p>
      <w:pPr>
        <w:pStyle w:val="Compact"/>
        <w:numPr>
          <w:ilvl w:val="0"/>
          <w:numId w:val="1066"/>
        </w:numPr>
      </w:pPr>
      <w:r>
        <w:t xml:space="preserve">Workload shifting — 20%</w:t>
      </w:r>
    </w:p>
    <w:p>
      <w:pPr>
        <w:pStyle w:val="Compact"/>
        <w:numPr>
          <w:ilvl w:val="0"/>
          <w:numId w:val="1066"/>
        </w:numPr>
      </w:pPr>
      <w:r>
        <w:t xml:space="preserve">Battery storage — 15%</w:t>
      </w:r>
    </w:p>
    <w:p>
      <w:pPr>
        <w:pStyle w:val="Compact"/>
        <w:numPr>
          <w:ilvl w:val="0"/>
          <w:numId w:val="1066"/>
        </w:numPr>
      </w:pPr>
      <w:r>
        <w:t xml:space="preserve">Backup generation coordination — 10%</w:t>
      </w:r>
    </w:p>
    <w:p>
      <w:pPr>
        <w:pStyle w:val="Compact"/>
        <w:numPr>
          <w:ilvl w:val="0"/>
          <w:numId w:val="1066"/>
        </w:numPr>
      </w:pPr>
      <w:r>
        <w:t xml:space="preserve">Demand-response eligibility — 10%</w:t>
      </w:r>
    </w:p>
    <w:p>
      <w:pPr>
        <w:pStyle w:val="Compact"/>
        <w:numPr>
          <w:ilvl w:val="0"/>
          <w:numId w:val="1066"/>
        </w:numPr>
      </w:pPr>
      <w:r>
        <w:t xml:space="preserve">Telemetry/control maturity — 10%</w:t>
      </w:r>
    </w:p>
    <w:p>
      <w:r>
        <w:pict>
          <v:rect style="width:0;height:1.5pt" o:hralign="center" o:hrstd="t" o:hr="t"/>
        </w:pict>
      </w:r>
    </w:p>
    <w:bookmarkEnd w:id="138"/>
    <w:bookmarkStart w:id="139" w:name="sitepermittingwater-risk-score"/>
    <w:p>
      <w:pPr>
        <w:pStyle w:val="Heading2"/>
      </w:pPr>
      <w:r>
        <w:t xml:space="preserve">8.7 Site/Permitting/Water Risk Score</w:t>
      </w:r>
    </w:p>
    <w:p>
      <w:pPr>
        <w:pStyle w:val="FirstParagraph"/>
      </w:pPr>
      <w:r>
        <w:t xml:space="preserve">Weight in overall score: 10%</w:t>
      </w:r>
    </w:p>
    <w:p>
      <w:pPr>
        <w:pStyle w:val="BodyText"/>
      </w:pPr>
      <w:r>
        <w:t xml:space="preserve">Sub-factors:</w:t>
      </w:r>
    </w:p>
    <w:p>
      <w:pPr>
        <w:pStyle w:val="Compact"/>
        <w:numPr>
          <w:ilvl w:val="0"/>
          <w:numId w:val="1067"/>
        </w:numPr>
      </w:pPr>
      <w:r>
        <w:t xml:space="preserve">Land control — 15%</w:t>
      </w:r>
    </w:p>
    <w:p>
      <w:pPr>
        <w:pStyle w:val="Compact"/>
        <w:numPr>
          <w:ilvl w:val="0"/>
          <w:numId w:val="1067"/>
        </w:numPr>
      </w:pPr>
      <w:r>
        <w:t xml:space="preserve">Zoning compatibility — 15%</w:t>
      </w:r>
    </w:p>
    <w:p>
      <w:pPr>
        <w:pStyle w:val="Compact"/>
        <w:numPr>
          <w:ilvl w:val="0"/>
          <w:numId w:val="1067"/>
        </w:numPr>
      </w:pPr>
      <w:r>
        <w:t xml:space="preserve">Water/cooling feasibility — 20%</w:t>
      </w:r>
    </w:p>
    <w:p>
      <w:pPr>
        <w:pStyle w:val="Compact"/>
        <w:numPr>
          <w:ilvl w:val="0"/>
          <w:numId w:val="1067"/>
        </w:numPr>
      </w:pPr>
      <w:r>
        <w:t xml:space="preserve">Flood/environmental constraints — 15%</w:t>
      </w:r>
    </w:p>
    <w:p>
      <w:pPr>
        <w:pStyle w:val="Compact"/>
        <w:numPr>
          <w:ilvl w:val="0"/>
          <w:numId w:val="1067"/>
        </w:numPr>
      </w:pPr>
      <w:r>
        <w:t xml:space="preserve">Community/permitting risk — 15%</w:t>
      </w:r>
    </w:p>
    <w:p>
      <w:pPr>
        <w:pStyle w:val="Compact"/>
        <w:numPr>
          <w:ilvl w:val="0"/>
          <w:numId w:val="1067"/>
        </w:numPr>
      </w:pPr>
      <w:r>
        <w:t xml:space="preserve">Road/fibre/infrastructure access — 10%</w:t>
      </w:r>
    </w:p>
    <w:p>
      <w:pPr>
        <w:pStyle w:val="Compact"/>
        <w:numPr>
          <w:ilvl w:val="0"/>
          <w:numId w:val="1067"/>
        </w:numPr>
      </w:pPr>
      <w:r>
        <w:t xml:space="preserve">Backup generation permitting risk — 10%</w:t>
      </w:r>
    </w:p>
    <w:p>
      <w:r>
        <w:pict>
          <v:rect style="width:0;height:1.5pt" o:hralign="center" o:hrstd="t" o:hr="t"/>
        </w:pict>
      </w:r>
    </w:p>
    <w:bookmarkEnd w:id="139"/>
    <w:bookmarkStart w:id="140" w:name="evidence-confidence-score"/>
    <w:p>
      <w:pPr>
        <w:pStyle w:val="Heading2"/>
      </w:pPr>
      <w:r>
        <w:t xml:space="preserve">8.8 Evidence Confidence Score</w:t>
      </w:r>
    </w:p>
    <w:p>
      <w:pPr>
        <w:pStyle w:val="FirstParagraph"/>
      </w:pPr>
      <w:r>
        <w:t xml:space="preserve">Weight in overall score: 5%</w:t>
      </w:r>
    </w:p>
    <w:p>
      <w:pPr>
        <w:pStyle w:val="BodyText"/>
      </w:pPr>
      <w:r>
        <w:t xml:space="preserve">Sub-factors:</w:t>
      </w:r>
    </w:p>
    <w:p>
      <w:pPr>
        <w:pStyle w:val="Compact"/>
        <w:numPr>
          <w:ilvl w:val="0"/>
          <w:numId w:val="1068"/>
        </w:numPr>
      </w:pPr>
      <w:r>
        <w:t xml:space="preserve">Official source coverage — 25%</w:t>
      </w:r>
    </w:p>
    <w:p>
      <w:pPr>
        <w:pStyle w:val="Compact"/>
        <w:numPr>
          <w:ilvl w:val="0"/>
          <w:numId w:val="1068"/>
        </w:numPr>
      </w:pPr>
      <w:r>
        <w:t xml:space="preserve">Customer documentation completeness — 20%</w:t>
      </w:r>
    </w:p>
    <w:p>
      <w:pPr>
        <w:pStyle w:val="Compact"/>
        <w:numPr>
          <w:ilvl w:val="0"/>
          <w:numId w:val="1068"/>
        </w:numPr>
      </w:pPr>
      <w:r>
        <w:t xml:space="preserve">GIS/data-source reliability — 15%</w:t>
      </w:r>
    </w:p>
    <w:p>
      <w:pPr>
        <w:pStyle w:val="Compact"/>
        <w:numPr>
          <w:ilvl w:val="0"/>
          <w:numId w:val="1068"/>
        </w:numPr>
      </w:pPr>
      <w:r>
        <w:t xml:space="preserve">Interconnection-process clarity — 15%</w:t>
      </w:r>
    </w:p>
    <w:p>
      <w:pPr>
        <w:pStyle w:val="Compact"/>
        <w:numPr>
          <w:ilvl w:val="0"/>
          <w:numId w:val="1068"/>
        </w:numPr>
      </w:pPr>
      <w:r>
        <w:t xml:space="preserve">Expert review completion — 15%</w:t>
      </w:r>
    </w:p>
    <w:p>
      <w:pPr>
        <w:pStyle w:val="Compact"/>
        <w:numPr>
          <w:ilvl w:val="0"/>
          <w:numId w:val="1068"/>
        </w:numPr>
      </w:pPr>
      <w:r>
        <w:t xml:space="preserve">Recency of data — 10%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4" w:name="report-specification"/>
    <w:p>
      <w:pPr>
        <w:pStyle w:val="Heading1"/>
      </w:pPr>
      <w:r>
        <w:t xml:space="preserve">9. Report Specification</w:t>
      </w:r>
    </w:p>
    <w:bookmarkStart w:id="142" w:name="executive-verdict"/>
    <w:p>
      <w:pPr>
        <w:pStyle w:val="Heading2"/>
      </w:pPr>
      <w:r>
        <w:t xml:space="preserve">9.1 Executive Verdict</w:t>
      </w:r>
    </w:p>
    <w:p>
      <w:pPr>
        <w:pStyle w:val="FirstParagraph"/>
      </w:pPr>
      <w:r>
        <w:t xml:space="preserve">The report must begin with a direct conclusion.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69"/>
        </w:numPr>
      </w:pPr>
      <w:r>
        <w:t xml:space="preserve">Overall verdict</w:t>
      </w:r>
    </w:p>
    <w:p>
      <w:pPr>
        <w:pStyle w:val="Compact"/>
        <w:numPr>
          <w:ilvl w:val="0"/>
          <w:numId w:val="1069"/>
        </w:numPr>
      </w:pPr>
      <w:r>
        <w:t xml:space="preserve">Overall score</w:t>
      </w:r>
    </w:p>
    <w:p>
      <w:pPr>
        <w:pStyle w:val="Compact"/>
        <w:numPr>
          <w:ilvl w:val="0"/>
          <w:numId w:val="1069"/>
        </w:numPr>
      </w:pPr>
      <w:r>
        <w:t xml:space="preserve">Confidence level</w:t>
      </w:r>
    </w:p>
    <w:p>
      <w:pPr>
        <w:pStyle w:val="Compact"/>
        <w:numPr>
          <w:ilvl w:val="0"/>
          <w:numId w:val="1069"/>
        </w:numPr>
      </w:pPr>
      <w:r>
        <w:t xml:space="preserve">Top 3 reasons supporting verdict</w:t>
      </w:r>
    </w:p>
    <w:p>
      <w:pPr>
        <w:pStyle w:val="Compact"/>
        <w:numPr>
          <w:ilvl w:val="0"/>
          <w:numId w:val="1069"/>
        </w:numPr>
      </w:pPr>
      <w:r>
        <w:t xml:space="preserve">Top 3 risks</w:t>
      </w:r>
    </w:p>
    <w:p>
      <w:pPr>
        <w:pStyle w:val="Compact"/>
        <w:numPr>
          <w:ilvl w:val="0"/>
          <w:numId w:val="1069"/>
        </w:numPr>
      </w:pPr>
      <w:r>
        <w:t xml:space="preserve">Recommended next action</w:t>
      </w:r>
    </w:p>
    <w:p>
      <w:pPr>
        <w:pStyle w:val="FirstParagraph"/>
      </w:pPr>
      <w:r>
        <w:t xml:space="preserve">Example format: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Proceed with targeted diligence</w:t>
      </w:r>
      <w:r>
        <w:br/>
      </w:r>
      <w:r>
        <w:rPr>
          <w:b/>
          <w:bCs/>
        </w:rPr>
        <w:t xml:space="preserve">Overall Power Readiness Score:</w:t>
      </w:r>
      <w:r>
        <w:t xml:space="preserve"> </w:t>
      </w:r>
      <w:r>
        <w:t xml:space="preserve">68/100</w:t>
      </w:r>
      <w:r>
        <w:br/>
      </w:r>
      <w:r>
        <w:rPr>
          <w:b/>
          <w:bCs/>
        </w:rPr>
        <w:t xml:space="preserve">Confidence: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Primary reason:</w:t>
      </w:r>
      <w:r>
        <w:t xml:space="preserve"> </w:t>
      </w:r>
      <w:r>
        <w:t xml:space="preserve">Site appears physically close to relevant grid infrastructure but has unresolved interconnection and reliability-readiness gaps.</w:t>
      </w:r>
      <w:r>
        <w:br/>
      </w:r>
      <w:r>
        <w:rPr>
          <w:b/>
          <w:bCs/>
        </w:rPr>
        <w:t xml:space="preserve">Recommended next step:</w:t>
      </w:r>
      <w:r>
        <w:t xml:space="preserve"> </w:t>
      </w:r>
      <w:r>
        <w:t xml:space="preserve">Confirm utility/TSP process, prepare missing load model inputs, and validate ride-through assumptions before land acquisition.</w:t>
      </w:r>
    </w:p>
    <w:p>
      <w:r>
        <w:pict>
          <v:rect style="width:0;height:1.5pt" o:hralign="center" o:hrstd="t" o:hr="t"/>
        </w:pict>
      </w:r>
    </w:p>
    <w:bookmarkEnd w:id="142"/>
    <w:bookmarkStart w:id="143" w:name="site-overview"/>
    <w:p>
      <w:pPr>
        <w:pStyle w:val="Heading2"/>
      </w:pPr>
      <w:r>
        <w:t xml:space="preserve">9.2 Site Overview</w:t>
      </w:r>
    </w:p>
    <w:p>
      <w:pPr>
        <w:pStyle w:val="FirstParagraph"/>
      </w:pPr>
      <w:r>
        <w:t xml:space="preserve">Required fields:</w:t>
      </w:r>
    </w:p>
    <w:p>
      <w:pPr>
        <w:pStyle w:val="Compact"/>
        <w:numPr>
          <w:ilvl w:val="0"/>
          <w:numId w:val="1070"/>
        </w:numPr>
      </w:pPr>
      <w:r>
        <w:t xml:space="preserve">Site name</w:t>
      </w:r>
    </w:p>
    <w:p>
      <w:pPr>
        <w:pStyle w:val="Compact"/>
        <w:numPr>
          <w:ilvl w:val="0"/>
          <w:numId w:val="1070"/>
        </w:numPr>
      </w:pPr>
      <w:r>
        <w:t xml:space="preserve">Address/coordinates</w:t>
      </w:r>
    </w:p>
    <w:p>
      <w:pPr>
        <w:pStyle w:val="Compact"/>
        <w:numPr>
          <w:ilvl w:val="0"/>
          <w:numId w:val="1070"/>
        </w:numPr>
      </w:pPr>
      <w:r>
        <w:t xml:space="preserve">County</w:t>
      </w:r>
    </w:p>
    <w:p>
      <w:pPr>
        <w:pStyle w:val="Compact"/>
        <w:numPr>
          <w:ilvl w:val="0"/>
          <w:numId w:val="1070"/>
        </w:numPr>
      </w:pPr>
      <w:r>
        <w:t xml:space="preserve">State</w:t>
      </w:r>
    </w:p>
    <w:p>
      <w:pPr>
        <w:pStyle w:val="Compact"/>
        <w:numPr>
          <w:ilvl w:val="0"/>
          <w:numId w:val="1070"/>
        </w:numPr>
      </w:pPr>
      <w:r>
        <w:t xml:space="preserve">Market/region</w:t>
      </w:r>
    </w:p>
    <w:p>
      <w:pPr>
        <w:pStyle w:val="Compact"/>
        <w:numPr>
          <w:ilvl w:val="0"/>
          <w:numId w:val="1070"/>
        </w:numPr>
      </w:pPr>
      <w:r>
        <w:t xml:space="preserve">Customer</w:t>
      </w:r>
    </w:p>
    <w:p>
      <w:pPr>
        <w:pStyle w:val="Compact"/>
        <w:numPr>
          <w:ilvl w:val="0"/>
          <w:numId w:val="1070"/>
        </w:numPr>
      </w:pPr>
      <w:r>
        <w:t xml:space="preserve">Target load</w:t>
      </w:r>
    </w:p>
    <w:p>
      <w:pPr>
        <w:pStyle w:val="Compact"/>
        <w:numPr>
          <w:ilvl w:val="0"/>
          <w:numId w:val="1070"/>
        </w:numPr>
      </w:pPr>
      <w:r>
        <w:t xml:space="preserve">Phase 1 load</w:t>
      </w:r>
    </w:p>
    <w:p>
      <w:pPr>
        <w:pStyle w:val="Compact"/>
        <w:numPr>
          <w:ilvl w:val="0"/>
          <w:numId w:val="1070"/>
        </w:numPr>
      </w:pPr>
      <w:r>
        <w:t xml:space="preserve">Full buildout load</w:t>
      </w:r>
    </w:p>
    <w:p>
      <w:pPr>
        <w:pStyle w:val="Compact"/>
        <w:numPr>
          <w:ilvl w:val="0"/>
          <w:numId w:val="1070"/>
        </w:numPr>
      </w:pPr>
      <w:r>
        <w:t xml:space="preserve">Desired energization date</w:t>
      </w:r>
    </w:p>
    <w:p>
      <w:pPr>
        <w:pStyle w:val="Compact"/>
        <w:numPr>
          <w:ilvl w:val="0"/>
          <w:numId w:val="1070"/>
        </w:numPr>
      </w:pPr>
      <w:r>
        <w:t xml:space="preserve">Land status</w:t>
      </w:r>
    </w:p>
    <w:p>
      <w:pPr>
        <w:pStyle w:val="Compact"/>
        <w:numPr>
          <w:ilvl w:val="0"/>
          <w:numId w:val="1070"/>
        </w:numPr>
      </w:pPr>
      <w:r>
        <w:t xml:space="preserve">Existing known utility/TSP/DSP</w:t>
      </w:r>
    </w:p>
    <w:p>
      <w:pPr>
        <w:pStyle w:val="Compact"/>
        <w:numPr>
          <w:ilvl w:val="0"/>
          <w:numId w:val="1070"/>
        </w:numPr>
      </w:pPr>
      <w:r>
        <w:t xml:space="preserve">Report date</w:t>
      </w:r>
    </w:p>
    <w:p>
      <w:pPr>
        <w:pStyle w:val="Compact"/>
        <w:numPr>
          <w:ilvl w:val="0"/>
          <w:numId w:val="1070"/>
        </w:numPr>
      </w:pPr>
      <w:r>
        <w:t xml:space="preserve">Analyst</w:t>
      </w:r>
    </w:p>
    <w:p>
      <w:pPr>
        <w:pStyle w:val="Compact"/>
        <w:numPr>
          <w:ilvl w:val="0"/>
          <w:numId w:val="1070"/>
        </w:numPr>
      </w:pPr>
      <w:r>
        <w:t xml:space="preserve">Reviewer</w:t>
      </w:r>
    </w:p>
    <w:p>
      <w:r>
        <w:pict>
          <v:rect style="width:0;height:1.5pt" o:hralign="center" o:hrstd="t" o:hr="t"/>
        </w:pict>
      </w:r>
    </w:p>
    <w:bookmarkEnd w:id="143"/>
    <w:bookmarkStart w:id="144" w:name="project-assumptions"/>
    <w:p>
      <w:pPr>
        <w:pStyle w:val="Heading2"/>
      </w:pPr>
      <w:r>
        <w:t xml:space="preserve">9.3 Project Assumptions</w:t>
      </w:r>
    </w:p>
    <w:p>
      <w:pPr>
        <w:pStyle w:val="FirstParagraph"/>
      </w:pPr>
      <w:r>
        <w:t xml:space="preserve">The report must explicitly state assumptions.</w:t>
      </w:r>
    </w:p>
    <w:p>
      <w:pPr>
        <w:pStyle w:val="BodyText"/>
      </w:pPr>
      <w:r>
        <w:t xml:space="preserve">Required assumptions:</w:t>
      </w:r>
    </w:p>
    <w:p>
      <w:pPr>
        <w:pStyle w:val="Compact"/>
        <w:numPr>
          <w:ilvl w:val="0"/>
          <w:numId w:val="1071"/>
        </w:numPr>
      </w:pPr>
      <w:r>
        <w:t xml:space="preserve">Load size</w:t>
      </w:r>
    </w:p>
    <w:p>
      <w:pPr>
        <w:pStyle w:val="Compact"/>
        <w:numPr>
          <w:ilvl w:val="0"/>
          <w:numId w:val="1071"/>
        </w:numPr>
      </w:pPr>
      <w:r>
        <w:t xml:space="preserve">Load ramp schedule</w:t>
      </w:r>
    </w:p>
    <w:p>
      <w:pPr>
        <w:pStyle w:val="Compact"/>
        <w:numPr>
          <w:ilvl w:val="0"/>
          <w:numId w:val="1071"/>
        </w:numPr>
      </w:pPr>
      <w:r>
        <w:t xml:space="preserve">Availability of customer-provided information</w:t>
      </w:r>
    </w:p>
    <w:p>
      <w:pPr>
        <w:pStyle w:val="Compact"/>
        <w:numPr>
          <w:ilvl w:val="0"/>
          <w:numId w:val="1071"/>
        </w:numPr>
      </w:pPr>
      <w:r>
        <w:t xml:space="preserve">Whether land is controlled</w:t>
      </w:r>
    </w:p>
    <w:p>
      <w:pPr>
        <w:pStyle w:val="Compact"/>
        <w:numPr>
          <w:ilvl w:val="0"/>
          <w:numId w:val="1071"/>
        </w:numPr>
      </w:pPr>
      <w:r>
        <w:t xml:space="preserve">Whether backup generation is planned</w:t>
      </w:r>
    </w:p>
    <w:p>
      <w:pPr>
        <w:pStyle w:val="Compact"/>
        <w:numPr>
          <w:ilvl w:val="0"/>
          <w:numId w:val="1071"/>
        </w:numPr>
      </w:pPr>
      <w:r>
        <w:t xml:space="preserve">Whether battery storage is planned</w:t>
      </w:r>
    </w:p>
    <w:p>
      <w:pPr>
        <w:pStyle w:val="Compact"/>
        <w:numPr>
          <w:ilvl w:val="0"/>
          <w:numId w:val="1071"/>
        </w:numPr>
      </w:pPr>
      <w:r>
        <w:t xml:space="preserve">Whether workload flexibility is available</w:t>
      </w:r>
    </w:p>
    <w:p>
      <w:pPr>
        <w:pStyle w:val="Compact"/>
        <w:numPr>
          <w:ilvl w:val="0"/>
          <w:numId w:val="1071"/>
        </w:numPr>
      </w:pPr>
      <w:r>
        <w:t xml:space="preserve">Whether utility/TSP confirmation has been obtained</w:t>
      </w:r>
    </w:p>
    <w:p>
      <w:pPr>
        <w:pStyle w:val="Compact"/>
        <w:numPr>
          <w:ilvl w:val="0"/>
          <w:numId w:val="1071"/>
        </w:numPr>
      </w:pPr>
      <w:r>
        <w:t xml:space="preserve">Whether report is based only on public data and customer inputs</w:t>
      </w:r>
    </w:p>
    <w:p>
      <w:r>
        <w:pict>
          <v:rect style="width:0;height:1.5pt" o:hralign="center" o:hrstd="t" o:hr="t"/>
        </w:pict>
      </w:r>
    </w:p>
    <w:bookmarkEnd w:id="144"/>
    <w:bookmarkStart w:id="145" w:name="power-feasibility-section"/>
    <w:p>
      <w:pPr>
        <w:pStyle w:val="Heading2"/>
      </w:pPr>
      <w:r>
        <w:t xml:space="preserve">9.4 Power Feasibility Section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72"/>
        </w:numPr>
      </w:pPr>
      <w:r>
        <w:t xml:space="preserve">Map of site and nearby grid assets</w:t>
      </w:r>
    </w:p>
    <w:p>
      <w:pPr>
        <w:pStyle w:val="Compact"/>
        <w:numPr>
          <w:ilvl w:val="0"/>
          <w:numId w:val="1072"/>
        </w:numPr>
      </w:pPr>
      <w:r>
        <w:t xml:space="preserve">Nearest substations</w:t>
      </w:r>
    </w:p>
    <w:p>
      <w:pPr>
        <w:pStyle w:val="Compact"/>
        <w:numPr>
          <w:ilvl w:val="0"/>
          <w:numId w:val="1072"/>
        </w:numPr>
      </w:pPr>
      <w:r>
        <w:t xml:space="preserve">Nearest transmission lines</w:t>
      </w:r>
    </w:p>
    <w:p>
      <w:pPr>
        <w:pStyle w:val="Compact"/>
        <w:numPr>
          <w:ilvl w:val="0"/>
          <w:numId w:val="1072"/>
        </w:numPr>
      </w:pPr>
      <w:r>
        <w:t xml:space="preserve">Utility/TSP/DSP context</w:t>
      </w:r>
    </w:p>
    <w:p>
      <w:pPr>
        <w:pStyle w:val="Compact"/>
        <w:numPr>
          <w:ilvl w:val="0"/>
          <w:numId w:val="1072"/>
        </w:numPr>
      </w:pPr>
      <w:r>
        <w:t xml:space="preserve">Voltage class notes</w:t>
      </w:r>
    </w:p>
    <w:p>
      <w:pPr>
        <w:pStyle w:val="Compact"/>
        <w:numPr>
          <w:ilvl w:val="0"/>
          <w:numId w:val="1072"/>
        </w:numPr>
      </w:pPr>
      <w:r>
        <w:t xml:space="preserve">Likely POI candidates</w:t>
      </w:r>
    </w:p>
    <w:p>
      <w:pPr>
        <w:pStyle w:val="Compact"/>
        <w:numPr>
          <w:ilvl w:val="0"/>
          <w:numId w:val="1072"/>
        </w:numPr>
      </w:pPr>
      <w:r>
        <w:t xml:space="preserve">Known public constraints</w:t>
      </w:r>
    </w:p>
    <w:p>
      <w:pPr>
        <w:pStyle w:val="Compact"/>
        <w:numPr>
          <w:ilvl w:val="0"/>
          <w:numId w:val="1072"/>
        </w:numPr>
      </w:pPr>
      <w:r>
        <w:t xml:space="preserve">Time-to-power risk</w:t>
      </w:r>
    </w:p>
    <w:p>
      <w:pPr>
        <w:pStyle w:val="Compact"/>
        <w:numPr>
          <w:ilvl w:val="0"/>
          <w:numId w:val="1072"/>
        </w:numPr>
      </w:pPr>
      <w:r>
        <w:t xml:space="preserve">Analyst judgement</w:t>
      </w:r>
    </w:p>
    <w:p>
      <w:pPr>
        <w:pStyle w:val="FirstParagraph"/>
      </w:pPr>
      <w:r>
        <w:t xml:space="preserve">Required outputs:</w:t>
      </w:r>
    </w:p>
    <w:p>
      <w:pPr>
        <w:pStyle w:val="Compact"/>
        <w:numPr>
          <w:ilvl w:val="0"/>
          <w:numId w:val="1073"/>
        </w:numPr>
      </w:pPr>
      <w:r>
        <w:t xml:space="preserve">Power Feasibility Score</w:t>
      </w:r>
    </w:p>
    <w:p>
      <w:pPr>
        <w:pStyle w:val="Compact"/>
        <w:numPr>
          <w:ilvl w:val="0"/>
          <w:numId w:val="1073"/>
        </w:numPr>
      </w:pPr>
      <w:r>
        <w:t xml:space="preserve">Main strengths</w:t>
      </w:r>
    </w:p>
    <w:p>
      <w:pPr>
        <w:pStyle w:val="Compact"/>
        <w:numPr>
          <w:ilvl w:val="0"/>
          <w:numId w:val="1073"/>
        </w:numPr>
      </w:pPr>
      <w:r>
        <w:t xml:space="preserve">Main weaknesses</w:t>
      </w:r>
    </w:p>
    <w:p>
      <w:pPr>
        <w:pStyle w:val="Compact"/>
        <w:numPr>
          <w:ilvl w:val="0"/>
          <w:numId w:val="1073"/>
        </w:numPr>
      </w:pPr>
      <w:r>
        <w:t xml:space="preserve">Required next diligence</w:t>
      </w:r>
    </w:p>
    <w:p>
      <w:r>
        <w:pict>
          <v:rect style="width:0;height:1.5pt" o:hralign="center" o:hrstd="t" o:hr="t"/>
        </w:pict>
      </w:r>
    </w:p>
    <w:bookmarkEnd w:id="145"/>
    <w:bookmarkStart w:id="146" w:name="interconnection-readiness-section"/>
    <w:p>
      <w:pPr>
        <w:pStyle w:val="Heading2"/>
      </w:pPr>
      <w:r>
        <w:t xml:space="preserve">9.5 Interconnection Readiness Section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74"/>
        </w:numPr>
      </w:pPr>
      <w:r>
        <w:t xml:space="preserve">Likely applicable process</w:t>
      </w:r>
    </w:p>
    <w:p>
      <w:pPr>
        <w:pStyle w:val="Compact"/>
        <w:numPr>
          <w:ilvl w:val="0"/>
          <w:numId w:val="1074"/>
        </w:numPr>
      </w:pPr>
      <w:r>
        <w:t xml:space="preserve">Large-load threshold analysis</w:t>
      </w:r>
    </w:p>
    <w:p>
      <w:pPr>
        <w:pStyle w:val="Compact"/>
        <w:numPr>
          <w:ilvl w:val="0"/>
          <w:numId w:val="1074"/>
        </w:numPr>
      </w:pPr>
      <w:r>
        <w:t xml:space="preserve">Required forms/data checklist</w:t>
      </w:r>
    </w:p>
    <w:p>
      <w:pPr>
        <w:pStyle w:val="Compact"/>
        <w:numPr>
          <w:ilvl w:val="0"/>
          <w:numId w:val="1074"/>
        </w:numPr>
      </w:pPr>
      <w:r>
        <w:t xml:space="preserve">Missing data</w:t>
      </w:r>
    </w:p>
    <w:p>
      <w:pPr>
        <w:pStyle w:val="Compact"/>
        <w:numPr>
          <w:ilvl w:val="0"/>
          <w:numId w:val="1074"/>
        </w:numPr>
      </w:pPr>
      <w:r>
        <w:t xml:space="preserve">Utility/TSP/DSP communication status</w:t>
      </w:r>
    </w:p>
    <w:p>
      <w:pPr>
        <w:pStyle w:val="Compact"/>
        <w:numPr>
          <w:ilvl w:val="0"/>
          <w:numId w:val="1074"/>
        </w:numPr>
      </w:pPr>
      <w:r>
        <w:t xml:space="preserve">Commissioning-plan considerations</w:t>
      </w:r>
    </w:p>
    <w:p>
      <w:pPr>
        <w:pStyle w:val="Compact"/>
        <w:numPr>
          <w:ilvl w:val="0"/>
          <w:numId w:val="1074"/>
        </w:numPr>
      </w:pPr>
      <w:r>
        <w:t xml:space="preserve">Financial/security considerations</w:t>
      </w:r>
    </w:p>
    <w:p>
      <w:pPr>
        <w:pStyle w:val="Compact"/>
        <w:numPr>
          <w:ilvl w:val="0"/>
          <w:numId w:val="1074"/>
        </w:numPr>
      </w:pPr>
      <w:r>
        <w:t xml:space="preserve">Required engineering inputs</w:t>
      </w:r>
    </w:p>
    <w:p>
      <w:pPr>
        <w:pStyle w:val="FirstParagraph"/>
      </w:pPr>
      <w:r>
        <w:t xml:space="preserve">Required outputs:</w:t>
      </w:r>
    </w:p>
    <w:p>
      <w:pPr>
        <w:pStyle w:val="Compact"/>
        <w:numPr>
          <w:ilvl w:val="0"/>
          <w:numId w:val="1075"/>
        </w:numPr>
      </w:pPr>
      <w:r>
        <w:t xml:space="preserve">Interconnection Readiness Score</w:t>
      </w:r>
    </w:p>
    <w:p>
      <w:pPr>
        <w:pStyle w:val="Compact"/>
        <w:numPr>
          <w:ilvl w:val="0"/>
          <w:numId w:val="1075"/>
        </w:numPr>
      </w:pPr>
      <w:r>
        <w:t xml:space="preserve">Missing diligence table</w:t>
      </w:r>
    </w:p>
    <w:p>
      <w:pPr>
        <w:pStyle w:val="Compact"/>
        <w:numPr>
          <w:ilvl w:val="0"/>
          <w:numId w:val="1075"/>
        </w:numPr>
      </w:pPr>
      <w:r>
        <w:t xml:space="preserve">Critical blockers</w:t>
      </w:r>
    </w:p>
    <w:p>
      <w:pPr>
        <w:pStyle w:val="Compact"/>
        <w:numPr>
          <w:ilvl w:val="0"/>
          <w:numId w:val="1075"/>
        </w:numPr>
      </w:pPr>
      <w:r>
        <w:t xml:space="preserve">Next-step checklist</w:t>
      </w:r>
    </w:p>
    <w:p>
      <w:r>
        <w:pict>
          <v:rect style="width:0;height:1.5pt" o:hralign="center" o:hrstd="t" o:hr="t"/>
        </w:pict>
      </w:r>
    </w:p>
    <w:bookmarkEnd w:id="146"/>
    <w:bookmarkStart w:id="147" w:name="grid-reliability-risk-section"/>
    <w:p>
      <w:pPr>
        <w:pStyle w:val="Heading2"/>
      </w:pPr>
      <w:r>
        <w:t xml:space="preserve">9.6 Grid Reliability Risk Section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76"/>
        </w:numPr>
      </w:pPr>
      <w:r>
        <w:t xml:space="preserve">Voltage ride-through readiness</w:t>
      </w:r>
    </w:p>
    <w:p>
      <w:pPr>
        <w:pStyle w:val="Compact"/>
        <w:numPr>
          <w:ilvl w:val="0"/>
          <w:numId w:val="1076"/>
        </w:numPr>
      </w:pPr>
      <w:r>
        <w:t xml:space="preserve">Frequency ride-through readiness</w:t>
      </w:r>
    </w:p>
    <w:p>
      <w:pPr>
        <w:pStyle w:val="Compact"/>
        <w:numPr>
          <w:ilvl w:val="0"/>
          <w:numId w:val="1076"/>
        </w:numPr>
      </w:pPr>
      <w:r>
        <w:t xml:space="preserve">Protection settings</w:t>
      </w:r>
    </w:p>
    <w:p>
      <w:pPr>
        <w:pStyle w:val="Compact"/>
        <w:numPr>
          <w:ilvl w:val="0"/>
          <w:numId w:val="1076"/>
        </w:numPr>
      </w:pPr>
      <w:r>
        <w:t xml:space="preserve">Backup generation behaviour</w:t>
      </w:r>
    </w:p>
    <w:p>
      <w:pPr>
        <w:pStyle w:val="Compact"/>
        <w:numPr>
          <w:ilvl w:val="0"/>
          <w:numId w:val="1076"/>
        </w:numPr>
      </w:pPr>
      <w:r>
        <w:t xml:space="preserve">UPS assumptions</w:t>
      </w:r>
    </w:p>
    <w:p>
      <w:pPr>
        <w:pStyle w:val="Compact"/>
        <w:numPr>
          <w:ilvl w:val="0"/>
          <w:numId w:val="1076"/>
        </w:numPr>
      </w:pPr>
      <w:r>
        <w:t xml:space="preserve">Battery/storage controls</w:t>
      </w:r>
    </w:p>
    <w:p>
      <w:pPr>
        <w:pStyle w:val="Compact"/>
        <w:numPr>
          <w:ilvl w:val="0"/>
          <w:numId w:val="1076"/>
        </w:numPr>
      </w:pPr>
      <w:r>
        <w:t xml:space="preserve">Sudden load disconnection risk</w:t>
      </w:r>
    </w:p>
    <w:p>
      <w:pPr>
        <w:pStyle w:val="Compact"/>
        <w:numPr>
          <w:ilvl w:val="0"/>
          <w:numId w:val="1076"/>
        </w:numPr>
      </w:pPr>
      <w:r>
        <w:t xml:space="preserve">Telemetry requirements</w:t>
      </w:r>
    </w:p>
    <w:p>
      <w:pPr>
        <w:pStyle w:val="Compact"/>
        <w:numPr>
          <w:ilvl w:val="0"/>
          <w:numId w:val="1076"/>
        </w:numPr>
      </w:pPr>
      <w:r>
        <w:t xml:space="preserve">Dynamic model availability</w:t>
      </w:r>
    </w:p>
    <w:p>
      <w:pPr>
        <w:pStyle w:val="Compact"/>
        <w:numPr>
          <w:ilvl w:val="0"/>
          <w:numId w:val="1076"/>
        </w:numPr>
      </w:pPr>
      <w:r>
        <w:t xml:space="preserve">Commissioning risk</w:t>
      </w:r>
    </w:p>
    <w:p>
      <w:pPr>
        <w:pStyle w:val="FirstParagraph"/>
      </w:pPr>
      <w:r>
        <w:t xml:space="preserve">Required outputs:</w:t>
      </w:r>
    </w:p>
    <w:p>
      <w:pPr>
        <w:pStyle w:val="Compact"/>
        <w:numPr>
          <w:ilvl w:val="0"/>
          <w:numId w:val="1077"/>
        </w:numPr>
      </w:pPr>
      <w:r>
        <w:t xml:space="preserve">Reliability Readiness Score</w:t>
      </w:r>
    </w:p>
    <w:p>
      <w:pPr>
        <w:pStyle w:val="Compact"/>
        <w:numPr>
          <w:ilvl w:val="0"/>
          <w:numId w:val="1077"/>
        </w:numPr>
      </w:pPr>
      <w:r>
        <w:t xml:space="preserve">Reliability red flags</w:t>
      </w:r>
    </w:p>
    <w:p>
      <w:pPr>
        <w:pStyle w:val="Compact"/>
        <w:numPr>
          <w:ilvl w:val="0"/>
          <w:numId w:val="1077"/>
        </w:numPr>
      </w:pPr>
      <w:r>
        <w:t xml:space="preserve">Expert review notes</w:t>
      </w:r>
    </w:p>
    <w:p>
      <w:pPr>
        <w:pStyle w:val="Compact"/>
        <w:numPr>
          <w:ilvl w:val="0"/>
          <w:numId w:val="1077"/>
        </w:numPr>
      </w:pPr>
      <w:r>
        <w:t xml:space="preserve">Questions for electrical engineer / utility / TSP</w:t>
      </w:r>
    </w:p>
    <w:p>
      <w:r>
        <w:pict>
          <v:rect style="width:0;height:1.5pt" o:hralign="center" o:hrstd="t" o:hr="t"/>
        </w:pict>
      </w:r>
    </w:p>
    <w:bookmarkEnd w:id="147"/>
    <w:bookmarkStart w:id="148" w:name="energy-economics-and-congestion-section"/>
    <w:p>
      <w:pPr>
        <w:pStyle w:val="Heading2"/>
      </w:pPr>
      <w:r>
        <w:t xml:space="preserve">9.7 Energy Economics and Congestion Section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78"/>
        </w:numPr>
      </w:pPr>
      <w:r>
        <w:t xml:space="preserve">Relevant price zone or market context</w:t>
      </w:r>
    </w:p>
    <w:p>
      <w:pPr>
        <w:pStyle w:val="Compact"/>
        <w:numPr>
          <w:ilvl w:val="0"/>
          <w:numId w:val="1078"/>
        </w:numPr>
      </w:pPr>
      <w:r>
        <w:t xml:space="preserve">Congestion risk</w:t>
      </w:r>
    </w:p>
    <w:p>
      <w:pPr>
        <w:pStyle w:val="Compact"/>
        <w:numPr>
          <w:ilvl w:val="0"/>
          <w:numId w:val="1078"/>
        </w:numPr>
      </w:pPr>
      <w:r>
        <w:t xml:space="preserve">Nearby generation</w:t>
      </w:r>
    </w:p>
    <w:p>
      <w:pPr>
        <w:pStyle w:val="Compact"/>
        <w:numPr>
          <w:ilvl w:val="0"/>
          <w:numId w:val="1078"/>
        </w:numPr>
      </w:pPr>
      <w:r>
        <w:t xml:space="preserve">Power procurement optionality</w:t>
      </w:r>
    </w:p>
    <w:p>
      <w:pPr>
        <w:pStyle w:val="Compact"/>
        <w:numPr>
          <w:ilvl w:val="0"/>
          <w:numId w:val="1078"/>
        </w:numPr>
      </w:pPr>
      <w:r>
        <w:t xml:space="preserve">Behind-the-meter options</w:t>
      </w:r>
    </w:p>
    <w:p>
      <w:pPr>
        <w:pStyle w:val="Compact"/>
        <w:numPr>
          <w:ilvl w:val="0"/>
          <w:numId w:val="1078"/>
        </w:numPr>
      </w:pPr>
      <w:r>
        <w:t xml:space="preserve">High-level price-risk narrative</w:t>
      </w:r>
    </w:p>
    <w:p>
      <w:pPr>
        <w:pStyle w:val="FirstParagraph"/>
      </w:pPr>
      <w:r>
        <w:t xml:space="preserve">Required outputs:</w:t>
      </w:r>
    </w:p>
    <w:p>
      <w:pPr>
        <w:pStyle w:val="Compact"/>
        <w:numPr>
          <w:ilvl w:val="0"/>
          <w:numId w:val="1079"/>
        </w:numPr>
      </w:pPr>
      <w:r>
        <w:t xml:space="preserve">Energy Economics Score</w:t>
      </w:r>
    </w:p>
    <w:p>
      <w:pPr>
        <w:pStyle w:val="Compact"/>
        <w:numPr>
          <w:ilvl w:val="0"/>
          <w:numId w:val="1079"/>
        </w:numPr>
      </w:pPr>
      <w:r>
        <w:t xml:space="preserve">Congestion risk rating</w:t>
      </w:r>
    </w:p>
    <w:p>
      <w:pPr>
        <w:pStyle w:val="Compact"/>
        <w:numPr>
          <w:ilvl w:val="0"/>
          <w:numId w:val="1079"/>
        </w:numPr>
      </w:pPr>
      <w:r>
        <w:t xml:space="preserve">Power procurement notes</w:t>
      </w:r>
    </w:p>
    <w:p>
      <w:pPr>
        <w:pStyle w:val="Compact"/>
        <w:numPr>
          <w:ilvl w:val="0"/>
          <w:numId w:val="1079"/>
        </w:numPr>
      </w:pPr>
      <w:r>
        <w:t xml:space="preserve">Further diligence required</w:t>
      </w:r>
    </w:p>
    <w:p>
      <w:r>
        <w:pict>
          <v:rect style="width:0;height:1.5pt" o:hralign="center" o:hrstd="t" o:hr="t"/>
        </w:pict>
      </w:r>
    </w:p>
    <w:bookmarkEnd w:id="148"/>
    <w:bookmarkStart w:id="149" w:name="flexibility-potential-section"/>
    <w:p>
      <w:pPr>
        <w:pStyle w:val="Heading2"/>
      </w:pPr>
      <w:r>
        <w:t xml:space="preserve">9.8 Flexibility Potential Section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80"/>
        </w:numPr>
      </w:pPr>
      <w:r>
        <w:t xml:space="preserve">Curtailment potential</w:t>
      </w:r>
    </w:p>
    <w:p>
      <w:pPr>
        <w:pStyle w:val="Compact"/>
        <w:numPr>
          <w:ilvl w:val="0"/>
          <w:numId w:val="1080"/>
        </w:numPr>
      </w:pPr>
      <w:r>
        <w:t xml:space="preserve">Staged ramping potential</w:t>
      </w:r>
    </w:p>
    <w:p>
      <w:pPr>
        <w:pStyle w:val="Compact"/>
        <w:numPr>
          <w:ilvl w:val="0"/>
          <w:numId w:val="1080"/>
        </w:numPr>
      </w:pPr>
      <w:r>
        <w:t xml:space="preserve">Workload shifting potential</w:t>
      </w:r>
    </w:p>
    <w:p>
      <w:pPr>
        <w:pStyle w:val="Compact"/>
        <w:numPr>
          <w:ilvl w:val="0"/>
          <w:numId w:val="1080"/>
        </w:numPr>
      </w:pPr>
      <w:r>
        <w:t xml:space="preserve">Battery/storage potential</w:t>
      </w:r>
    </w:p>
    <w:p>
      <w:pPr>
        <w:pStyle w:val="Compact"/>
        <w:numPr>
          <w:ilvl w:val="0"/>
          <w:numId w:val="1080"/>
        </w:numPr>
      </w:pPr>
      <w:r>
        <w:t xml:space="preserve">Backup generation role</w:t>
      </w:r>
    </w:p>
    <w:p>
      <w:pPr>
        <w:pStyle w:val="Compact"/>
        <w:numPr>
          <w:ilvl w:val="0"/>
          <w:numId w:val="1080"/>
        </w:numPr>
      </w:pPr>
      <w:r>
        <w:t xml:space="preserve">Demand-response potential</w:t>
      </w:r>
    </w:p>
    <w:p>
      <w:pPr>
        <w:pStyle w:val="Compact"/>
        <w:numPr>
          <w:ilvl w:val="0"/>
          <w:numId w:val="1080"/>
        </w:numPr>
      </w:pPr>
      <w:r>
        <w:t xml:space="preserve">Grid-supportive positioning</w:t>
      </w:r>
    </w:p>
    <w:p>
      <w:pPr>
        <w:pStyle w:val="FirstParagraph"/>
      </w:pPr>
      <w:r>
        <w:t xml:space="preserve">Required outputs:</w:t>
      </w:r>
    </w:p>
    <w:p>
      <w:pPr>
        <w:pStyle w:val="Compact"/>
        <w:numPr>
          <w:ilvl w:val="0"/>
          <w:numId w:val="1081"/>
        </w:numPr>
      </w:pPr>
      <w:r>
        <w:t xml:space="preserve">Flexibility Score</w:t>
      </w:r>
    </w:p>
    <w:p>
      <w:pPr>
        <w:pStyle w:val="Compact"/>
        <w:numPr>
          <w:ilvl w:val="0"/>
          <w:numId w:val="1081"/>
        </w:numPr>
      </w:pPr>
      <w:r>
        <w:t xml:space="preserve">Flexibility profile</w:t>
      </w:r>
    </w:p>
    <w:p>
      <w:pPr>
        <w:pStyle w:val="Compact"/>
        <w:numPr>
          <w:ilvl w:val="0"/>
          <w:numId w:val="1081"/>
        </w:numPr>
      </w:pPr>
      <w:r>
        <w:t xml:space="preserve">Recommended improvements</w:t>
      </w:r>
    </w:p>
    <w:p>
      <w:r>
        <w:pict>
          <v:rect style="width:0;height:1.5pt" o:hralign="center" o:hrstd="t" o:hr="t"/>
        </w:pict>
      </w:r>
    </w:p>
    <w:bookmarkEnd w:id="149"/>
    <w:bookmarkStart w:id="150" w:name="site-and-non-power-risk-section"/>
    <w:p>
      <w:pPr>
        <w:pStyle w:val="Heading2"/>
      </w:pPr>
      <w:r>
        <w:t xml:space="preserve">9.9 Site and Non-Power Risk Section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82"/>
        </w:numPr>
      </w:pPr>
      <w:r>
        <w:t xml:space="preserve">Land control risk</w:t>
      </w:r>
    </w:p>
    <w:p>
      <w:pPr>
        <w:pStyle w:val="Compact"/>
        <w:numPr>
          <w:ilvl w:val="0"/>
          <w:numId w:val="1082"/>
        </w:numPr>
      </w:pPr>
      <w:r>
        <w:t xml:space="preserve">Permitting/zoning risk</w:t>
      </w:r>
    </w:p>
    <w:p>
      <w:pPr>
        <w:pStyle w:val="Compact"/>
        <w:numPr>
          <w:ilvl w:val="0"/>
          <w:numId w:val="1082"/>
        </w:numPr>
      </w:pPr>
      <w:r>
        <w:t xml:space="preserve">Water/cooling risk</w:t>
      </w:r>
    </w:p>
    <w:p>
      <w:pPr>
        <w:pStyle w:val="Compact"/>
        <w:numPr>
          <w:ilvl w:val="0"/>
          <w:numId w:val="1082"/>
        </w:numPr>
      </w:pPr>
      <w:r>
        <w:t xml:space="preserve">Environmental/flood risk</w:t>
      </w:r>
    </w:p>
    <w:p>
      <w:pPr>
        <w:pStyle w:val="Compact"/>
        <w:numPr>
          <w:ilvl w:val="0"/>
          <w:numId w:val="1082"/>
        </w:numPr>
      </w:pPr>
      <w:r>
        <w:t xml:space="preserve">Community risk</w:t>
      </w:r>
    </w:p>
    <w:p>
      <w:pPr>
        <w:pStyle w:val="Compact"/>
        <w:numPr>
          <w:ilvl w:val="0"/>
          <w:numId w:val="1082"/>
        </w:numPr>
      </w:pPr>
      <w:r>
        <w:t xml:space="preserve">Fibre/transport infrastructure notes</w:t>
      </w:r>
    </w:p>
    <w:p>
      <w:pPr>
        <w:pStyle w:val="Compact"/>
        <w:numPr>
          <w:ilvl w:val="0"/>
          <w:numId w:val="1082"/>
        </w:numPr>
      </w:pPr>
      <w:r>
        <w:t xml:space="preserve">Backup generation permitting risk</w:t>
      </w:r>
    </w:p>
    <w:p>
      <w:pPr>
        <w:pStyle w:val="FirstParagraph"/>
      </w:pPr>
      <w:r>
        <w:t xml:space="preserve">Required outputs:</w:t>
      </w:r>
    </w:p>
    <w:p>
      <w:pPr>
        <w:pStyle w:val="Compact"/>
        <w:numPr>
          <w:ilvl w:val="0"/>
          <w:numId w:val="1083"/>
        </w:numPr>
      </w:pPr>
      <w:r>
        <w:t xml:space="preserve">Site Risk Score</w:t>
      </w:r>
    </w:p>
    <w:p>
      <w:pPr>
        <w:pStyle w:val="Compact"/>
        <w:numPr>
          <w:ilvl w:val="0"/>
          <w:numId w:val="1083"/>
        </w:numPr>
      </w:pPr>
      <w:r>
        <w:t xml:space="preserve">Non-power blockers</w:t>
      </w:r>
    </w:p>
    <w:p>
      <w:pPr>
        <w:pStyle w:val="Compact"/>
        <w:numPr>
          <w:ilvl w:val="0"/>
          <w:numId w:val="1083"/>
        </w:numPr>
      </w:pPr>
      <w:r>
        <w:t xml:space="preserve">Recommended follow-up</w:t>
      </w:r>
    </w:p>
    <w:p>
      <w:r>
        <w:pict>
          <v:rect style="width:0;height:1.5pt" o:hralign="center" o:hrstd="t" o:hr="t"/>
        </w:pict>
      </w:r>
    </w:p>
    <w:bookmarkEnd w:id="150"/>
    <w:bookmarkStart w:id="151" w:name="investorutility-ready-memo"/>
    <w:p>
      <w:pPr>
        <w:pStyle w:val="Heading2"/>
      </w:pPr>
      <w:r>
        <w:t xml:space="preserve">9.10 Investor/Utility-Ready Memo</w:t>
      </w:r>
    </w:p>
    <w:p>
      <w:pPr>
        <w:pStyle w:val="FirstParagraph"/>
      </w:pPr>
      <w:r>
        <w:t xml:space="preserve">The report must include a concise memo written in plain English.</w:t>
      </w:r>
    </w:p>
    <w:p>
      <w:pPr>
        <w:pStyle w:val="BodyText"/>
      </w:pPr>
      <w:r>
        <w:t xml:space="preserve">Memo structure:</w:t>
      </w:r>
    </w:p>
    <w:p>
      <w:pPr>
        <w:pStyle w:val="Compact"/>
        <w:numPr>
          <w:ilvl w:val="0"/>
          <w:numId w:val="1084"/>
        </w:numPr>
      </w:pPr>
      <w:r>
        <w:t xml:space="preserve">Site summary</w:t>
      </w:r>
    </w:p>
    <w:p>
      <w:pPr>
        <w:pStyle w:val="Compact"/>
        <w:numPr>
          <w:ilvl w:val="0"/>
          <w:numId w:val="1084"/>
        </w:numPr>
      </w:pPr>
      <w:r>
        <w:t xml:space="preserve">Why the site may be attractive</w:t>
      </w:r>
    </w:p>
    <w:p>
      <w:pPr>
        <w:pStyle w:val="Compact"/>
        <w:numPr>
          <w:ilvl w:val="0"/>
          <w:numId w:val="1084"/>
        </w:numPr>
      </w:pPr>
      <w:r>
        <w:t xml:space="preserve">Why the site may be risky</w:t>
      </w:r>
    </w:p>
    <w:p>
      <w:pPr>
        <w:pStyle w:val="Compact"/>
        <w:numPr>
          <w:ilvl w:val="0"/>
          <w:numId w:val="1084"/>
        </w:numPr>
      </w:pPr>
      <w:r>
        <w:t xml:space="preserve">What remains unproven</w:t>
      </w:r>
    </w:p>
    <w:p>
      <w:pPr>
        <w:pStyle w:val="Compact"/>
        <w:numPr>
          <w:ilvl w:val="0"/>
          <w:numId w:val="1084"/>
        </w:numPr>
      </w:pPr>
      <w:r>
        <w:t xml:space="preserve">What the developer should prepare before utility/TSP engagement</w:t>
      </w:r>
    </w:p>
    <w:p>
      <w:pPr>
        <w:pStyle w:val="Compact"/>
        <w:numPr>
          <w:ilvl w:val="0"/>
          <w:numId w:val="1084"/>
        </w:numPr>
      </w:pPr>
      <w:r>
        <w:t xml:space="preserve">What investors should underwrite carefully</w:t>
      </w:r>
    </w:p>
    <w:p>
      <w:pPr>
        <w:pStyle w:val="Compact"/>
        <w:numPr>
          <w:ilvl w:val="0"/>
          <w:numId w:val="1084"/>
        </w:numPr>
      </w:pPr>
      <w:r>
        <w:t xml:space="preserve">Recommended next actions</w:t>
      </w:r>
    </w:p>
    <w:p>
      <w:r>
        <w:pict>
          <v:rect style="width:0;height:1.5pt" o:hralign="center" o:hrstd="t" o:hr="t"/>
        </w:pict>
      </w:r>
    </w:p>
    <w:bookmarkEnd w:id="151"/>
    <w:bookmarkStart w:id="152" w:name="evidence-appendix"/>
    <w:p>
      <w:pPr>
        <w:pStyle w:val="Heading2"/>
      </w:pPr>
      <w:r>
        <w:t xml:space="preserve">9.11 Evidence Appendix</w:t>
      </w:r>
    </w:p>
    <w:p>
      <w:pPr>
        <w:pStyle w:val="FirstParagraph"/>
      </w:pPr>
      <w:r>
        <w:t xml:space="preserve">The evidence appendix must include:</w:t>
      </w:r>
    </w:p>
    <w:p>
      <w:pPr>
        <w:pStyle w:val="Compact"/>
        <w:numPr>
          <w:ilvl w:val="0"/>
          <w:numId w:val="1085"/>
        </w:numPr>
      </w:pPr>
      <w:r>
        <w:t xml:space="preserve">Source list</w:t>
      </w:r>
    </w:p>
    <w:p>
      <w:pPr>
        <w:pStyle w:val="Compact"/>
        <w:numPr>
          <w:ilvl w:val="0"/>
          <w:numId w:val="1085"/>
        </w:numPr>
      </w:pPr>
      <w:r>
        <w:t xml:space="preserve">Source type</w:t>
      </w:r>
    </w:p>
    <w:p>
      <w:pPr>
        <w:pStyle w:val="Compact"/>
        <w:numPr>
          <w:ilvl w:val="0"/>
          <w:numId w:val="1085"/>
        </w:numPr>
      </w:pPr>
      <w:r>
        <w:t xml:space="preserve">Date accessed</w:t>
      </w:r>
    </w:p>
    <w:p>
      <w:pPr>
        <w:pStyle w:val="Compact"/>
        <w:numPr>
          <w:ilvl w:val="0"/>
          <w:numId w:val="1085"/>
        </w:numPr>
      </w:pPr>
      <w:r>
        <w:t xml:space="preserve">Relevant notes</w:t>
      </w:r>
    </w:p>
    <w:p>
      <w:pPr>
        <w:pStyle w:val="Compact"/>
        <w:numPr>
          <w:ilvl w:val="0"/>
          <w:numId w:val="1085"/>
        </w:numPr>
      </w:pPr>
      <w:r>
        <w:t xml:space="preserve">Report section supported</w:t>
      </w:r>
    </w:p>
    <w:p>
      <w:pPr>
        <w:pStyle w:val="Compact"/>
        <w:numPr>
          <w:ilvl w:val="0"/>
          <w:numId w:val="1085"/>
        </w:numPr>
      </w:pPr>
      <w:r>
        <w:t xml:space="preserve">Confidence rating</w:t>
      </w:r>
    </w:p>
    <w:p>
      <w:r>
        <w:pict>
          <v:rect style="width:0;height:1.5pt" o:hralign="center" o:hrstd="t" o:hr="t"/>
        </w:pict>
      </w:r>
    </w:p>
    <w:bookmarkEnd w:id="152"/>
    <w:bookmarkStart w:id="153" w:name="assumptions-and-limitations"/>
    <w:p>
      <w:pPr>
        <w:pStyle w:val="Heading2"/>
      </w:pPr>
      <w:r>
        <w:t xml:space="preserve">9.12 Assumptions and Limitations</w:t>
      </w:r>
    </w:p>
    <w:p>
      <w:pPr>
        <w:pStyle w:val="FirstParagraph"/>
      </w:pPr>
      <w:r>
        <w:t xml:space="preserve">Every report must include a clear limitations statement.</w:t>
      </w:r>
    </w:p>
    <w:p>
      <w:pPr>
        <w:pStyle w:val="BodyText"/>
      </w:pPr>
      <w:r>
        <w:t xml:space="preserve">Required language themes:</w:t>
      </w:r>
    </w:p>
    <w:p>
      <w:pPr>
        <w:pStyle w:val="Compact"/>
        <w:numPr>
          <w:ilvl w:val="0"/>
          <w:numId w:val="1086"/>
        </w:numPr>
      </w:pPr>
      <w:r>
        <w:t xml:space="preserve">This is not an official interconnection study.</w:t>
      </w:r>
    </w:p>
    <w:p>
      <w:pPr>
        <w:pStyle w:val="Compact"/>
        <w:numPr>
          <w:ilvl w:val="0"/>
          <w:numId w:val="1086"/>
        </w:numPr>
      </w:pPr>
      <w:r>
        <w:t xml:space="preserve">This does not guarantee power availability.</w:t>
      </w:r>
    </w:p>
    <w:p>
      <w:pPr>
        <w:pStyle w:val="Compact"/>
        <w:numPr>
          <w:ilvl w:val="0"/>
          <w:numId w:val="1086"/>
        </w:numPr>
      </w:pPr>
      <w:r>
        <w:t xml:space="preserve">This does not guarantee interconnection approval.</w:t>
      </w:r>
    </w:p>
    <w:p>
      <w:pPr>
        <w:pStyle w:val="Compact"/>
        <w:numPr>
          <w:ilvl w:val="0"/>
          <w:numId w:val="1086"/>
        </w:numPr>
      </w:pPr>
      <w:r>
        <w:t xml:space="preserve">Final determinations depend on utility, TSP, DSP, ISO/RTO, regulator, engineering studies, and project-specific facts.</w:t>
      </w:r>
    </w:p>
    <w:p>
      <w:pPr>
        <w:pStyle w:val="Compact"/>
        <w:numPr>
          <w:ilvl w:val="0"/>
          <w:numId w:val="1086"/>
        </w:numPr>
      </w:pPr>
      <w:r>
        <w:t xml:space="preserve">Public data may be incomplete or outdated.</w:t>
      </w:r>
    </w:p>
    <w:p>
      <w:pPr>
        <w:pStyle w:val="Compact"/>
        <w:numPr>
          <w:ilvl w:val="0"/>
          <w:numId w:val="1086"/>
        </w:numPr>
      </w:pPr>
      <w:r>
        <w:t xml:space="preserve">Report is intended for early-stage diligence and decision support.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71" w:name="data-model"/>
    <w:p>
      <w:pPr>
        <w:pStyle w:val="Heading1"/>
      </w:pPr>
      <w:r>
        <w:t xml:space="preserve">10. Data Model</w:t>
      </w:r>
    </w:p>
    <w:bookmarkStart w:id="155" w:name="core-entities"/>
    <w:p>
      <w:pPr>
        <w:pStyle w:val="Heading2"/>
      </w:pPr>
      <w:r>
        <w:t xml:space="preserve">10.1 Core Entities</w:t>
      </w:r>
    </w:p>
    <w:p>
      <w:pPr>
        <w:pStyle w:val="FirstParagraph"/>
      </w:pPr>
      <w:r>
        <w:t xml:space="preserve">The MVP should use the following core database entities:</w:t>
      </w:r>
    </w:p>
    <w:p>
      <w:pPr>
        <w:pStyle w:val="Compact"/>
        <w:numPr>
          <w:ilvl w:val="0"/>
          <w:numId w:val="1087"/>
        </w:numPr>
      </w:pPr>
      <w:r>
        <w:t xml:space="preserve">Organisation</w:t>
      </w:r>
    </w:p>
    <w:p>
      <w:pPr>
        <w:pStyle w:val="Compact"/>
        <w:numPr>
          <w:ilvl w:val="0"/>
          <w:numId w:val="1087"/>
        </w:numPr>
      </w:pPr>
      <w:r>
        <w:t xml:space="preserve">User</w:t>
      </w:r>
    </w:p>
    <w:p>
      <w:pPr>
        <w:pStyle w:val="Compact"/>
        <w:numPr>
          <w:ilvl w:val="0"/>
          <w:numId w:val="1087"/>
        </w:numPr>
      </w:pPr>
      <w:r>
        <w:t xml:space="preserve">Project</w:t>
      </w:r>
    </w:p>
    <w:p>
      <w:pPr>
        <w:pStyle w:val="Compact"/>
        <w:numPr>
          <w:ilvl w:val="0"/>
          <w:numId w:val="1087"/>
        </w:numPr>
      </w:pPr>
      <w:r>
        <w:t xml:space="preserve">Site</w:t>
      </w:r>
    </w:p>
    <w:p>
      <w:pPr>
        <w:pStyle w:val="Compact"/>
        <w:numPr>
          <w:ilvl w:val="0"/>
          <w:numId w:val="1087"/>
        </w:numPr>
      </w:pPr>
      <w:r>
        <w:t xml:space="preserve">Site Intake</w:t>
      </w:r>
    </w:p>
    <w:p>
      <w:pPr>
        <w:pStyle w:val="Compact"/>
        <w:numPr>
          <w:ilvl w:val="0"/>
          <w:numId w:val="1087"/>
        </w:numPr>
      </w:pPr>
      <w:r>
        <w:t xml:space="preserve">Grid Asset</w:t>
      </w:r>
    </w:p>
    <w:p>
      <w:pPr>
        <w:pStyle w:val="Compact"/>
        <w:numPr>
          <w:ilvl w:val="0"/>
          <w:numId w:val="1087"/>
        </w:numPr>
      </w:pPr>
      <w:r>
        <w:t xml:space="preserve">Utility Territory</w:t>
      </w:r>
    </w:p>
    <w:p>
      <w:pPr>
        <w:pStyle w:val="Compact"/>
        <w:numPr>
          <w:ilvl w:val="0"/>
          <w:numId w:val="1087"/>
        </w:numPr>
      </w:pPr>
      <w:r>
        <w:t xml:space="preserve">Market Region</w:t>
      </w:r>
    </w:p>
    <w:p>
      <w:pPr>
        <w:pStyle w:val="Compact"/>
        <w:numPr>
          <w:ilvl w:val="0"/>
          <w:numId w:val="1087"/>
        </w:numPr>
      </w:pPr>
      <w:r>
        <w:t xml:space="preserve">Interconnection Requirement</w:t>
      </w:r>
    </w:p>
    <w:p>
      <w:pPr>
        <w:pStyle w:val="Compact"/>
        <w:numPr>
          <w:ilvl w:val="0"/>
          <w:numId w:val="1087"/>
        </w:numPr>
      </w:pPr>
      <w:r>
        <w:t xml:space="preserve">Evidence Source</w:t>
      </w:r>
    </w:p>
    <w:p>
      <w:pPr>
        <w:pStyle w:val="Compact"/>
        <w:numPr>
          <w:ilvl w:val="0"/>
          <w:numId w:val="1087"/>
        </w:numPr>
      </w:pPr>
      <w:r>
        <w:t xml:space="preserve">Analysis Run</w:t>
      </w:r>
    </w:p>
    <w:p>
      <w:pPr>
        <w:pStyle w:val="Compact"/>
        <w:numPr>
          <w:ilvl w:val="0"/>
          <w:numId w:val="1087"/>
        </w:numPr>
      </w:pPr>
      <w:r>
        <w:t xml:space="preserve">Risk Factor</w:t>
      </w:r>
    </w:p>
    <w:p>
      <w:pPr>
        <w:pStyle w:val="Compact"/>
        <w:numPr>
          <w:ilvl w:val="0"/>
          <w:numId w:val="1087"/>
        </w:numPr>
      </w:pPr>
      <w:r>
        <w:t xml:space="preserve">Score</w:t>
      </w:r>
    </w:p>
    <w:p>
      <w:pPr>
        <w:pStyle w:val="Compact"/>
        <w:numPr>
          <w:ilvl w:val="0"/>
          <w:numId w:val="1087"/>
        </w:numPr>
      </w:pPr>
      <w:r>
        <w:t xml:space="preserve">Report</w:t>
      </w:r>
    </w:p>
    <w:p>
      <w:pPr>
        <w:pStyle w:val="Compact"/>
        <w:numPr>
          <w:ilvl w:val="0"/>
          <w:numId w:val="1087"/>
        </w:numPr>
      </w:pPr>
      <w:r>
        <w:t xml:space="preserve">Report Section</w:t>
      </w:r>
    </w:p>
    <w:p>
      <w:pPr>
        <w:pStyle w:val="Compact"/>
        <w:numPr>
          <w:ilvl w:val="0"/>
          <w:numId w:val="1087"/>
        </w:numPr>
      </w:pPr>
      <w:r>
        <w:t xml:space="preserve">Expert Review</w:t>
      </w:r>
    </w:p>
    <w:p>
      <w:pPr>
        <w:pStyle w:val="Compact"/>
        <w:numPr>
          <w:ilvl w:val="0"/>
          <w:numId w:val="1087"/>
        </w:numPr>
      </w:pPr>
      <w:r>
        <w:t xml:space="preserve">File Upload</w:t>
      </w:r>
    </w:p>
    <w:p>
      <w:pPr>
        <w:pStyle w:val="Compact"/>
        <w:numPr>
          <w:ilvl w:val="0"/>
          <w:numId w:val="1087"/>
        </w:numPr>
      </w:pPr>
      <w:r>
        <w:t xml:space="preserve">Audit Event</w:t>
      </w:r>
    </w:p>
    <w:p>
      <w:r>
        <w:pict>
          <v:rect style="width:0;height:1.5pt" o:hralign="center" o:hrstd="t" o:hr="t"/>
        </w:pict>
      </w:r>
    </w:p>
    <w:bookmarkEnd w:id="155"/>
    <w:bookmarkStart w:id="156" w:name="organisation-table"/>
    <w:p>
      <w:pPr>
        <w:pStyle w:val="Heading2"/>
      </w:pPr>
      <w:r>
        <w:t xml:space="preserve">10.2 Organisation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88"/>
        </w:numPr>
      </w:pPr>
      <w:r>
        <w:t xml:space="preserve">id</w:t>
      </w:r>
    </w:p>
    <w:p>
      <w:pPr>
        <w:pStyle w:val="Compact"/>
        <w:numPr>
          <w:ilvl w:val="0"/>
          <w:numId w:val="1088"/>
        </w:numPr>
      </w:pPr>
      <w:r>
        <w:t xml:space="preserve">name</w:t>
      </w:r>
    </w:p>
    <w:p>
      <w:pPr>
        <w:pStyle w:val="Compact"/>
        <w:numPr>
          <w:ilvl w:val="0"/>
          <w:numId w:val="1088"/>
        </w:numPr>
      </w:pPr>
      <w:r>
        <w:t xml:space="preserve">organisation_type</w:t>
      </w:r>
    </w:p>
    <w:p>
      <w:pPr>
        <w:pStyle w:val="Compact"/>
        <w:numPr>
          <w:ilvl w:val="0"/>
          <w:numId w:val="1088"/>
        </w:numPr>
      </w:pPr>
      <w:r>
        <w:t xml:space="preserve">website</w:t>
      </w:r>
    </w:p>
    <w:p>
      <w:pPr>
        <w:pStyle w:val="Compact"/>
        <w:numPr>
          <w:ilvl w:val="0"/>
          <w:numId w:val="1088"/>
        </w:numPr>
      </w:pPr>
      <w:r>
        <w:t xml:space="preserve">billing_contact_name</w:t>
      </w:r>
    </w:p>
    <w:p>
      <w:pPr>
        <w:pStyle w:val="Compact"/>
        <w:numPr>
          <w:ilvl w:val="0"/>
          <w:numId w:val="1088"/>
        </w:numPr>
      </w:pPr>
      <w:r>
        <w:t xml:space="preserve">billing_contact_email</w:t>
      </w:r>
    </w:p>
    <w:p>
      <w:pPr>
        <w:pStyle w:val="Compact"/>
        <w:numPr>
          <w:ilvl w:val="0"/>
          <w:numId w:val="1088"/>
        </w:numPr>
      </w:pPr>
      <w:r>
        <w:t xml:space="preserve">primary_contact_name</w:t>
      </w:r>
    </w:p>
    <w:p>
      <w:pPr>
        <w:pStyle w:val="Compact"/>
        <w:numPr>
          <w:ilvl w:val="0"/>
          <w:numId w:val="1088"/>
        </w:numPr>
      </w:pPr>
      <w:r>
        <w:t xml:space="preserve">primary_contact_email</w:t>
      </w:r>
    </w:p>
    <w:p>
      <w:pPr>
        <w:pStyle w:val="Compact"/>
        <w:numPr>
          <w:ilvl w:val="0"/>
          <w:numId w:val="1088"/>
        </w:numPr>
      </w:pPr>
      <w:r>
        <w:t xml:space="preserve">nda_status</w:t>
      </w:r>
    </w:p>
    <w:p>
      <w:pPr>
        <w:pStyle w:val="Compact"/>
        <w:numPr>
          <w:ilvl w:val="0"/>
          <w:numId w:val="1088"/>
        </w:numPr>
      </w:pPr>
      <w:r>
        <w:t xml:space="preserve">created_at</w:t>
      </w:r>
    </w:p>
    <w:p>
      <w:pPr>
        <w:pStyle w:val="Compact"/>
        <w:numPr>
          <w:ilvl w:val="0"/>
          <w:numId w:val="1088"/>
        </w:numPr>
      </w:pPr>
      <w:r>
        <w:t xml:space="preserve">updated_at</w:t>
      </w:r>
    </w:p>
    <w:p>
      <w:pPr>
        <w:pStyle w:val="FirstParagraph"/>
      </w:pPr>
      <w:r>
        <w:t xml:space="preserve">Organisation types:</w:t>
      </w:r>
    </w:p>
    <w:p>
      <w:pPr>
        <w:pStyle w:val="Compact"/>
        <w:numPr>
          <w:ilvl w:val="0"/>
          <w:numId w:val="1089"/>
        </w:numPr>
      </w:pPr>
      <w:r>
        <w:t xml:space="preserve">Data-centre developer</w:t>
      </w:r>
    </w:p>
    <w:p>
      <w:pPr>
        <w:pStyle w:val="Compact"/>
        <w:numPr>
          <w:ilvl w:val="0"/>
          <w:numId w:val="1089"/>
        </w:numPr>
      </w:pPr>
      <w:r>
        <w:t xml:space="preserve">Neocloud/GPU-cloud operator</w:t>
      </w:r>
    </w:p>
    <w:p>
      <w:pPr>
        <w:pStyle w:val="Compact"/>
        <w:numPr>
          <w:ilvl w:val="0"/>
          <w:numId w:val="1089"/>
        </w:numPr>
      </w:pPr>
      <w:r>
        <w:t xml:space="preserve">Infrastructure investor</w:t>
      </w:r>
    </w:p>
    <w:p>
      <w:pPr>
        <w:pStyle w:val="Compact"/>
        <w:numPr>
          <w:ilvl w:val="0"/>
          <w:numId w:val="1089"/>
        </w:numPr>
      </w:pPr>
      <w:r>
        <w:t xml:space="preserve">Energy developer</w:t>
      </w:r>
    </w:p>
    <w:p>
      <w:pPr>
        <w:pStyle w:val="Compact"/>
        <w:numPr>
          <w:ilvl w:val="0"/>
          <w:numId w:val="1089"/>
        </w:numPr>
      </w:pPr>
      <w:r>
        <w:t xml:space="preserve">Landowner</w:t>
      </w:r>
    </w:p>
    <w:p>
      <w:pPr>
        <w:pStyle w:val="Compact"/>
        <w:numPr>
          <w:ilvl w:val="0"/>
          <w:numId w:val="1089"/>
        </w:numPr>
      </w:pPr>
      <w:r>
        <w:t xml:space="preserve">Broker</w:t>
      </w:r>
    </w:p>
    <w:p>
      <w:pPr>
        <w:pStyle w:val="Compact"/>
        <w:numPr>
          <w:ilvl w:val="0"/>
          <w:numId w:val="1089"/>
        </w:numPr>
      </w:pPr>
      <w:r>
        <w:t xml:space="preserve">Consultant</w:t>
      </w:r>
    </w:p>
    <w:p>
      <w:pPr>
        <w:pStyle w:val="Compact"/>
        <w:numPr>
          <w:ilvl w:val="0"/>
          <w:numId w:val="1089"/>
        </w:numPr>
      </w:pPr>
      <w:r>
        <w:t xml:space="preserve">Utility</w:t>
      </w:r>
    </w:p>
    <w:p>
      <w:pPr>
        <w:pStyle w:val="Compact"/>
        <w:numPr>
          <w:ilvl w:val="0"/>
          <w:numId w:val="1089"/>
        </w:numPr>
      </w:pPr>
      <w:r>
        <w:t xml:space="preserve">Internal</w:t>
      </w:r>
    </w:p>
    <w:p>
      <w:r>
        <w:pict>
          <v:rect style="width:0;height:1.5pt" o:hralign="center" o:hrstd="t" o:hr="t"/>
        </w:pict>
      </w:r>
    </w:p>
    <w:bookmarkEnd w:id="156"/>
    <w:bookmarkStart w:id="157" w:name="user-table"/>
    <w:p>
      <w:pPr>
        <w:pStyle w:val="Heading2"/>
      </w:pPr>
      <w:r>
        <w:t xml:space="preserve">10.3 User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90"/>
        </w:numPr>
      </w:pPr>
      <w:r>
        <w:t xml:space="preserve">id</w:t>
      </w:r>
    </w:p>
    <w:p>
      <w:pPr>
        <w:pStyle w:val="Compact"/>
        <w:numPr>
          <w:ilvl w:val="0"/>
          <w:numId w:val="1090"/>
        </w:numPr>
      </w:pPr>
      <w:r>
        <w:t xml:space="preserve">organisation_id</w:t>
      </w:r>
    </w:p>
    <w:p>
      <w:pPr>
        <w:pStyle w:val="Compact"/>
        <w:numPr>
          <w:ilvl w:val="0"/>
          <w:numId w:val="1090"/>
        </w:numPr>
      </w:pPr>
      <w:r>
        <w:t xml:space="preserve">name</w:t>
      </w:r>
    </w:p>
    <w:p>
      <w:pPr>
        <w:pStyle w:val="Compact"/>
        <w:numPr>
          <w:ilvl w:val="0"/>
          <w:numId w:val="1090"/>
        </w:numPr>
      </w:pPr>
      <w:r>
        <w:t xml:space="preserve">email</w:t>
      </w:r>
    </w:p>
    <w:p>
      <w:pPr>
        <w:pStyle w:val="Compact"/>
        <w:numPr>
          <w:ilvl w:val="0"/>
          <w:numId w:val="1090"/>
        </w:numPr>
      </w:pPr>
      <w:r>
        <w:t xml:space="preserve">role</w:t>
      </w:r>
    </w:p>
    <w:p>
      <w:pPr>
        <w:pStyle w:val="Compact"/>
        <w:numPr>
          <w:ilvl w:val="0"/>
          <w:numId w:val="1090"/>
        </w:numPr>
      </w:pPr>
      <w:r>
        <w:t xml:space="preserve">permission_level</w:t>
      </w:r>
    </w:p>
    <w:p>
      <w:pPr>
        <w:pStyle w:val="Compact"/>
        <w:numPr>
          <w:ilvl w:val="0"/>
          <w:numId w:val="1090"/>
        </w:numPr>
      </w:pPr>
      <w:r>
        <w:t xml:space="preserve">created_at</w:t>
      </w:r>
    </w:p>
    <w:p>
      <w:pPr>
        <w:pStyle w:val="Compact"/>
        <w:numPr>
          <w:ilvl w:val="0"/>
          <w:numId w:val="1090"/>
        </w:numPr>
      </w:pPr>
      <w:r>
        <w:t xml:space="preserve">updated_at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91"/>
        </w:numPr>
      </w:pPr>
      <w:r>
        <w:t xml:space="preserve">Customer admin</w:t>
      </w:r>
    </w:p>
    <w:p>
      <w:pPr>
        <w:pStyle w:val="Compact"/>
        <w:numPr>
          <w:ilvl w:val="0"/>
          <w:numId w:val="1091"/>
        </w:numPr>
      </w:pPr>
      <w:r>
        <w:t xml:space="preserve">Customer viewer</w:t>
      </w:r>
    </w:p>
    <w:p>
      <w:pPr>
        <w:pStyle w:val="Compact"/>
        <w:numPr>
          <w:ilvl w:val="0"/>
          <w:numId w:val="1091"/>
        </w:numPr>
      </w:pPr>
      <w:r>
        <w:t xml:space="preserve">GridReady analyst</w:t>
      </w:r>
    </w:p>
    <w:p>
      <w:pPr>
        <w:pStyle w:val="Compact"/>
        <w:numPr>
          <w:ilvl w:val="0"/>
          <w:numId w:val="1091"/>
        </w:numPr>
      </w:pPr>
      <w:r>
        <w:t xml:space="preserve">GridReady expert reviewer</w:t>
      </w:r>
    </w:p>
    <w:p>
      <w:pPr>
        <w:pStyle w:val="Compact"/>
        <w:numPr>
          <w:ilvl w:val="0"/>
          <w:numId w:val="1091"/>
        </w:numPr>
      </w:pPr>
      <w:r>
        <w:t xml:space="preserve">GridReady admin</w:t>
      </w:r>
    </w:p>
    <w:p>
      <w:r>
        <w:pict>
          <v:rect style="width:0;height:1.5pt" o:hralign="center" o:hrstd="t" o:hr="t"/>
        </w:pict>
      </w:r>
    </w:p>
    <w:bookmarkEnd w:id="157"/>
    <w:bookmarkStart w:id="158" w:name="project-table"/>
    <w:p>
      <w:pPr>
        <w:pStyle w:val="Heading2"/>
      </w:pPr>
      <w:r>
        <w:t xml:space="preserve">10.4 Project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92"/>
        </w:numPr>
      </w:pPr>
      <w:r>
        <w:t xml:space="preserve">id</w:t>
      </w:r>
    </w:p>
    <w:p>
      <w:pPr>
        <w:pStyle w:val="Compact"/>
        <w:numPr>
          <w:ilvl w:val="0"/>
          <w:numId w:val="1092"/>
        </w:numPr>
      </w:pPr>
      <w:r>
        <w:t xml:space="preserve">organisation_id</w:t>
      </w:r>
    </w:p>
    <w:p>
      <w:pPr>
        <w:pStyle w:val="Compact"/>
        <w:numPr>
          <w:ilvl w:val="0"/>
          <w:numId w:val="1092"/>
        </w:numPr>
      </w:pPr>
      <w:r>
        <w:t xml:space="preserve">project_name</w:t>
      </w:r>
    </w:p>
    <w:p>
      <w:pPr>
        <w:pStyle w:val="Compact"/>
        <w:numPr>
          <w:ilvl w:val="0"/>
          <w:numId w:val="1092"/>
        </w:numPr>
      </w:pPr>
      <w:r>
        <w:t xml:space="preserve">project_type</w:t>
      </w:r>
    </w:p>
    <w:p>
      <w:pPr>
        <w:pStyle w:val="Compact"/>
        <w:numPr>
          <w:ilvl w:val="0"/>
          <w:numId w:val="1092"/>
        </w:numPr>
      </w:pPr>
      <w:r>
        <w:t xml:space="preserve">status</w:t>
      </w:r>
    </w:p>
    <w:p>
      <w:pPr>
        <w:pStyle w:val="Compact"/>
        <w:numPr>
          <w:ilvl w:val="0"/>
          <w:numId w:val="1092"/>
        </w:numPr>
      </w:pPr>
      <w:r>
        <w:t xml:space="preserve">customer_contact_id</w:t>
      </w:r>
    </w:p>
    <w:p>
      <w:pPr>
        <w:pStyle w:val="Compact"/>
        <w:numPr>
          <w:ilvl w:val="0"/>
          <w:numId w:val="1092"/>
        </w:numPr>
      </w:pPr>
      <w:r>
        <w:t xml:space="preserve">lead_analyst_id</w:t>
      </w:r>
    </w:p>
    <w:p>
      <w:pPr>
        <w:pStyle w:val="Compact"/>
        <w:numPr>
          <w:ilvl w:val="0"/>
          <w:numId w:val="1092"/>
        </w:numPr>
      </w:pPr>
      <w:r>
        <w:t xml:space="preserve">expert_reviewer_id</w:t>
      </w:r>
    </w:p>
    <w:p>
      <w:pPr>
        <w:pStyle w:val="Compact"/>
        <w:numPr>
          <w:ilvl w:val="0"/>
          <w:numId w:val="1092"/>
        </w:numPr>
      </w:pPr>
      <w:r>
        <w:t xml:space="preserve">deadline</w:t>
      </w:r>
    </w:p>
    <w:p>
      <w:pPr>
        <w:pStyle w:val="Compact"/>
        <w:numPr>
          <w:ilvl w:val="0"/>
          <w:numId w:val="1092"/>
        </w:numPr>
      </w:pPr>
      <w:r>
        <w:t xml:space="preserve">created_at</w:t>
      </w:r>
    </w:p>
    <w:p>
      <w:pPr>
        <w:pStyle w:val="Compact"/>
        <w:numPr>
          <w:ilvl w:val="0"/>
          <w:numId w:val="1092"/>
        </w:numPr>
      </w:pPr>
      <w:r>
        <w:t xml:space="preserve">updated_at</w:t>
      </w:r>
    </w:p>
    <w:p>
      <w:pPr>
        <w:pStyle w:val="FirstParagraph"/>
      </w:pPr>
      <w:r>
        <w:t xml:space="preserve">Project types:</w:t>
      </w:r>
    </w:p>
    <w:p>
      <w:pPr>
        <w:pStyle w:val="Compact"/>
        <w:numPr>
          <w:ilvl w:val="0"/>
          <w:numId w:val="1093"/>
        </w:numPr>
      </w:pPr>
      <w:r>
        <w:t xml:space="preserve">Single-site screen</w:t>
      </w:r>
    </w:p>
    <w:p>
      <w:pPr>
        <w:pStyle w:val="Compact"/>
        <w:numPr>
          <w:ilvl w:val="0"/>
          <w:numId w:val="1093"/>
        </w:numPr>
      </w:pPr>
      <w:r>
        <w:t xml:space="preserve">Multi-site screen</w:t>
      </w:r>
    </w:p>
    <w:p>
      <w:pPr>
        <w:pStyle w:val="Compact"/>
        <w:numPr>
          <w:ilvl w:val="0"/>
          <w:numId w:val="1093"/>
        </w:numPr>
      </w:pPr>
      <w:r>
        <w:t xml:space="preserve">Investor underwriting</w:t>
      </w:r>
    </w:p>
    <w:p>
      <w:pPr>
        <w:pStyle w:val="Compact"/>
        <w:numPr>
          <w:ilvl w:val="0"/>
          <w:numId w:val="1093"/>
        </w:numPr>
      </w:pPr>
      <w:r>
        <w:t xml:space="preserve">Interconnection readiness</w:t>
      </w:r>
    </w:p>
    <w:p>
      <w:pPr>
        <w:pStyle w:val="Compact"/>
        <w:numPr>
          <w:ilvl w:val="0"/>
          <w:numId w:val="1093"/>
        </w:numPr>
      </w:pPr>
      <w:r>
        <w:t xml:space="preserve">Retainer analysis</w:t>
      </w:r>
    </w:p>
    <w:p>
      <w:pPr>
        <w:pStyle w:val="FirstParagraph"/>
      </w:pPr>
      <w:r>
        <w:t xml:space="preserve">Project statuses:</w:t>
      </w:r>
    </w:p>
    <w:p>
      <w:pPr>
        <w:pStyle w:val="Compact"/>
        <w:numPr>
          <w:ilvl w:val="0"/>
          <w:numId w:val="1094"/>
        </w:numPr>
      </w:pPr>
      <w:r>
        <w:t xml:space="preserve">Draft</w:t>
      </w:r>
    </w:p>
    <w:p>
      <w:pPr>
        <w:pStyle w:val="Compact"/>
        <w:numPr>
          <w:ilvl w:val="0"/>
          <w:numId w:val="1094"/>
        </w:numPr>
      </w:pPr>
      <w:r>
        <w:t xml:space="preserve">Intake incomplete</w:t>
      </w:r>
    </w:p>
    <w:p>
      <w:pPr>
        <w:pStyle w:val="Compact"/>
        <w:numPr>
          <w:ilvl w:val="0"/>
          <w:numId w:val="1094"/>
        </w:numPr>
      </w:pPr>
      <w:r>
        <w:t xml:space="preserve">Intake complete</w:t>
      </w:r>
    </w:p>
    <w:p>
      <w:pPr>
        <w:pStyle w:val="Compact"/>
        <w:numPr>
          <w:ilvl w:val="0"/>
          <w:numId w:val="1094"/>
        </w:numPr>
      </w:pPr>
      <w:r>
        <w:t xml:space="preserve">In analysis</w:t>
      </w:r>
    </w:p>
    <w:p>
      <w:pPr>
        <w:pStyle w:val="Compact"/>
        <w:numPr>
          <w:ilvl w:val="0"/>
          <w:numId w:val="1094"/>
        </w:numPr>
      </w:pPr>
      <w:r>
        <w:t xml:space="preserve">Expert review</w:t>
      </w:r>
    </w:p>
    <w:p>
      <w:pPr>
        <w:pStyle w:val="Compact"/>
        <w:numPr>
          <w:ilvl w:val="0"/>
          <w:numId w:val="1094"/>
        </w:numPr>
      </w:pPr>
      <w:r>
        <w:t xml:space="preserve">Report draft</w:t>
      </w:r>
    </w:p>
    <w:p>
      <w:pPr>
        <w:pStyle w:val="Compact"/>
        <w:numPr>
          <w:ilvl w:val="0"/>
          <w:numId w:val="1094"/>
        </w:numPr>
      </w:pPr>
      <w:r>
        <w:t xml:space="preserve">Customer delivered</w:t>
      </w:r>
    </w:p>
    <w:p>
      <w:pPr>
        <w:pStyle w:val="Compact"/>
        <w:numPr>
          <w:ilvl w:val="0"/>
          <w:numId w:val="1094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158"/>
    <w:bookmarkStart w:id="159" w:name="site-table"/>
    <w:p>
      <w:pPr>
        <w:pStyle w:val="Heading2"/>
      </w:pPr>
      <w:r>
        <w:t xml:space="preserve">10.5 Site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95"/>
        </w:numPr>
      </w:pPr>
      <w:r>
        <w:t xml:space="preserve">id</w:t>
      </w:r>
    </w:p>
    <w:p>
      <w:pPr>
        <w:pStyle w:val="Compact"/>
        <w:numPr>
          <w:ilvl w:val="0"/>
          <w:numId w:val="1095"/>
        </w:numPr>
      </w:pPr>
      <w:r>
        <w:t xml:space="preserve">project_id</w:t>
      </w:r>
    </w:p>
    <w:p>
      <w:pPr>
        <w:pStyle w:val="Compact"/>
        <w:numPr>
          <w:ilvl w:val="0"/>
          <w:numId w:val="1095"/>
        </w:numPr>
      </w:pPr>
      <w:r>
        <w:t xml:space="preserve">site_name</w:t>
      </w:r>
    </w:p>
    <w:p>
      <w:pPr>
        <w:pStyle w:val="Compact"/>
        <w:numPr>
          <w:ilvl w:val="0"/>
          <w:numId w:val="1095"/>
        </w:numPr>
      </w:pPr>
      <w:r>
        <w:t xml:space="preserve">address</w:t>
      </w:r>
    </w:p>
    <w:p>
      <w:pPr>
        <w:pStyle w:val="Compact"/>
        <w:numPr>
          <w:ilvl w:val="0"/>
          <w:numId w:val="1095"/>
        </w:numPr>
      </w:pPr>
      <w:r>
        <w:t xml:space="preserve">city</w:t>
      </w:r>
    </w:p>
    <w:p>
      <w:pPr>
        <w:pStyle w:val="Compact"/>
        <w:numPr>
          <w:ilvl w:val="0"/>
          <w:numId w:val="1095"/>
        </w:numPr>
      </w:pPr>
      <w:r>
        <w:t xml:space="preserve">county</w:t>
      </w:r>
    </w:p>
    <w:p>
      <w:pPr>
        <w:pStyle w:val="Compact"/>
        <w:numPr>
          <w:ilvl w:val="0"/>
          <w:numId w:val="1095"/>
        </w:numPr>
      </w:pPr>
      <w:r>
        <w:t xml:space="preserve">state</w:t>
      </w:r>
    </w:p>
    <w:p>
      <w:pPr>
        <w:pStyle w:val="Compact"/>
        <w:numPr>
          <w:ilvl w:val="0"/>
          <w:numId w:val="1095"/>
        </w:numPr>
      </w:pPr>
      <w:r>
        <w:t xml:space="preserve">country</w:t>
      </w:r>
    </w:p>
    <w:p>
      <w:pPr>
        <w:pStyle w:val="Compact"/>
        <w:numPr>
          <w:ilvl w:val="0"/>
          <w:numId w:val="1095"/>
        </w:numPr>
      </w:pPr>
      <w:r>
        <w:t xml:space="preserve">latitude</w:t>
      </w:r>
    </w:p>
    <w:p>
      <w:pPr>
        <w:pStyle w:val="Compact"/>
        <w:numPr>
          <w:ilvl w:val="0"/>
          <w:numId w:val="1095"/>
        </w:numPr>
      </w:pPr>
      <w:r>
        <w:t xml:space="preserve">longitude</w:t>
      </w:r>
    </w:p>
    <w:p>
      <w:pPr>
        <w:pStyle w:val="Compact"/>
        <w:numPr>
          <w:ilvl w:val="0"/>
          <w:numId w:val="1095"/>
        </w:numPr>
      </w:pPr>
      <w:r>
        <w:t xml:space="preserve">parcel_id</w:t>
      </w:r>
    </w:p>
    <w:p>
      <w:pPr>
        <w:pStyle w:val="Compact"/>
        <w:numPr>
          <w:ilvl w:val="0"/>
          <w:numId w:val="1095"/>
        </w:numPr>
      </w:pPr>
      <w:r>
        <w:t xml:space="preserve">site_boundary_geometry</w:t>
      </w:r>
    </w:p>
    <w:p>
      <w:pPr>
        <w:pStyle w:val="Compact"/>
        <w:numPr>
          <w:ilvl w:val="0"/>
          <w:numId w:val="1095"/>
        </w:numPr>
      </w:pPr>
      <w:r>
        <w:t xml:space="preserve">acreage</w:t>
      </w:r>
    </w:p>
    <w:p>
      <w:pPr>
        <w:pStyle w:val="Compact"/>
        <w:numPr>
          <w:ilvl w:val="0"/>
          <w:numId w:val="1095"/>
        </w:numPr>
      </w:pPr>
      <w:r>
        <w:t xml:space="preserve">land_control_status</w:t>
      </w:r>
    </w:p>
    <w:p>
      <w:pPr>
        <w:pStyle w:val="Compact"/>
        <w:numPr>
          <w:ilvl w:val="0"/>
          <w:numId w:val="1095"/>
        </w:numPr>
      </w:pPr>
      <w:r>
        <w:t xml:space="preserve">zoning_notes</w:t>
      </w:r>
    </w:p>
    <w:p>
      <w:pPr>
        <w:pStyle w:val="Compact"/>
        <w:numPr>
          <w:ilvl w:val="0"/>
          <w:numId w:val="1095"/>
        </w:numPr>
      </w:pPr>
      <w:r>
        <w:t xml:space="preserve">created_at</w:t>
      </w:r>
    </w:p>
    <w:p>
      <w:pPr>
        <w:pStyle w:val="Compact"/>
        <w:numPr>
          <w:ilvl w:val="0"/>
          <w:numId w:val="1095"/>
        </w:numPr>
      </w:pPr>
      <w:r>
        <w:t xml:space="preserve">updated_at</w:t>
      </w:r>
    </w:p>
    <w:p>
      <w:pPr>
        <w:pStyle w:val="FirstParagraph"/>
      </w:pPr>
      <w:r>
        <w:t xml:space="preserve">Land control statuses:</w:t>
      </w:r>
    </w:p>
    <w:p>
      <w:pPr>
        <w:pStyle w:val="Compact"/>
        <w:numPr>
          <w:ilvl w:val="0"/>
          <w:numId w:val="1096"/>
        </w:numPr>
      </w:pPr>
      <w:r>
        <w:t xml:space="preserve">Unknown</w:t>
      </w:r>
    </w:p>
    <w:p>
      <w:pPr>
        <w:pStyle w:val="Compact"/>
        <w:numPr>
          <w:ilvl w:val="0"/>
          <w:numId w:val="1096"/>
        </w:numPr>
      </w:pPr>
      <w:r>
        <w:t xml:space="preserve">No control</w:t>
      </w:r>
    </w:p>
    <w:p>
      <w:pPr>
        <w:pStyle w:val="Compact"/>
        <w:numPr>
          <w:ilvl w:val="0"/>
          <w:numId w:val="1096"/>
        </w:numPr>
      </w:pPr>
      <w:r>
        <w:t xml:space="preserve">LOI</w:t>
      </w:r>
    </w:p>
    <w:p>
      <w:pPr>
        <w:pStyle w:val="Compact"/>
        <w:numPr>
          <w:ilvl w:val="0"/>
          <w:numId w:val="1096"/>
        </w:numPr>
      </w:pPr>
      <w:r>
        <w:t xml:space="preserve">Option agreement</w:t>
      </w:r>
    </w:p>
    <w:p>
      <w:pPr>
        <w:pStyle w:val="Compact"/>
        <w:numPr>
          <w:ilvl w:val="0"/>
          <w:numId w:val="1096"/>
        </w:numPr>
      </w:pPr>
      <w:r>
        <w:t xml:space="preserve">Owned</w:t>
      </w:r>
    </w:p>
    <w:p>
      <w:pPr>
        <w:pStyle w:val="Compact"/>
        <w:numPr>
          <w:ilvl w:val="0"/>
          <w:numId w:val="1096"/>
        </w:numPr>
      </w:pPr>
      <w:r>
        <w:t xml:space="preserve">Leased</w:t>
      </w:r>
    </w:p>
    <w:p>
      <w:pPr>
        <w:pStyle w:val="Compact"/>
        <w:numPr>
          <w:ilvl w:val="0"/>
          <w:numId w:val="1096"/>
        </w:numPr>
      </w:pPr>
      <w:r>
        <w:t xml:space="preserve">Under negotiation</w:t>
      </w:r>
    </w:p>
    <w:p>
      <w:r>
        <w:pict>
          <v:rect style="width:0;height:1.5pt" o:hralign="center" o:hrstd="t" o:hr="t"/>
        </w:pict>
      </w:r>
    </w:p>
    <w:bookmarkEnd w:id="159"/>
    <w:bookmarkStart w:id="160" w:name="site-intake-table"/>
    <w:p>
      <w:pPr>
        <w:pStyle w:val="Heading2"/>
      </w:pPr>
      <w:r>
        <w:t xml:space="preserve">10.6 Site Intake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97"/>
        </w:numPr>
      </w:pPr>
      <w:r>
        <w:t xml:space="preserve">id</w:t>
      </w:r>
    </w:p>
    <w:p>
      <w:pPr>
        <w:pStyle w:val="Compact"/>
        <w:numPr>
          <w:ilvl w:val="0"/>
          <w:numId w:val="1097"/>
        </w:numPr>
      </w:pPr>
      <w:r>
        <w:t xml:space="preserve">site_id</w:t>
      </w:r>
    </w:p>
    <w:p>
      <w:pPr>
        <w:pStyle w:val="Compact"/>
        <w:numPr>
          <w:ilvl w:val="0"/>
          <w:numId w:val="1097"/>
        </w:numPr>
      </w:pPr>
      <w:r>
        <w:t xml:space="preserve">target_load_mw</w:t>
      </w:r>
    </w:p>
    <w:p>
      <w:pPr>
        <w:pStyle w:val="Compact"/>
        <w:numPr>
          <w:ilvl w:val="0"/>
          <w:numId w:val="1097"/>
        </w:numPr>
      </w:pPr>
      <w:r>
        <w:t xml:space="preserve">phase_1_load_mw</w:t>
      </w:r>
    </w:p>
    <w:p>
      <w:pPr>
        <w:pStyle w:val="Compact"/>
        <w:numPr>
          <w:ilvl w:val="0"/>
          <w:numId w:val="1097"/>
        </w:numPr>
      </w:pPr>
      <w:r>
        <w:t xml:space="preserve">full_buildout_load_mw</w:t>
      </w:r>
    </w:p>
    <w:p>
      <w:pPr>
        <w:pStyle w:val="Compact"/>
        <w:numPr>
          <w:ilvl w:val="0"/>
          <w:numId w:val="1097"/>
        </w:numPr>
      </w:pPr>
      <w:r>
        <w:t xml:space="preserve">desired_energization_date</w:t>
      </w:r>
    </w:p>
    <w:p>
      <w:pPr>
        <w:pStyle w:val="Compact"/>
        <w:numPr>
          <w:ilvl w:val="0"/>
          <w:numId w:val="1097"/>
        </w:numPr>
      </w:pPr>
      <w:r>
        <w:t xml:space="preserve">load_ramp_schedule</w:t>
      </w:r>
    </w:p>
    <w:p>
      <w:pPr>
        <w:pStyle w:val="Compact"/>
        <w:numPr>
          <w:ilvl w:val="0"/>
          <w:numId w:val="1097"/>
        </w:numPr>
      </w:pPr>
      <w:r>
        <w:t xml:space="preserve">backup_generation_planned</w:t>
      </w:r>
    </w:p>
    <w:p>
      <w:pPr>
        <w:pStyle w:val="Compact"/>
        <w:numPr>
          <w:ilvl w:val="0"/>
          <w:numId w:val="1097"/>
        </w:numPr>
      </w:pPr>
      <w:r>
        <w:t xml:space="preserve">backup_generation_mw</w:t>
      </w:r>
    </w:p>
    <w:p>
      <w:pPr>
        <w:pStyle w:val="Compact"/>
        <w:numPr>
          <w:ilvl w:val="0"/>
          <w:numId w:val="1097"/>
        </w:numPr>
      </w:pPr>
      <w:r>
        <w:t xml:space="preserve">battery_storage_planned</w:t>
      </w:r>
    </w:p>
    <w:p>
      <w:pPr>
        <w:pStyle w:val="Compact"/>
        <w:numPr>
          <w:ilvl w:val="0"/>
          <w:numId w:val="1097"/>
        </w:numPr>
      </w:pPr>
      <w:r>
        <w:t xml:space="preserve">battery_storage_mw</w:t>
      </w:r>
    </w:p>
    <w:p>
      <w:pPr>
        <w:pStyle w:val="Compact"/>
        <w:numPr>
          <w:ilvl w:val="0"/>
          <w:numId w:val="1097"/>
        </w:numPr>
      </w:pPr>
      <w:r>
        <w:t xml:space="preserve">battery_storage_mwh</w:t>
      </w:r>
    </w:p>
    <w:p>
      <w:pPr>
        <w:pStyle w:val="Compact"/>
        <w:numPr>
          <w:ilvl w:val="0"/>
          <w:numId w:val="1097"/>
        </w:numPr>
      </w:pPr>
      <w:r>
        <w:t xml:space="preserve">curtailment_possible</w:t>
      </w:r>
    </w:p>
    <w:p>
      <w:pPr>
        <w:pStyle w:val="Compact"/>
        <w:numPr>
          <w:ilvl w:val="0"/>
          <w:numId w:val="1097"/>
        </w:numPr>
      </w:pPr>
      <w:r>
        <w:t xml:space="preserve">curtailable_mw</w:t>
      </w:r>
    </w:p>
    <w:p>
      <w:pPr>
        <w:pStyle w:val="Compact"/>
        <w:numPr>
          <w:ilvl w:val="0"/>
          <w:numId w:val="1097"/>
        </w:numPr>
      </w:pPr>
      <w:r>
        <w:t xml:space="preserve">workload_shifting_possible</w:t>
      </w:r>
    </w:p>
    <w:p>
      <w:pPr>
        <w:pStyle w:val="Compact"/>
        <w:numPr>
          <w:ilvl w:val="0"/>
          <w:numId w:val="1097"/>
        </w:numPr>
      </w:pPr>
      <w:r>
        <w:t xml:space="preserve">known_utility</w:t>
      </w:r>
    </w:p>
    <w:p>
      <w:pPr>
        <w:pStyle w:val="Compact"/>
        <w:numPr>
          <w:ilvl w:val="0"/>
          <w:numId w:val="1097"/>
        </w:numPr>
      </w:pPr>
      <w:r>
        <w:t xml:space="preserve">known_tsp</w:t>
      </w:r>
    </w:p>
    <w:p>
      <w:pPr>
        <w:pStyle w:val="Compact"/>
        <w:numPr>
          <w:ilvl w:val="0"/>
          <w:numId w:val="1097"/>
        </w:numPr>
      </w:pPr>
      <w:r>
        <w:t xml:space="preserve">known_dsp</w:t>
      </w:r>
    </w:p>
    <w:p>
      <w:pPr>
        <w:pStyle w:val="Compact"/>
        <w:numPr>
          <w:ilvl w:val="0"/>
          <w:numId w:val="1097"/>
        </w:numPr>
      </w:pPr>
      <w:r>
        <w:t xml:space="preserve">known_poi</w:t>
      </w:r>
    </w:p>
    <w:p>
      <w:pPr>
        <w:pStyle w:val="Compact"/>
        <w:numPr>
          <w:ilvl w:val="0"/>
          <w:numId w:val="1097"/>
        </w:numPr>
      </w:pPr>
      <w:r>
        <w:t xml:space="preserve">existing_studies</w:t>
      </w:r>
    </w:p>
    <w:p>
      <w:pPr>
        <w:pStyle w:val="Compact"/>
        <w:numPr>
          <w:ilvl w:val="0"/>
          <w:numId w:val="1097"/>
        </w:numPr>
      </w:pPr>
      <w:r>
        <w:t xml:space="preserve">utility_conversations</w:t>
      </w:r>
    </w:p>
    <w:p>
      <w:pPr>
        <w:pStyle w:val="Compact"/>
        <w:numPr>
          <w:ilvl w:val="0"/>
          <w:numId w:val="1097"/>
        </w:numPr>
      </w:pPr>
      <w:r>
        <w:t xml:space="preserve">cooling_type</w:t>
      </w:r>
    </w:p>
    <w:p>
      <w:pPr>
        <w:pStyle w:val="Compact"/>
        <w:numPr>
          <w:ilvl w:val="0"/>
          <w:numId w:val="1097"/>
        </w:numPr>
      </w:pPr>
      <w:r>
        <w:t xml:space="preserve">water_requirement_notes</w:t>
      </w:r>
    </w:p>
    <w:p>
      <w:pPr>
        <w:pStyle w:val="Compact"/>
        <w:numPr>
          <w:ilvl w:val="0"/>
          <w:numId w:val="1097"/>
        </w:numPr>
      </w:pPr>
      <w:r>
        <w:t xml:space="preserve">fibre_connectivity_notes</w:t>
      </w:r>
    </w:p>
    <w:p>
      <w:pPr>
        <w:pStyle w:val="Compact"/>
        <w:numPr>
          <w:ilvl w:val="0"/>
          <w:numId w:val="1097"/>
        </w:numPr>
      </w:pPr>
      <w:r>
        <w:t xml:space="preserve">customer_notes</w:t>
      </w:r>
    </w:p>
    <w:p>
      <w:pPr>
        <w:pStyle w:val="Compact"/>
        <w:numPr>
          <w:ilvl w:val="0"/>
          <w:numId w:val="1097"/>
        </w:numPr>
      </w:pPr>
      <w:r>
        <w:t xml:space="preserve">intake_completeness_score</w:t>
      </w:r>
    </w:p>
    <w:p>
      <w:pPr>
        <w:pStyle w:val="Compact"/>
        <w:numPr>
          <w:ilvl w:val="0"/>
          <w:numId w:val="1097"/>
        </w:numPr>
      </w:pPr>
      <w:r>
        <w:t xml:space="preserve">created_at</w:t>
      </w:r>
    </w:p>
    <w:p>
      <w:pPr>
        <w:pStyle w:val="Compact"/>
        <w:numPr>
          <w:ilvl w:val="0"/>
          <w:numId w:val="1097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60"/>
    <w:bookmarkStart w:id="161" w:name="grid-asset-table"/>
    <w:p>
      <w:pPr>
        <w:pStyle w:val="Heading2"/>
      </w:pPr>
      <w:r>
        <w:t xml:space="preserve">10.7 Grid Asset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98"/>
        </w:numPr>
      </w:pPr>
      <w:r>
        <w:t xml:space="preserve">id</w:t>
      </w:r>
    </w:p>
    <w:p>
      <w:pPr>
        <w:pStyle w:val="Compact"/>
        <w:numPr>
          <w:ilvl w:val="0"/>
          <w:numId w:val="1098"/>
        </w:numPr>
      </w:pPr>
      <w:r>
        <w:t xml:space="preserve">asset_name</w:t>
      </w:r>
    </w:p>
    <w:p>
      <w:pPr>
        <w:pStyle w:val="Compact"/>
        <w:numPr>
          <w:ilvl w:val="0"/>
          <w:numId w:val="1098"/>
        </w:numPr>
      </w:pPr>
      <w:r>
        <w:t xml:space="preserve">asset_type</w:t>
      </w:r>
    </w:p>
    <w:p>
      <w:pPr>
        <w:pStyle w:val="Compact"/>
        <w:numPr>
          <w:ilvl w:val="0"/>
          <w:numId w:val="1098"/>
        </w:numPr>
      </w:pPr>
      <w:r>
        <w:t xml:space="preserve">geometry</w:t>
      </w:r>
    </w:p>
    <w:p>
      <w:pPr>
        <w:pStyle w:val="Compact"/>
        <w:numPr>
          <w:ilvl w:val="0"/>
          <w:numId w:val="1098"/>
        </w:numPr>
      </w:pPr>
      <w:r>
        <w:t xml:space="preserve">voltage_kv</w:t>
      </w:r>
    </w:p>
    <w:p>
      <w:pPr>
        <w:pStyle w:val="Compact"/>
        <w:numPr>
          <w:ilvl w:val="0"/>
          <w:numId w:val="1098"/>
        </w:numPr>
      </w:pPr>
      <w:r>
        <w:t xml:space="preserve">owner</w:t>
      </w:r>
    </w:p>
    <w:p>
      <w:pPr>
        <w:pStyle w:val="Compact"/>
        <w:numPr>
          <w:ilvl w:val="0"/>
          <w:numId w:val="1098"/>
        </w:numPr>
      </w:pPr>
      <w:r>
        <w:t xml:space="preserve">operator</w:t>
      </w:r>
    </w:p>
    <w:p>
      <w:pPr>
        <w:pStyle w:val="Compact"/>
        <w:numPr>
          <w:ilvl w:val="0"/>
          <w:numId w:val="1098"/>
        </w:numPr>
      </w:pPr>
      <w:r>
        <w:t xml:space="preserve">status</w:t>
      </w:r>
    </w:p>
    <w:p>
      <w:pPr>
        <w:pStyle w:val="Compact"/>
        <w:numPr>
          <w:ilvl w:val="0"/>
          <w:numId w:val="1098"/>
        </w:numPr>
      </w:pPr>
      <w:r>
        <w:t xml:space="preserve">source_id</w:t>
      </w:r>
    </w:p>
    <w:p>
      <w:pPr>
        <w:pStyle w:val="Compact"/>
        <w:numPr>
          <w:ilvl w:val="0"/>
          <w:numId w:val="1098"/>
        </w:numPr>
      </w:pPr>
      <w:r>
        <w:t xml:space="preserve">confidence_level</w:t>
      </w:r>
    </w:p>
    <w:p>
      <w:pPr>
        <w:pStyle w:val="Compact"/>
        <w:numPr>
          <w:ilvl w:val="0"/>
          <w:numId w:val="1098"/>
        </w:numPr>
      </w:pPr>
      <w:r>
        <w:t xml:space="preserve">created_at</w:t>
      </w:r>
    </w:p>
    <w:p>
      <w:pPr>
        <w:pStyle w:val="Compact"/>
        <w:numPr>
          <w:ilvl w:val="0"/>
          <w:numId w:val="1098"/>
        </w:numPr>
      </w:pPr>
      <w:r>
        <w:t xml:space="preserve">updated_at</w:t>
      </w:r>
    </w:p>
    <w:p>
      <w:pPr>
        <w:pStyle w:val="FirstParagraph"/>
      </w:pPr>
      <w:r>
        <w:t xml:space="preserve">Asset types:</w:t>
      </w:r>
    </w:p>
    <w:p>
      <w:pPr>
        <w:pStyle w:val="Compact"/>
        <w:numPr>
          <w:ilvl w:val="0"/>
          <w:numId w:val="1099"/>
        </w:numPr>
      </w:pPr>
      <w:r>
        <w:t xml:space="preserve">Substation</w:t>
      </w:r>
    </w:p>
    <w:p>
      <w:pPr>
        <w:pStyle w:val="Compact"/>
        <w:numPr>
          <w:ilvl w:val="0"/>
          <w:numId w:val="1099"/>
        </w:numPr>
      </w:pPr>
      <w:r>
        <w:t xml:space="preserve">Transmission line</w:t>
      </w:r>
    </w:p>
    <w:p>
      <w:pPr>
        <w:pStyle w:val="Compact"/>
        <w:numPr>
          <w:ilvl w:val="0"/>
          <w:numId w:val="1099"/>
        </w:numPr>
      </w:pPr>
      <w:r>
        <w:t xml:space="preserve">Generation asset</w:t>
      </w:r>
    </w:p>
    <w:p>
      <w:pPr>
        <w:pStyle w:val="Compact"/>
        <w:numPr>
          <w:ilvl w:val="0"/>
          <w:numId w:val="1099"/>
        </w:numPr>
      </w:pPr>
      <w:r>
        <w:t xml:space="preserve">Switching station</w:t>
      </w:r>
    </w:p>
    <w:p>
      <w:pPr>
        <w:pStyle w:val="Compact"/>
        <w:numPr>
          <w:ilvl w:val="0"/>
          <w:numId w:val="1099"/>
        </w:numPr>
      </w:pPr>
      <w:r>
        <w:t xml:space="preserve">Distribution substation</w:t>
      </w:r>
    </w:p>
    <w:p>
      <w:pPr>
        <w:pStyle w:val="Compact"/>
        <w:numPr>
          <w:ilvl w:val="0"/>
          <w:numId w:val="1099"/>
        </w:numPr>
      </w:pPr>
      <w:r>
        <w:t xml:space="preserve">Load zone</w:t>
      </w:r>
    </w:p>
    <w:p>
      <w:pPr>
        <w:pStyle w:val="Compact"/>
        <w:numPr>
          <w:ilvl w:val="0"/>
          <w:numId w:val="1099"/>
        </w:numPr>
      </w:pPr>
      <w:r>
        <w:t xml:space="preserve">Interconnection point</w:t>
      </w:r>
    </w:p>
    <w:p>
      <w:pPr>
        <w:pStyle w:val="Compact"/>
        <w:numPr>
          <w:ilvl w:val="0"/>
          <w:numId w:val="1099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161"/>
    <w:bookmarkStart w:id="162" w:name="site-grid-distance-table"/>
    <w:p>
      <w:pPr>
        <w:pStyle w:val="Heading2"/>
      </w:pPr>
      <w:r>
        <w:t xml:space="preserve">10.8 Site Grid Distance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100"/>
        </w:numPr>
      </w:pPr>
      <w:r>
        <w:t xml:space="preserve">id</w:t>
      </w:r>
    </w:p>
    <w:p>
      <w:pPr>
        <w:pStyle w:val="Compact"/>
        <w:numPr>
          <w:ilvl w:val="0"/>
          <w:numId w:val="1100"/>
        </w:numPr>
      </w:pPr>
      <w:r>
        <w:t xml:space="preserve">site_id</w:t>
      </w:r>
    </w:p>
    <w:p>
      <w:pPr>
        <w:pStyle w:val="Compact"/>
        <w:numPr>
          <w:ilvl w:val="0"/>
          <w:numId w:val="1100"/>
        </w:numPr>
      </w:pPr>
      <w:r>
        <w:t xml:space="preserve">grid_asset_id</w:t>
      </w:r>
    </w:p>
    <w:p>
      <w:pPr>
        <w:pStyle w:val="Compact"/>
        <w:numPr>
          <w:ilvl w:val="0"/>
          <w:numId w:val="1100"/>
        </w:numPr>
      </w:pPr>
      <w:r>
        <w:t xml:space="preserve">distance_miles</w:t>
      </w:r>
    </w:p>
    <w:p>
      <w:pPr>
        <w:pStyle w:val="Compact"/>
        <w:numPr>
          <w:ilvl w:val="0"/>
          <w:numId w:val="1100"/>
        </w:numPr>
      </w:pPr>
      <w:r>
        <w:t xml:space="preserve">distance_method</w:t>
      </w:r>
    </w:p>
    <w:p>
      <w:pPr>
        <w:pStyle w:val="Compact"/>
        <w:numPr>
          <w:ilvl w:val="0"/>
          <w:numId w:val="1100"/>
        </w:numPr>
      </w:pPr>
      <w:r>
        <w:t xml:space="preserve">analyst_relevance_flag</w:t>
      </w:r>
    </w:p>
    <w:p>
      <w:pPr>
        <w:pStyle w:val="Compact"/>
        <w:numPr>
          <w:ilvl w:val="0"/>
          <w:numId w:val="1100"/>
        </w:numPr>
      </w:pPr>
      <w:r>
        <w:t xml:space="preserve">notes</w:t>
      </w:r>
    </w:p>
    <w:p>
      <w:pPr>
        <w:pStyle w:val="Compact"/>
        <w:numPr>
          <w:ilvl w:val="0"/>
          <w:numId w:val="1100"/>
        </w:numPr>
      </w:pPr>
      <w:r>
        <w:t xml:space="preserve">created_at</w:t>
      </w:r>
    </w:p>
    <w:p>
      <w:pPr>
        <w:pStyle w:val="Compact"/>
        <w:numPr>
          <w:ilvl w:val="0"/>
          <w:numId w:val="1100"/>
        </w:numPr>
      </w:pPr>
      <w:r>
        <w:t xml:space="preserve">updated_at</w:t>
      </w:r>
    </w:p>
    <w:p>
      <w:pPr>
        <w:pStyle w:val="FirstParagraph"/>
      </w:pPr>
      <w:r>
        <w:t xml:space="preserve">Distance methods:</w:t>
      </w:r>
    </w:p>
    <w:p>
      <w:pPr>
        <w:pStyle w:val="Compact"/>
        <w:numPr>
          <w:ilvl w:val="0"/>
          <w:numId w:val="1101"/>
        </w:numPr>
      </w:pPr>
      <w:r>
        <w:t xml:space="preserve">Straight-line</w:t>
      </w:r>
    </w:p>
    <w:p>
      <w:pPr>
        <w:pStyle w:val="Compact"/>
        <w:numPr>
          <w:ilvl w:val="0"/>
          <w:numId w:val="1101"/>
        </w:numPr>
      </w:pPr>
      <w:r>
        <w:t xml:space="preserve">Road/path estimate</w:t>
      </w:r>
    </w:p>
    <w:p>
      <w:pPr>
        <w:pStyle w:val="Compact"/>
        <w:numPr>
          <w:ilvl w:val="0"/>
          <w:numId w:val="1101"/>
        </w:numPr>
      </w:pPr>
      <w:r>
        <w:t xml:space="preserve">Analyst estimate</w:t>
      </w:r>
    </w:p>
    <w:p>
      <w:pPr>
        <w:pStyle w:val="Compact"/>
        <w:numPr>
          <w:ilvl w:val="0"/>
          <w:numId w:val="1101"/>
        </w:numPr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162"/>
    <w:bookmarkStart w:id="163" w:name="market-region-table"/>
    <w:p>
      <w:pPr>
        <w:pStyle w:val="Heading2"/>
      </w:pPr>
      <w:r>
        <w:t xml:space="preserve">10.9 Market Region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102"/>
        </w:numPr>
      </w:pPr>
      <w:r>
        <w:t xml:space="preserve">id</w:t>
      </w:r>
    </w:p>
    <w:p>
      <w:pPr>
        <w:pStyle w:val="Compact"/>
        <w:numPr>
          <w:ilvl w:val="0"/>
          <w:numId w:val="1102"/>
        </w:numPr>
      </w:pPr>
      <w:r>
        <w:t xml:space="preserve">market_name</w:t>
      </w:r>
    </w:p>
    <w:p>
      <w:pPr>
        <w:pStyle w:val="Compact"/>
        <w:numPr>
          <w:ilvl w:val="0"/>
          <w:numId w:val="1102"/>
        </w:numPr>
      </w:pPr>
      <w:r>
        <w:t xml:space="preserve">market_type</w:t>
      </w:r>
    </w:p>
    <w:p>
      <w:pPr>
        <w:pStyle w:val="Compact"/>
        <w:numPr>
          <w:ilvl w:val="0"/>
          <w:numId w:val="1102"/>
        </w:numPr>
      </w:pPr>
      <w:r>
        <w:t xml:space="preserve">region_geometry</w:t>
      </w:r>
    </w:p>
    <w:p>
      <w:pPr>
        <w:pStyle w:val="Compact"/>
        <w:numPr>
          <w:ilvl w:val="0"/>
          <w:numId w:val="1102"/>
        </w:numPr>
      </w:pPr>
      <w:r>
        <w:t xml:space="preserve">operator</w:t>
      </w:r>
    </w:p>
    <w:p>
      <w:pPr>
        <w:pStyle w:val="Compact"/>
        <w:numPr>
          <w:ilvl w:val="0"/>
          <w:numId w:val="1102"/>
        </w:numPr>
      </w:pPr>
      <w:r>
        <w:t xml:space="preserve">notes</w:t>
      </w:r>
    </w:p>
    <w:p>
      <w:pPr>
        <w:pStyle w:val="Compact"/>
        <w:numPr>
          <w:ilvl w:val="0"/>
          <w:numId w:val="1102"/>
        </w:numPr>
      </w:pPr>
      <w:r>
        <w:t xml:space="preserve">source_id</w:t>
      </w:r>
    </w:p>
    <w:p>
      <w:pPr>
        <w:pStyle w:val="Compact"/>
        <w:numPr>
          <w:ilvl w:val="0"/>
          <w:numId w:val="1102"/>
        </w:numPr>
      </w:pPr>
      <w:r>
        <w:t xml:space="preserve">created_at</w:t>
      </w:r>
    </w:p>
    <w:p>
      <w:pPr>
        <w:pStyle w:val="Compact"/>
        <w:numPr>
          <w:ilvl w:val="0"/>
          <w:numId w:val="1102"/>
        </w:numPr>
      </w:pPr>
      <w:r>
        <w:t xml:space="preserve">updated_at</w:t>
      </w:r>
    </w:p>
    <w:p>
      <w:pPr>
        <w:pStyle w:val="FirstParagraph"/>
      </w:pPr>
      <w:r>
        <w:t xml:space="preserve">Market types:</w:t>
      </w:r>
    </w:p>
    <w:p>
      <w:pPr>
        <w:pStyle w:val="Compact"/>
        <w:numPr>
          <w:ilvl w:val="0"/>
          <w:numId w:val="1103"/>
        </w:numPr>
      </w:pPr>
      <w:r>
        <w:t xml:space="preserve">ISO/RTO</w:t>
      </w:r>
    </w:p>
    <w:p>
      <w:pPr>
        <w:pStyle w:val="Compact"/>
        <w:numPr>
          <w:ilvl w:val="0"/>
          <w:numId w:val="1103"/>
        </w:numPr>
      </w:pPr>
      <w:r>
        <w:t xml:space="preserve">Bilateral utility territory</w:t>
      </w:r>
    </w:p>
    <w:p>
      <w:pPr>
        <w:pStyle w:val="Compact"/>
        <w:numPr>
          <w:ilvl w:val="0"/>
          <w:numId w:val="1103"/>
        </w:numPr>
      </w:pPr>
      <w:r>
        <w:t xml:space="preserve">Load zone</w:t>
      </w:r>
    </w:p>
    <w:p>
      <w:pPr>
        <w:pStyle w:val="Compact"/>
        <w:numPr>
          <w:ilvl w:val="0"/>
          <w:numId w:val="1103"/>
        </w:numPr>
      </w:pPr>
      <w:r>
        <w:t xml:space="preserve">Pricing hub</w:t>
      </w:r>
    </w:p>
    <w:p>
      <w:pPr>
        <w:pStyle w:val="Compact"/>
        <w:numPr>
          <w:ilvl w:val="0"/>
          <w:numId w:val="1103"/>
        </w:numPr>
      </w:pPr>
      <w:r>
        <w:t xml:space="preserve">Balancing authority</w:t>
      </w:r>
    </w:p>
    <w:p>
      <w:pPr>
        <w:pStyle w:val="Compact"/>
        <w:numPr>
          <w:ilvl w:val="0"/>
          <w:numId w:val="1103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163"/>
    <w:bookmarkStart w:id="164" w:name="interconnection-requirement-table"/>
    <w:p>
      <w:pPr>
        <w:pStyle w:val="Heading2"/>
      </w:pPr>
      <w:r>
        <w:t xml:space="preserve">10.10 Interconnection Requirement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104"/>
        </w:numPr>
      </w:pPr>
      <w:r>
        <w:t xml:space="preserve">id</w:t>
      </w:r>
    </w:p>
    <w:p>
      <w:pPr>
        <w:pStyle w:val="Compact"/>
        <w:numPr>
          <w:ilvl w:val="0"/>
          <w:numId w:val="1104"/>
        </w:numPr>
      </w:pPr>
      <w:r>
        <w:t xml:space="preserve">market_region_id</w:t>
      </w:r>
    </w:p>
    <w:p>
      <w:pPr>
        <w:pStyle w:val="Compact"/>
        <w:numPr>
          <w:ilvl w:val="0"/>
          <w:numId w:val="1104"/>
        </w:numPr>
      </w:pPr>
      <w:r>
        <w:t xml:space="preserve">requirement_name</w:t>
      </w:r>
    </w:p>
    <w:p>
      <w:pPr>
        <w:pStyle w:val="Compact"/>
        <w:numPr>
          <w:ilvl w:val="0"/>
          <w:numId w:val="1104"/>
        </w:numPr>
      </w:pPr>
      <w:r>
        <w:t xml:space="preserve">requirement_category</w:t>
      </w:r>
    </w:p>
    <w:p>
      <w:pPr>
        <w:pStyle w:val="Compact"/>
        <w:numPr>
          <w:ilvl w:val="0"/>
          <w:numId w:val="1104"/>
        </w:numPr>
      </w:pPr>
      <w:r>
        <w:t xml:space="preserve">threshold_mw</w:t>
      </w:r>
    </w:p>
    <w:p>
      <w:pPr>
        <w:pStyle w:val="Compact"/>
        <w:numPr>
          <w:ilvl w:val="0"/>
          <w:numId w:val="1104"/>
        </w:numPr>
      </w:pPr>
      <w:r>
        <w:t xml:space="preserve">applicability_notes</w:t>
      </w:r>
    </w:p>
    <w:p>
      <w:pPr>
        <w:pStyle w:val="Compact"/>
        <w:numPr>
          <w:ilvl w:val="0"/>
          <w:numId w:val="1104"/>
        </w:numPr>
      </w:pPr>
      <w:r>
        <w:t xml:space="preserve">required_document</w:t>
      </w:r>
    </w:p>
    <w:p>
      <w:pPr>
        <w:pStyle w:val="Compact"/>
        <w:numPr>
          <w:ilvl w:val="0"/>
          <w:numId w:val="1104"/>
        </w:numPr>
      </w:pPr>
      <w:r>
        <w:t xml:space="preserve">required_data</w:t>
      </w:r>
    </w:p>
    <w:p>
      <w:pPr>
        <w:pStyle w:val="Compact"/>
        <w:numPr>
          <w:ilvl w:val="0"/>
          <w:numId w:val="1104"/>
        </w:numPr>
      </w:pPr>
      <w:r>
        <w:t xml:space="preserve">source_id</w:t>
      </w:r>
    </w:p>
    <w:p>
      <w:pPr>
        <w:pStyle w:val="Compact"/>
        <w:numPr>
          <w:ilvl w:val="0"/>
          <w:numId w:val="1104"/>
        </w:numPr>
      </w:pPr>
      <w:r>
        <w:t xml:space="preserve">effective_date</w:t>
      </w:r>
    </w:p>
    <w:p>
      <w:pPr>
        <w:pStyle w:val="Compact"/>
        <w:numPr>
          <w:ilvl w:val="0"/>
          <w:numId w:val="1104"/>
        </w:numPr>
      </w:pPr>
      <w:r>
        <w:t xml:space="preserve">status</w:t>
      </w:r>
    </w:p>
    <w:p>
      <w:pPr>
        <w:pStyle w:val="Compact"/>
        <w:numPr>
          <w:ilvl w:val="0"/>
          <w:numId w:val="1104"/>
        </w:numPr>
      </w:pPr>
      <w:r>
        <w:t xml:space="preserve">created_at</w:t>
      </w:r>
    </w:p>
    <w:p>
      <w:pPr>
        <w:pStyle w:val="Compact"/>
        <w:numPr>
          <w:ilvl w:val="0"/>
          <w:numId w:val="1104"/>
        </w:numPr>
      </w:pPr>
      <w:r>
        <w:t xml:space="preserve">updated_at</w:t>
      </w:r>
    </w:p>
    <w:p>
      <w:pPr>
        <w:pStyle w:val="FirstParagraph"/>
      </w:pPr>
      <w:r>
        <w:t xml:space="preserve">Requirement categories:</w:t>
      </w:r>
    </w:p>
    <w:p>
      <w:pPr>
        <w:pStyle w:val="Compact"/>
        <w:numPr>
          <w:ilvl w:val="0"/>
          <w:numId w:val="1105"/>
        </w:numPr>
      </w:pPr>
      <w:r>
        <w:t xml:space="preserve">Large-load process</w:t>
      </w:r>
    </w:p>
    <w:p>
      <w:pPr>
        <w:pStyle w:val="Compact"/>
        <w:numPr>
          <w:ilvl w:val="0"/>
          <w:numId w:val="1105"/>
        </w:numPr>
      </w:pPr>
      <w:r>
        <w:t xml:space="preserve">Form</w:t>
      </w:r>
    </w:p>
    <w:p>
      <w:pPr>
        <w:pStyle w:val="Compact"/>
        <w:numPr>
          <w:ilvl w:val="0"/>
          <w:numId w:val="1105"/>
        </w:numPr>
      </w:pPr>
      <w:r>
        <w:t xml:space="preserve">Attestation</w:t>
      </w:r>
    </w:p>
    <w:p>
      <w:pPr>
        <w:pStyle w:val="Compact"/>
        <w:numPr>
          <w:ilvl w:val="0"/>
          <w:numId w:val="1105"/>
        </w:numPr>
      </w:pPr>
      <w:r>
        <w:t xml:space="preserve">Study</w:t>
      </w:r>
    </w:p>
    <w:p>
      <w:pPr>
        <w:pStyle w:val="Compact"/>
        <w:numPr>
          <w:ilvl w:val="0"/>
          <w:numId w:val="1105"/>
        </w:numPr>
      </w:pPr>
      <w:r>
        <w:t xml:space="preserve">Model</w:t>
      </w:r>
    </w:p>
    <w:p>
      <w:pPr>
        <w:pStyle w:val="Compact"/>
        <w:numPr>
          <w:ilvl w:val="0"/>
          <w:numId w:val="1105"/>
        </w:numPr>
      </w:pPr>
      <w:r>
        <w:t xml:space="preserve">Commissioning plan</w:t>
      </w:r>
    </w:p>
    <w:p>
      <w:pPr>
        <w:pStyle w:val="Compact"/>
        <w:numPr>
          <w:ilvl w:val="0"/>
          <w:numId w:val="1105"/>
        </w:numPr>
      </w:pPr>
      <w:r>
        <w:t xml:space="preserve">Telemetry</w:t>
      </w:r>
    </w:p>
    <w:p>
      <w:pPr>
        <w:pStyle w:val="Compact"/>
        <w:numPr>
          <w:ilvl w:val="0"/>
          <w:numId w:val="1105"/>
        </w:numPr>
      </w:pPr>
      <w:r>
        <w:t xml:space="preserve">Ride-through</w:t>
      </w:r>
    </w:p>
    <w:p>
      <w:pPr>
        <w:pStyle w:val="Compact"/>
        <w:numPr>
          <w:ilvl w:val="0"/>
          <w:numId w:val="1105"/>
        </w:numPr>
      </w:pPr>
      <w:r>
        <w:t xml:space="preserve">Financial security</w:t>
      </w:r>
    </w:p>
    <w:p>
      <w:pPr>
        <w:pStyle w:val="Compact"/>
        <w:numPr>
          <w:ilvl w:val="0"/>
          <w:numId w:val="1105"/>
        </w:numPr>
      </w:pPr>
      <w:r>
        <w:t xml:space="preserve">Utility/TSP communication</w:t>
      </w:r>
    </w:p>
    <w:p>
      <w:pPr>
        <w:pStyle w:val="Compact"/>
        <w:numPr>
          <w:ilvl w:val="0"/>
          <w:numId w:val="1105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164"/>
    <w:bookmarkStart w:id="165" w:name="evidence-source-table"/>
    <w:p>
      <w:pPr>
        <w:pStyle w:val="Heading2"/>
      </w:pPr>
      <w:r>
        <w:t xml:space="preserve">10.11 Evidence Source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106"/>
        </w:numPr>
      </w:pPr>
      <w:r>
        <w:t xml:space="preserve">id</w:t>
      </w:r>
    </w:p>
    <w:p>
      <w:pPr>
        <w:pStyle w:val="Compact"/>
        <w:numPr>
          <w:ilvl w:val="0"/>
          <w:numId w:val="1106"/>
        </w:numPr>
      </w:pPr>
      <w:r>
        <w:t xml:space="preserve">title</w:t>
      </w:r>
    </w:p>
    <w:p>
      <w:pPr>
        <w:pStyle w:val="Compact"/>
        <w:numPr>
          <w:ilvl w:val="0"/>
          <w:numId w:val="1106"/>
        </w:numPr>
      </w:pPr>
      <w:r>
        <w:t xml:space="preserve">source_type</w:t>
      </w:r>
    </w:p>
    <w:p>
      <w:pPr>
        <w:pStyle w:val="Compact"/>
        <w:numPr>
          <w:ilvl w:val="0"/>
          <w:numId w:val="1106"/>
        </w:numPr>
      </w:pPr>
      <w:r>
        <w:t xml:space="preserve">publisher</w:t>
      </w:r>
    </w:p>
    <w:p>
      <w:pPr>
        <w:pStyle w:val="Compact"/>
        <w:numPr>
          <w:ilvl w:val="0"/>
          <w:numId w:val="1106"/>
        </w:numPr>
      </w:pPr>
      <w:r>
        <w:t xml:space="preserve">url</w:t>
      </w:r>
    </w:p>
    <w:p>
      <w:pPr>
        <w:pStyle w:val="Compact"/>
        <w:numPr>
          <w:ilvl w:val="0"/>
          <w:numId w:val="1106"/>
        </w:numPr>
      </w:pPr>
      <w:r>
        <w:t xml:space="preserve">file_id</w:t>
      </w:r>
    </w:p>
    <w:p>
      <w:pPr>
        <w:pStyle w:val="Compact"/>
        <w:numPr>
          <w:ilvl w:val="0"/>
          <w:numId w:val="1106"/>
        </w:numPr>
      </w:pPr>
      <w:r>
        <w:t xml:space="preserve">publication_date</w:t>
      </w:r>
    </w:p>
    <w:p>
      <w:pPr>
        <w:pStyle w:val="Compact"/>
        <w:numPr>
          <w:ilvl w:val="0"/>
          <w:numId w:val="1106"/>
        </w:numPr>
      </w:pPr>
      <w:r>
        <w:t xml:space="preserve">access_date</w:t>
      </w:r>
    </w:p>
    <w:p>
      <w:pPr>
        <w:pStyle w:val="Compact"/>
        <w:numPr>
          <w:ilvl w:val="0"/>
          <w:numId w:val="1106"/>
        </w:numPr>
      </w:pPr>
      <w:r>
        <w:t xml:space="preserve">excerpt</w:t>
      </w:r>
    </w:p>
    <w:p>
      <w:pPr>
        <w:pStyle w:val="Compact"/>
        <w:numPr>
          <w:ilvl w:val="0"/>
          <w:numId w:val="1106"/>
        </w:numPr>
      </w:pPr>
      <w:r>
        <w:t xml:space="preserve">relevance_notes</w:t>
      </w:r>
    </w:p>
    <w:p>
      <w:pPr>
        <w:pStyle w:val="Compact"/>
        <w:numPr>
          <w:ilvl w:val="0"/>
          <w:numId w:val="1106"/>
        </w:numPr>
      </w:pPr>
      <w:r>
        <w:t xml:space="preserve">confidence_level</w:t>
      </w:r>
    </w:p>
    <w:p>
      <w:pPr>
        <w:pStyle w:val="Compact"/>
        <w:numPr>
          <w:ilvl w:val="0"/>
          <w:numId w:val="1106"/>
        </w:numPr>
      </w:pPr>
      <w:r>
        <w:t xml:space="preserve">created_by</w:t>
      </w:r>
    </w:p>
    <w:p>
      <w:pPr>
        <w:pStyle w:val="Compact"/>
        <w:numPr>
          <w:ilvl w:val="0"/>
          <w:numId w:val="1106"/>
        </w:numPr>
      </w:pPr>
      <w:r>
        <w:t xml:space="preserve">created_at</w:t>
      </w:r>
    </w:p>
    <w:p>
      <w:pPr>
        <w:pStyle w:val="Compact"/>
        <w:numPr>
          <w:ilvl w:val="0"/>
          <w:numId w:val="1106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65"/>
    <w:bookmarkStart w:id="166" w:name="analysis-run-table"/>
    <w:p>
      <w:pPr>
        <w:pStyle w:val="Heading2"/>
      </w:pPr>
      <w:r>
        <w:t xml:space="preserve">10.12 Analysis Run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107"/>
        </w:numPr>
      </w:pPr>
      <w:r>
        <w:t xml:space="preserve">id</w:t>
      </w:r>
    </w:p>
    <w:p>
      <w:pPr>
        <w:pStyle w:val="Compact"/>
        <w:numPr>
          <w:ilvl w:val="0"/>
          <w:numId w:val="1107"/>
        </w:numPr>
      </w:pPr>
      <w:r>
        <w:t xml:space="preserve">site_id</w:t>
      </w:r>
    </w:p>
    <w:p>
      <w:pPr>
        <w:pStyle w:val="Compact"/>
        <w:numPr>
          <w:ilvl w:val="0"/>
          <w:numId w:val="1107"/>
        </w:numPr>
      </w:pPr>
      <w:r>
        <w:t xml:space="preserve">run_type</w:t>
      </w:r>
    </w:p>
    <w:p>
      <w:pPr>
        <w:pStyle w:val="Compact"/>
        <w:numPr>
          <w:ilvl w:val="0"/>
          <w:numId w:val="1107"/>
        </w:numPr>
      </w:pPr>
      <w:r>
        <w:t xml:space="preserve">run_status</w:t>
      </w:r>
    </w:p>
    <w:p>
      <w:pPr>
        <w:pStyle w:val="Compact"/>
        <w:numPr>
          <w:ilvl w:val="0"/>
          <w:numId w:val="1107"/>
        </w:numPr>
      </w:pPr>
      <w:r>
        <w:t xml:space="preserve">analyst_id</w:t>
      </w:r>
    </w:p>
    <w:p>
      <w:pPr>
        <w:pStyle w:val="Compact"/>
        <w:numPr>
          <w:ilvl w:val="0"/>
          <w:numId w:val="1107"/>
        </w:numPr>
      </w:pPr>
      <w:r>
        <w:t xml:space="preserve">started_at</w:t>
      </w:r>
    </w:p>
    <w:p>
      <w:pPr>
        <w:pStyle w:val="Compact"/>
        <w:numPr>
          <w:ilvl w:val="0"/>
          <w:numId w:val="1107"/>
        </w:numPr>
      </w:pPr>
      <w:r>
        <w:t xml:space="preserve">completed_at</w:t>
      </w:r>
    </w:p>
    <w:p>
      <w:pPr>
        <w:pStyle w:val="Compact"/>
        <w:numPr>
          <w:ilvl w:val="0"/>
          <w:numId w:val="1107"/>
        </w:numPr>
      </w:pPr>
      <w:r>
        <w:t xml:space="preserve">notes</w:t>
      </w:r>
    </w:p>
    <w:p>
      <w:pPr>
        <w:pStyle w:val="FirstParagraph"/>
      </w:pPr>
      <w:r>
        <w:t xml:space="preserve">Run types:</w:t>
      </w:r>
    </w:p>
    <w:p>
      <w:pPr>
        <w:pStyle w:val="Compact"/>
        <w:numPr>
          <w:ilvl w:val="0"/>
          <w:numId w:val="1108"/>
        </w:numPr>
      </w:pPr>
      <w:r>
        <w:t xml:space="preserve">Initial screen</w:t>
      </w:r>
    </w:p>
    <w:p>
      <w:pPr>
        <w:pStyle w:val="Compact"/>
        <w:numPr>
          <w:ilvl w:val="0"/>
          <w:numId w:val="1108"/>
        </w:numPr>
      </w:pPr>
      <w:r>
        <w:t xml:space="preserve">Full single-site report</w:t>
      </w:r>
    </w:p>
    <w:p>
      <w:pPr>
        <w:pStyle w:val="Compact"/>
        <w:numPr>
          <w:ilvl w:val="0"/>
          <w:numId w:val="1108"/>
        </w:numPr>
      </w:pPr>
      <w:r>
        <w:t xml:space="preserve">Multi-site screen</w:t>
      </w:r>
    </w:p>
    <w:p>
      <w:pPr>
        <w:pStyle w:val="Compact"/>
        <w:numPr>
          <w:ilvl w:val="0"/>
          <w:numId w:val="1108"/>
        </w:numPr>
      </w:pPr>
      <w:r>
        <w:t xml:space="preserve">Investor underwriting</w:t>
      </w:r>
    </w:p>
    <w:p>
      <w:pPr>
        <w:pStyle w:val="Compact"/>
        <w:numPr>
          <w:ilvl w:val="0"/>
          <w:numId w:val="1108"/>
        </w:numPr>
      </w:pPr>
      <w:r>
        <w:t xml:space="preserve">Expert review revision</w:t>
      </w:r>
    </w:p>
    <w:p>
      <w:pPr>
        <w:pStyle w:val="FirstParagraph"/>
      </w:pPr>
      <w:r>
        <w:t xml:space="preserve">Run statuses:</w:t>
      </w:r>
    </w:p>
    <w:p>
      <w:pPr>
        <w:pStyle w:val="Compact"/>
        <w:numPr>
          <w:ilvl w:val="0"/>
          <w:numId w:val="1109"/>
        </w:numPr>
      </w:pPr>
      <w:r>
        <w:t xml:space="preserve">Not started</w:t>
      </w:r>
    </w:p>
    <w:p>
      <w:pPr>
        <w:pStyle w:val="Compact"/>
        <w:numPr>
          <w:ilvl w:val="0"/>
          <w:numId w:val="1109"/>
        </w:numPr>
      </w:pPr>
      <w:r>
        <w:t xml:space="preserve">Running</w:t>
      </w:r>
    </w:p>
    <w:p>
      <w:pPr>
        <w:pStyle w:val="Compact"/>
        <w:numPr>
          <w:ilvl w:val="0"/>
          <w:numId w:val="1109"/>
        </w:numPr>
      </w:pPr>
      <w:r>
        <w:t xml:space="preserve">Analyst review required</w:t>
      </w:r>
    </w:p>
    <w:p>
      <w:pPr>
        <w:pStyle w:val="Compact"/>
        <w:numPr>
          <w:ilvl w:val="0"/>
          <w:numId w:val="1109"/>
        </w:numPr>
      </w:pPr>
      <w:r>
        <w:t xml:space="preserve">Expert review required</w:t>
      </w:r>
    </w:p>
    <w:p>
      <w:pPr>
        <w:pStyle w:val="Compact"/>
        <w:numPr>
          <w:ilvl w:val="0"/>
          <w:numId w:val="1109"/>
        </w:numPr>
      </w:pPr>
      <w:r>
        <w:t xml:space="preserve">Complete</w:t>
      </w:r>
    </w:p>
    <w:p>
      <w:pPr>
        <w:pStyle w:val="Compact"/>
        <w:numPr>
          <w:ilvl w:val="0"/>
          <w:numId w:val="1109"/>
        </w:numPr>
      </w:pPr>
      <w:r>
        <w:t xml:space="preserve">Failed</w:t>
      </w:r>
    </w:p>
    <w:p>
      <w:r>
        <w:pict>
          <v:rect style="width:0;height:1.5pt" o:hralign="center" o:hrstd="t" o:hr="t"/>
        </w:pict>
      </w:r>
    </w:p>
    <w:bookmarkEnd w:id="166"/>
    <w:bookmarkStart w:id="167" w:name="risk-factor-table"/>
    <w:p>
      <w:pPr>
        <w:pStyle w:val="Heading2"/>
      </w:pPr>
      <w:r>
        <w:t xml:space="preserve">10.13 Risk Factor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110"/>
        </w:numPr>
      </w:pPr>
      <w:r>
        <w:t xml:space="preserve">id</w:t>
      </w:r>
    </w:p>
    <w:p>
      <w:pPr>
        <w:pStyle w:val="Compact"/>
        <w:numPr>
          <w:ilvl w:val="0"/>
          <w:numId w:val="1110"/>
        </w:numPr>
      </w:pPr>
      <w:r>
        <w:t xml:space="preserve">site_id</w:t>
      </w:r>
    </w:p>
    <w:p>
      <w:pPr>
        <w:pStyle w:val="Compact"/>
        <w:numPr>
          <w:ilvl w:val="0"/>
          <w:numId w:val="1110"/>
        </w:numPr>
      </w:pPr>
      <w:r>
        <w:t xml:space="preserve">category</w:t>
      </w:r>
    </w:p>
    <w:p>
      <w:pPr>
        <w:pStyle w:val="Compact"/>
        <w:numPr>
          <w:ilvl w:val="0"/>
          <w:numId w:val="1110"/>
        </w:numPr>
      </w:pPr>
      <w:r>
        <w:t xml:space="preserve">risk_name</w:t>
      </w:r>
    </w:p>
    <w:p>
      <w:pPr>
        <w:pStyle w:val="Compact"/>
        <w:numPr>
          <w:ilvl w:val="0"/>
          <w:numId w:val="1110"/>
        </w:numPr>
      </w:pPr>
      <w:r>
        <w:t xml:space="preserve">risk_level</w:t>
      </w:r>
    </w:p>
    <w:p>
      <w:pPr>
        <w:pStyle w:val="Compact"/>
        <w:numPr>
          <w:ilvl w:val="0"/>
          <w:numId w:val="1110"/>
        </w:numPr>
      </w:pPr>
      <w:r>
        <w:t xml:space="preserve">confidence_level</w:t>
      </w:r>
    </w:p>
    <w:p>
      <w:pPr>
        <w:pStyle w:val="Compact"/>
        <w:numPr>
          <w:ilvl w:val="0"/>
          <w:numId w:val="1110"/>
        </w:numPr>
      </w:pPr>
      <w:r>
        <w:t xml:space="preserve">description</w:t>
      </w:r>
    </w:p>
    <w:p>
      <w:pPr>
        <w:pStyle w:val="Compact"/>
        <w:numPr>
          <w:ilvl w:val="0"/>
          <w:numId w:val="1110"/>
        </w:numPr>
      </w:pPr>
      <w:r>
        <w:t xml:space="preserve">mitigation</w:t>
      </w:r>
    </w:p>
    <w:p>
      <w:pPr>
        <w:pStyle w:val="Compact"/>
        <w:numPr>
          <w:ilvl w:val="0"/>
          <w:numId w:val="1110"/>
        </w:numPr>
      </w:pPr>
      <w:r>
        <w:t xml:space="preserve">source_id</w:t>
      </w:r>
    </w:p>
    <w:p>
      <w:pPr>
        <w:pStyle w:val="Compact"/>
        <w:numPr>
          <w:ilvl w:val="0"/>
          <w:numId w:val="1110"/>
        </w:numPr>
      </w:pPr>
      <w:r>
        <w:t xml:space="preserve">analyst_notes</w:t>
      </w:r>
    </w:p>
    <w:p>
      <w:pPr>
        <w:pStyle w:val="Compact"/>
        <w:numPr>
          <w:ilvl w:val="0"/>
          <w:numId w:val="1110"/>
        </w:numPr>
      </w:pPr>
      <w:r>
        <w:t xml:space="preserve">created_at</w:t>
      </w:r>
    </w:p>
    <w:p>
      <w:pPr>
        <w:pStyle w:val="Compact"/>
        <w:numPr>
          <w:ilvl w:val="0"/>
          <w:numId w:val="1110"/>
        </w:numPr>
      </w:pPr>
      <w:r>
        <w:t xml:space="preserve">updated_at</w:t>
      </w:r>
    </w:p>
    <w:p>
      <w:pPr>
        <w:pStyle w:val="FirstParagraph"/>
      </w:pPr>
      <w:r>
        <w:t xml:space="preserve">Risk categories:</w:t>
      </w:r>
    </w:p>
    <w:p>
      <w:pPr>
        <w:pStyle w:val="Compact"/>
        <w:numPr>
          <w:ilvl w:val="0"/>
          <w:numId w:val="1111"/>
        </w:numPr>
      </w:pPr>
      <w:r>
        <w:t xml:space="preserve">Power feasibility</w:t>
      </w:r>
    </w:p>
    <w:p>
      <w:pPr>
        <w:pStyle w:val="Compact"/>
        <w:numPr>
          <w:ilvl w:val="0"/>
          <w:numId w:val="1111"/>
        </w:numPr>
      </w:pPr>
      <w:r>
        <w:t xml:space="preserve">Interconnection</w:t>
      </w:r>
    </w:p>
    <w:p>
      <w:pPr>
        <w:pStyle w:val="Compact"/>
        <w:numPr>
          <w:ilvl w:val="0"/>
          <w:numId w:val="1111"/>
        </w:numPr>
      </w:pPr>
      <w:r>
        <w:t xml:space="preserve">Reliability</w:t>
      </w:r>
    </w:p>
    <w:p>
      <w:pPr>
        <w:pStyle w:val="Compact"/>
        <w:numPr>
          <w:ilvl w:val="0"/>
          <w:numId w:val="1111"/>
        </w:numPr>
      </w:pPr>
      <w:r>
        <w:t xml:space="preserve">Energy economics</w:t>
      </w:r>
    </w:p>
    <w:p>
      <w:pPr>
        <w:pStyle w:val="Compact"/>
        <w:numPr>
          <w:ilvl w:val="0"/>
          <w:numId w:val="1111"/>
        </w:numPr>
      </w:pPr>
      <w:r>
        <w:t xml:space="preserve">Flexibility</w:t>
      </w:r>
    </w:p>
    <w:p>
      <w:pPr>
        <w:pStyle w:val="Compact"/>
        <w:numPr>
          <w:ilvl w:val="0"/>
          <w:numId w:val="1111"/>
        </w:numPr>
      </w:pPr>
      <w:r>
        <w:t xml:space="preserve">Site/permitting</w:t>
      </w:r>
    </w:p>
    <w:p>
      <w:pPr>
        <w:pStyle w:val="Compact"/>
        <w:numPr>
          <w:ilvl w:val="0"/>
          <w:numId w:val="1111"/>
        </w:numPr>
      </w:pPr>
      <w:r>
        <w:t xml:space="preserve">Water/cooling</w:t>
      </w:r>
    </w:p>
    <w:p>
      <w:pPr>
        <w:pStyle w:val="Compact"/>
        <w:numPr>
          <w:ilvl w:val="0"/>
          <w:numId w:val="1111"/>
        </w:numPr>
      </w:pPr>
      <w:r>
        <w:t xml:space="preserve">Community</w:t>
      </w:r>
    </w:p>
    <w:p>
      <w:pPr>
        <w:pStyle w:val="Compact"/>
        <w:numPr>
          <w:ilvl w:val="0"/>
          <w:numId w:val="1111"/>
        </w:numPr>
      </w:pPr>
      <w:r>
        <w:t xml:space="preserve">Evidence/data quality</w:t>
      </w:r>
    </w:p>
    <w:p>
      <w:pPr>
        <w:pStyle w:val="FirstParagraph"/>
      </w:pPr>
      <w:r>
        <w:t xml:space="preserve">Risk levels:</w:t>
      </w:r>
    </w:p>
    <w:p>
      <w:pPr>
        <w:pStyle w:val="Compact"/>
        <w:numPr>
          <w:ilvl w:val="0"/>
          <w:numId w:val="1112"/>
        </w:numPr>
      </w:pPr>
      <w:r>
        <w:t xml:space="preserve">Low</w:t>
      </w:r>
    </w:p>
    <w:p>
      <w:pPr>
        <w:pStyle w:val="Compact"/>
        <w:numPr>
          <w:ilvl w:val="0"/>
          <w:numId w:val="1112"/>
        </w:numPr>
      </w:pPr>
      <w:r>
        <w:t xml:space="preserve">Moderate</w:t>
      </w:r>
    </w:p>
    <w:p>
      <w:pPr>
        <w:pStyle w:val="Compact"/>
        <w:numPr>
          <w:ilvl w:val="0"/>
          <w:numId w:val="1112"/>
        </w:numPr>
      </w:pPr>
      <w:r>
        <w:t xml:space="preserve">High</w:t>
      </w:r>
    </w:p>
    <w:p>
      <w:pPr>
        <w:pStyle w:val="Compact"/>
        <w:numPr>
          <w:ilvl w:val="0"/>
          <w:numId w:val="1112"/>
        </w:numPr>
      </w:pPr>
      <w:r>
        <w:t xml:space="preserve">Critical</w:t>
      </w:r>
    </w:p>
    <w:p>
      <w:pPr>
        <w:pStyle w:val="Compact"/>
        <w:numPr>
          <w:ilvl w:val="0"/>
          <w:numId w:val="1112"/>
        </w:numPr>
      </w:pPr>
      <w:r>
        <w:t xml:space="preserve">Unknown</w:t>
      </w:r>
    </w:p>
    <w:p>
      <w:r>
        <w:pict>
          <v:rect style="width:0;height:1.5pt" o:hralign="center" o:hrstd="t" o:hr="t"/>
        </w:pict>
      </w:r>
    </w:p>
    <w:bookmarkEnd w:id="167"/>
    <w:bookmarkStart w:id="168" w:name="score-table"/>
    <w:p>
      <w:pPr>
        <w:pStyle w:val="Heading2"/>
      </w:pPr>
      <w:r>
        <w:t xml:space="preserve">10.14 Score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113"/>
        </w:numPr>
      </w:pPr>
      <w:r>
        <w:t xml:space="preserve">id</w:t>
      </w:r>
    </w:p>
    <w:p>
      <w:pPr>
        <w:pStyle w:val="Compact"/>
        <w:numPr>
          <w:ilvl w:val="0"/>
          <w:numId w:val="1113"/>
        </w:numPr>
      </w:pPr>
      <w:r>
        <w:t xml:space="preserve">site_id</w:t>
      </w:r>
    </w:p>
    <w:p>
      <w:pPr>
        <w:pStyle w:val="Compact"/>
        <w:numPr>
          <w:ilvl w:val="0"/>
          <w:numId w:val="1113"/>
        </w:numPr>
      </w:pPr>
      <w:r>
        <w:t xml:space="preserve">analysis_run_id</w:t>
      </w:r>
    </w:p>
    <w:p>
      <w:pPr>
        <w:pStyle w:val="Compact"/>
        <w:numPr>
          <w:ilvl w:val="0"/>
          <w:numId w:val="1113"/>
        </w:numPr>
      </w:pPr>
      <w:r>
        <w:t xml:space="preserve">power_feasibility_score</w:t>
      </w:r>
    </w:p>
    <w:p>
      <w:pPr>
        <w:pStyle w:val="Compact"/>
        <w:numPr>
          <w:ilvl w:val="0"/>
          <w:numId w:val="1113"/>
        </w:numPr>
      </w:pPr>
      <w:r>
        <w:t xml:space="preserve">interconnection_readiness_score</w:t>
      </w:r>
    </w:p>
    <w:p>
      <w:pPr>
        <w:pStyle w:val="Compact"/>
        <w:numPr>
          <w:ilvl w:val="0"/>
          <w:numId w:val="1113"/>
        </w:numPr>
      </w:pPr>
      <w:r>
        <w:t xml:space="preserve">reliability_readiness_score</w:t>
      </w:r>
    </w:p>
    <w:p>
      <w:pPr>
        <w:pStyle w:val="Compact"/>
        <w:numPr>
          <w:ilvl w:val="0"/>
          <w:numId w:val="1113"/>
        </w:numPr>
      </w:pPr>
      <w:r>
        <w:t xml:space="preserve">energy_economics_score</w:t>
      </w:r>
    </w:p>
    <w:p>
      <w:pPr>
        <w:pStyle w:val="Compact"/>
        <w:numPr>
          <w:ilvl w:val="0"/>
          <w:numId w:val="1113"/>
        </w:numPr>
      </w:pPr>
      <w:r>
        <w:t xml:space="preserve">flexibility_score</w:t>
      </w:r>
    </w:p>
    <w:p>
      <w:pPr>
        <w:pStyle w:val="Compact"/>
        <w:numPr>
          <w:ilvl w:val="0"/>
          <w:numId w:val="1113"/>
        </w:numPr>
      </w:pPr>
      <w:r>
        <w:t xml:space="preserve">site_risk_score</w:t>
      </w:r>
    </w:p>
    <w:p>
      <w:pPr>
        <w:pStyle w:val="Compact"/>
        <w:numPr>
          <w:ilvl w:val="0"/>
          <w:numId w:val="1113"/>
        </w:numPr>
      </w:pPr>
      <w:r>
        <w:t xml:space="preserve">evidence_confidence_score</w:t>
      </w:r>
    </w:p>
    <w:p>
      <w:pPr>
        <w:pStyle w:val="Compact"/>
        <w:numPr>
          <w:ilvl w:val="0"/>
          <w:numId w:val="1113"/>
        </w:numPr>
      </w:pPr>
      <w:r>
        <w:t xml:space="preserve">overall_power_readiness_score</w:t>
      </w:r>
    </w:p>
    <w:p>
      <w:pPr>
        <w:pStyle w:val="Compact"/>
        <w:numPr>
          <w:ilvl w:val="0"/>
          <w:numId w:val="1113"/>
        </w:numPr>
      </w:pPr>
      <w:r>
        <w:t xml:space="preserve">verdict</w:t>
      </w:r>
    </w:p>
    <w:p>
      <w:pPr>
        <w:pStyle w:val="Compact"/>
        <w:numPr>
          <w:ilvl w:val="0"/>
          <w:numId w:val="1113"/>
        </w:numPr>
      </w:pPr>
      <w:r>
        <w:t xml:space="preserve">confidence_level</w:t>
      </w:r>
    </w:p>
    <w:p>
      <w:pPr>
        <w:pStyle w:val="Compact"/>
        <w:numPr>
          <w:ilvl w:val="0"/>
          <w:numId w:val="1113"/>
        </w:numPr>
      </w:pPr>
      <w:r>
        <w:t xml:space="preserve">scoring_version</w:t>
      </w:r>
    </w:p>
    <w:p>
      <w:pPr>
        <w:pStyle w:val="Compact"/>
        <w:numPr>
          <w:ilvl w:val="0"/>
          <w:numId w:val="1113"/>
        </w:numPr>
      </w:pPr>
      <w:r>
        <w:t xml:space="preserve">analyst_override</w:t>
      </w:r>
    </w:p>
    <w:p>
      <w:pPr>
        <w:pStyle w:val="Compact"/>
        <w:numPr>
          <w:ilvl w:val="0"/>
          <w:numId w:val="1113"/>
        </w:numPr>
      </w:pPr>
      <w:r>
        <w:t xml:space="preserve">override_reason</w:t>
      </w:r>
    </w:p>
    <w:p>
      <w:pPr>
        <w:pStyle w:val="Compact"/>
        <w:numPr>
          <w:ilvl w:val="0"/>
          <w:numId w:val="1113"/>
        </w:numPr>
      </w:pPr>
      <w:r>
        <w:t xml:space="preserve">created_at</w:t>
      </w:r>
    </w:p>
    <w:p>
      <w:pPr>
        <w:pStyle w:val="Compact"/>
        <w:numPr>
          <w:ilvl w:val="0"/>
          <w:numId w:val="1113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168"/>
    <w:bookmarkStart w:id="169" w:name="report-table"/>
    <w:p>
      <w:pPr>
        <w:pStyle w:val="Heading2"/>
      </w:pPr>
      <w:r>
        <w:t xml:space="preserve">10.15 Report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114"/>
        </w:numPr>
      </w:pPr>
      <w:r>
        <w:t xml:space="preserve">id</w:t>
      </w:r>
    </w:p>
    <w:p>
      <w:pPr>
        <w:pStyle w:val="Compact"/>
        <w:numPr>
          <w:ilvl w:val="0"/>
          <w:numId w:val="1114"/>
        </w:numPr>
      </w:pPr>
      <w:r>
        <w:t xml:space="preserve">project_id</w:t>
      </w:r>
    </w:p>
    <w:p>
      <w:pPr>
        <w:pStyle w:val="Compact"/>
        <w:numPr>
          <w:ilvl w:val="0"/>
          <w:numId w:val="1114"/>
        </w:numPr>
      </w:pPr>
      <w:r>
        <w:t xml:space="preserve">site_id</w:t>
      </w:r>
    </w:p>
    <w:p>
      <w:pPr>
        <w:pStyle w:val="Compact"/>
        <w:numPr>
          <w:ilvl w:val="0"/>
          <w:numId w:val="1114"/>
        </w:numPr>
      </w:pPr>
      <w:r>
        <w:t xml:space="preserve">report_type</w:t>
      </w:r>
    </w:p>
    <w:p>
      <w:pPr>
        <w:pStyle w:val="Compact"/>
        <w:numPr>
          <w:ilvl w:val="0"/>
          <w:numId w:val="1114"/>
        </w:numPr>
      </w:pPr>
      <w:r>
        <w:t xml:space="preserve">report_status</w:t>
      </w:r>
    </w:p>
    <w:p>
      <w:pPr>
        <w:pStyle w:val="Compact"/>
        <w:numPr>
          <w:ilvl w:val="0"/>
          <w:numId w:val="1114"/>
        </w:numPr>
      </w:pPr>
      <w:r>
        <w:t xml:space="preserve">report_version</w:t>
      </w:r>
    </w:p>
    <w:p>
      <w:pPr>
        <w:pStyle w:val="Compact"/>
        <w:numPr>
          <w:ilvl w:val="0"/>
          <w:numId w:val="1114"/>
        </w:numPr>
      </w:pPr>
      <w:r>
        <w:t xml:space="preserve">pdf_file_id</w:t>
      </w:r>
    </w:p>
    <w:p>
      <w:pPr>
        <w:pStyle w:val="Compact"/>
        <w:numPr>
          <w:ilvl w:val="0"/>
          <w:numId w:val="1114"/>
        </w:numPr>
      </w:pPr>
      <w:r>
        <w:t xml:space="preserve">generated_at</w:t>
      </w:r>
    </w:p>
    <w:p>
      <w:pPr>
        <w:pStyle w:val="Compact"/>
        <w:numPr>
          <w:ilvl w:val="0"/>
          <w:numId w:val="1114"/>
        </w:numPr>
      </w:pPr>
      <w:r>
        <w:t xml:space="preserve">delivered_at</w:t>
      </w:r>
    </w:p>
    <w:p>
      <w:pPr>
        <w:pStyle w:val="Compact"/>
        <w:numPr>
          <w:ilvl w:val="0"/>
          <w:numId w:val="1114"/>
        </w:numPr>
      </w:pPr>
      <w:r>
        <w:t xml:space="preserve">created_by</w:t>
      </w:r>
    </w:p>
    <w:p>
      <w:pPr>
        <w:pStyle w:val="Compact"/>
        <w:numPr>
          <w:ilvl w:val="0"/>
          <w:numId w:val="1114"/>
        </w:numPr>
      </w:pPr>
      <w:r>
        <w:t xml:space="preserve">approved_by</w:t>
      </w:r>
    </w:p>
    <w:p>
      <w:pPr>
        <w:pStyle w:val="FirstParagraph"/>
      </w:pPr>
      <w:r>
        <w:t xml:space="preserve">Report types:</w:t>
      </w:r>
    </w:p>
    <w:p>
      <w:pPr>
        <w:pStyle w:val="Compact"/>
        <w:numPr>
          <w:ilvl w:val="0"/>
          <w:numId w:val="1115"/>
        </w:numPr>
      </w:pPr>
      <w:r>
        <w:t xml:space="preserve">Single-site feasibility</w:t>
      </w:r>
    </w:p>
    <w:p>
      <w:pPr>
        <w:pStyle w:val="Compact"/>
        <w:numPr>
          <w:ilvl w:val="0"/>
          <w:numId w:val="1115"/>
        </w:numPr>
      </w:pPr>
      <w:r>
        <w:t xml:space="preserve">Multi-site screening</w:t>
      </w:r>
    </w:p>
    <w:p>
      <w:pPr>
        <w:pStyle w:val="Compact"/>
        <w:numPr>
          <w:ilvl w:val="0"/>
          <w:numId w:val="1115"/>
        </w:numPr>
      </w:pPr>
      <w:r>
        <w:t xml:space="preserve">Investor underwriting</w:t>
      </w:r>
    </w:p>
    <w:p>
      <w:pPr>
        <w:pStyle w:val="Compact"/>
        <w:numPr>
          <w:ilvl w:val="0"/>
          <w:numId w:val="1115"/>
        </w:numPr>
      </w:pPr>
      <w:r>
        <w:t xml:space="preserve">Interconnection readiness</w:t>
      </w:r>
    </w:p>
    <w:p>
      <w:pPr>
        <w:pStyle w:val="Compact"/>
        <w:numPr>
          <w:ilvl w:val="0"/>
          <w:numId w:val="1115"/>
        </w:numPr>
      </w:pPr>
      <w:r>
        <w:t xml:space="preserve">Memo only</w:t>
      </w:r>
    </w:p>
    <w:p>
      <w:pPr>
        <w:pStyle w:val="FirstParagraph"/>
      </w:pPr>
      <w:r>
        <w:t xml:space="preserve">Report statuses:</w:t>
      </w:r>
    </w:p>
    <w:p>
      <w:pPr>
        <w:pStyle w:val="Compact"/>
        <w:numPr>
          <w:ilvl w:val="0"/>
          <w:numId w:val="1116"/>
        </w:numPr>
      </w:pPr>
      <w:r>
        <w:t xml:space="preserve">Draft</w:t>
      </w:r>
    </w:p>
    <w:p>
      <w:pPr>
        <w:pStyle w:val="Compact"/>
        <w:numPr>
          <w:ilvl w:val="0"/>
          <w:numId w:val="1116"/>
        </w:numPr>
      </w:pPr>
      <w:r>
        <w:t xml:space="preserve">Analyst review</w:t>
      </w:r>
    </w:p>
    <w:p>
      <w:pPr>
        <w:pStyle w:val="Compact"/>
        <w:numPr>
          <w:ilvl w:val="0"/>
          <w:numId w:val="1116"/>
        </w:numPr>
      </w:pPr>
      <w:r>
        <w:t xml:space="preserve">Expert review</w:t>
      </w:r>
    </w:p>
    <w:p>
      <w:pPr>
        <w:pStyle w:val="Compact"/>
        <w:numPr>
          <w:ilvl w:val="0"/>
          <w:numId w:val="1116"/>
        </w:numPr>
      </w:pPr>
      <w:r>
        <w:t xml:space="preserve">Approved</w:t>
      </w:r>
    </w:p>
    <w:p>
      <w:pPr>
        <w:pStyle w:val="Compact"/>
        <w:numPr>
          <w:ilvl w:val="0"/>
          <w:numId w:val="1116"/>
        </w:numPr>
      </w:pPr>
      <w:r>
        <w:t xml:space="preserve">Delivered</w:t>
      </w:r>
    </w:p>
    <w:p>
      <w:pPr>
        <w:pStyle w:val="Compact"/>
        <w:numPr>
          <w:ilvl w:val="0"/>
          <w:numId w:val="1116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169"/>
    <w:bookmarkStart w:id="170" w:name="expert-review-table"/>
    <w:p>
      <w:pPr>
        <w:pStyle w:val="Heading2"/>
      </w:pPr>
      <w:r>
        <w:t xml:space="preserve">10.16 Expert Review Table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117"/>
        </w:numPr>
      </w:pPr>
      <w:r>
        <w:t xml:space="preserve">id</w:t>
      </w:r>
    </w:p>
    <w:p>
      <w:pPr>
        <w:pStyle w:val="Compact"/>
        <w:numPr>
          <w:ilvl w:val="0"/>
          <w:numId w:val="1117"/>
        </w:numPr>
      </w:pPr>
      <w:r>
        <w:t xml:space="preserve">site_id</w:t>
      </w:r>
    </w:p>
    <w:p>
      <w:pPr>
        <w:pStyle w:val="Compact"/>
        <w:numPr>
          <w:ilvl w:val="0"/>
          <w:numId w:val="1117"/>
        </w:numPr>
      </w:pPr>
      <w:r>
        <w:t xml:space="preserve">reviewer_id</w:t>
      </w:r>
    </w:p>
    <w:p>
      <w:pPr>
        <w:pStyle w:val="Compact"/>
        <w:numPr>
          <w:ilvl w:val="0"/>
          <w:numId w:val="1117"/>
        </w:numPr>
      </w:pPr>
      <w:r>
        <w:t xml:space="preserve">review_type</w:t>
      </w:r>
    </w:p>
    <w:p>
      <w:pPr>
        <w:pStyle w:val="Compact"/>
        <w:numPr>
          <w:ilvl w:val="0"/>
          <w:numId w:val="1117"/>
        </w:numPr>
      </w:pPr>
      <w:r>
        <w:t xml:space="preserve">status</w:t>
      </w:r>
    </w:p>
    <w:p>
      <w:pPr>
        <w:pStyle w:val="Compact"/>
        <w:numPr>
          <w:ilvl w:val="0"/>
          <w:numId w:val="1117"/>
        </w:numPr>
      </w:pPr>
      <w:r>
        <w:t xml:space="preserve">requested_at</w:t>
      </w:r>
    </w:p>
    <w:p>
      <w:pPr>
        <w:pStyle w:val="Compact"/>
        <w:numPr>
          <w:ilvl w:val="0"/>
          <w:numId w:val="1117"/>
        </w:numPr>
      </w:pPr>
      <w:r>
        <w:t xml:space="preserve">completed_at</w:t>
      </w:r>
    </w:p>
    <w:p>
      <w:pPr>
        <w:pStyle w:val="Compact"/>
        <w:numPr>
          <w:ilvl w:val="0"/>
          <w:numId w:val="1117"/>
        </w:numPr>
      </w:pPr>
      <w:r>
        <w:t xml:space="preserve">comments</w:t>
      </w:r>
    </w:p>
    <w:p>
      <w:pPr>
        <w:pStyle w:val="Compact"/>
        <w:numPr>
          <w:ilvl w:val="0"/>
          <w:numId w:val="1117"/>
        </w:numPr>
      </w:pPr>
      <w:r>
        <w:t xml:space="preserve">required_changes</w:t>
      </w:r>
    </w:p>
    <w:p>
      <w:pPr>
        <w:pStyle w:val="Compact"/>
        <w:numPr>
          <w:ilvl w:val="0"/>
          <w:numId w:val="1117"/>
        </w:numPr>
      </w:pPr>
      <w:r>
        <w:t xml:space="preserve">approval_status</w:t>
      </w:r>
    </w:p>
    <w:p>
      <w:pPr>
        <w:pStyle w:val="FirstParagraph"/>
      </w:pPr>
      <w:r>
        <w:t xml:space="preserve">Review types:</w:t>
      </w:r>
    </w:p>
    <w:p>
      <w:pPr>
        <w:pStyle w:val="Compact"/>
        <w:numPr>
          <w:ilvl w:val="0"/>
          <w:numId w:val="1118"/>
        </w:numPr>
      </w:pPr>
      <w:r>
        <w:t xml:space="preserve">Power systems</w:t>
      </w:r>
    </w:p>
    <w:p>
      <w:pPr>
        <w:pStyle w:val="Compact"/>
        <w:numPr>
          <w:ilvl w:val="0"/>
          <w:numId w:val="1118"/>
        </w:numPr>
      </w:pPr>
      <w:r>
        <w:t xml:space="preserve">Interconnection</w:t>
      </w:r>
    </w:p>
    <w:p>
      <w:pPr>
        <w:pStyle w:val="Compact"/>
        <w:numPr>
          <w:ilvl w:val="0"/>
          <w:numId w:val="1118"/>
        </w:numPr>
      </w:pPr>
      <w:r>
        <w:t xml:space="preserve">Reliability</w:t>
      </w:r>
    </w:p>
    <w:p>
      <w:pPr>
        <w:pStyle w:val="Compact"/>
        <w:numPr>
          <w:ilvl w:val="0"/>
          <w:numId w:val="1118"/>
        </w:numPr>
      </w:pPr>
      <w:r>
        <w:t xml:space="preserve">Energy markets</w:t>
      </w:r>
    </w:p>
    <w:p>
      <w:pPr>
        <w:pStyle w:val="Compact"/>
        <w:numPr>
          <w:ilvl w:val="0"/>
          <w:numId w:val="1118"/>
        </w:numPr>
      </w:pPr>
      <w:r>
        <w:t xml:space="preserve">Legal/regulatory</w:t>
      </w:r>
    </w:p>
    <w:p>
      <w:pPr>
        <w:pStyle w:val="Compact"/>
        <w:numPr>
          <w:ilvl w:val="0"/>
          <w:numId w:val="1118"/>
        </w:numPr>
      </w:pPr>
      <w:r>
        <w:t xml:space="preserve">Final report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6" w:name="ai-llm-requirements"/>
    <w:p>
      <w:pPr>
        <w:pStyle w:val="Heading1"/>
      </w:pPr>
      <w:r>
        <w:t xml:space="preserve">11. AI / LLM Requirements</w:t>
      </w:r>
    </w:p>
    <w:bookmarkStart w:id="172" w:name="acceptable-ai-uses"/>
    <w:p>
      <w:pPr>
        <w:pStyle w:val="Heading2"/>
      </w:pPr>
      <w:r>
        <w:t xml:space="preserve">11.1 Acceptable AI Uses</w:t>
      </w:r>
    </w:p>
    <w:p>
      <w:pPr>
        <w:pStyle w:val="FirstParagraph"/>
      </w:pPr>
      <w:r>
        <w:t xml:space="preserve">The MVP may use AI for:</w:t>
      </w:r>
    </w:p>
    <w:p>
      <w:pPr>
        <w:pStyle w:val="Compact"/>
        <w:numPr>
          <w:ilvl w:val="0"/>
          <w:numId w:val="1119"/>
        </w:numPr>
      </w:pPr>
      <w:r>
        <w:t xml:space="preserve">Summarising official documents</w:t>
      </w:r>
    </w:p>
    <w:p>
      <w:pPr>
        <w:pStyle w:val="Compact"/>
        <w:numPr>
          <w:ilvl w:val="0"/>
          <w:numId w:val="1119"/>
        </w:numPr>
      </w:pPr>
      <w:r>
        <w:t xml:space="preserve">Extracting requirements from interconnection materials</w:t>
      </w:r>
    </w:p>
    <w:p>
      <w:pPr>
        <w:pStyle w:val="Compact"/>
        <w:numPr>
          <w:ilvl w:val="0"/>
          <w:numId w:val="1119"/>
        </w:numPr>
      </w:pPr>
      <w:r>
        <w:t xml:space="preserve">Generating first-draft report sections</w:t>
      </w:r>
    </w:p>
    <w:p>
      <w:pPr>
        <w:pStyle w:val="Compact"/>
        <w:numPr>
          <w:ilvl w:val="0"/>
          <w:numId w:val="1119"/>
        </w:numPr>
      </w:pPr>
      <w:r>
        <w:t xml:space="preserve">Classifying missing diligence items</w:t>
      </w:r>
    </w:p>
    <w:p>
      <w:pPr>
        <w:pStyle w:val="Compact"/>
        <w:numPr>
          <w:ilvl w:val="0"/>
          <w:numId w:val="1119"/>
        </w:numPr>
      </w:pPr>
      <w:r>
        <w:t xml:space="preserve">Creating customer-readable explanations</w:t>
      </w:r>
    </w:p>
    <w:p>
      <w:pPr>
        <w:pStyle w:val="Compact"/>
        <w:numPr>
          <w:ilvl w:val="0"/>
          <w:numId w:val="1119"/>
        </w:numPr>
      </w:pPr>
      <w:r>
        <w:t xml:space="preserve">Comparing site notes</w:t>
      </w:r>
    </w:p>
    <w:p>
      <w:pPr>
        <w:pStyle w:val="Compact"/>
        <w:numPr>
          <w:ilvl w:val="0"/>
          <w:numId w:val="1119"/>
        </w:numPr>
      </w:pPr>
      <w:r>
        <w:t xml:space="preserve">Drafting investor/utility memos</w:t>
      </w:r>
    </w:p>
    <w:p>
      <w:pPr>
        <w:pStyle w:val="Compact"/>
        <w:numPr>
          <w:ilvl w:val="0"/>
          <w:numId w:val="1119"/>
        </w:numPr>
      </w:pPr>
      <w:r>
        <w:t xml:space="preserve">Creating source-linked evidence summaries</w:t>
      </w:r>
    </w:p>
    <w:p>
      <w:pPr>
        <w:pStyle w:val="Compact"/>
        <w:numPr>
          <w:ilvl w:val="0"/>
          <w:numId w:val="1119"/>
        </w:numPr>
      </w:pPr>
      <w:r>
        <w:t xml:space="preserve">Assisting analysts with checklist completion</w:t>
      </w:r>
    </w:p>
    <w:bookmarkEnd w:id="172"/>
    <w:bookmarkStart w:id="173" w:name="prohibited-ai-uses"/>
    <w:p>
      <w:pPr>
        <w:pStyle w:val="Heading2"/>
      </w:pPr>
      <w:r>
        <w:t xml:space="preserve">11.2 Prohibited AI Uses</w:t>
      </w:r>
    </w:p>
    <w:p>
      <w:pPr>
        <w:pStyle w:val="FirstParagraph"/>
      </w:pPr>
      <w:r>
        <w:t xml:space="preserve">The MVP must not allow AI to:</w:t>
      </w:r>
    </w:p>
    <w:p>
      <w:pPr>
        <w:pStyle w:val="Compact"/>
        <w:numPr>
          <w:ilvl w:val="0"/>
          <w:numId w:val="1120"/>
        </w:numPr>
      </w:pPr>
      <w:r>
        <w:t xml:space="preserve">Invent grid capacity</w:t>
      </w:r>
    </w:p>
    <w:p>
      <w:pPr>
        <w:pStyle w:val="Compact"/>
        <w:numPr>
          <w:ilvl w:val="0"/>
          <w:numId w:val="1120"/>
        </w:numPr>
      </w:pPr>
      <w:r>
        <w:t xml:space="preserve">Invent utility positions</w:t>
      </w:r>
    </w:p>
    <w:p>
      <w:pPr>
        <w:pStyle w:val="Compact"/>
        <w:numPr>
          <w:ilvl w:val="0"/>
          <w:numId w:val="1120"/>
        </w:numPr>
      </w:pPr>
      <w:r>
        <w:t xml:space="preserve">Invent interconnection timelines</w:t>
      </w:r>
    </w:p>
    <w:p>
      <w:pPr>
        <w:pStyle w:val="Compact"/>
        <w:numPr>
          <w:ilvl w:val="0"/>
          <w:numId w:val="1120"/>
        </w:numPr>
      </w:pPr>
      <w:r>
        <w:t xml:space="preserve">Invent source citations</w:t>
      </w:r>
    </w:p>
    <w:p>
      <w:pPr>
        <w:pStyle w:val="Compact"/>
        <w:numPr>
          <w:ilvl w:val="0"/>
          <w:numId w:val="1120"/>
        </w:numPr>
      </w:pPr>
      <w:r>
        <w:t xml:space="preserve">Present assumptions as facts</w:t>
      </w:r>
    </w:p>
    <w:p>
      <w:pPr>
        <w:pStyle w:val="Compact"/>
        <w:numPr>
          <w:ilvl w:val="0"/>
          <w:numId w:val="1120"/>
        </w:numPr>
      </w:pPr>
      <w:r>
        <w:t xml:space="preserve">Provide definitive engineering conclusions without review</w:t>
      </w:r>
    </w:p>
    <w:p>
      <w:pPr>
        <w:pStyle w:val="Compact"/>
        <w:numPr>
          <w:ilvl w:val="0"/>
          <w:numId w:val="1120"/>
        </w:numPr>
      </w:pPr>
      <w:r>
        <w:t xml:space="preserve">Generate final reports without analyst approval</w:t>
      </w:r>
    </w:p>
    <w:p>
      <w:pPr>
        <w:pStyle w:val="Compact"/>
        <w:numPr>
          <w:ilvl w:val="0"/>
          <w:numId w:val="1120"/>
        </w:numPr>
      </w:pPr>
      <w:r>
        <w:t xml:space="preserve">Replace expert review for high-risk reliability sections</w:t>
      </w:r>
    </w:p>
    <w:bookmarkEnd w:id="173"/>
    <w:bookmarkStart w:id="174" w:name="ai-output-requirements"/>
    <w:p>
      <w:pPr>
        <w:pStyle w:val="Heading2"/>
      </w:pPr>
      <w:r>
        <w:t xml:space="preserve">11.3 AI Output Requirements</w:t>
      </w:r>
    </w:p>
    <w:p>
      <w:pPr>
        <w:pStyle w:val="FirstParagraph"/>
      </w:pPr>
      <w:r>
        <w:t xml:space="preserve">All AI-generated content must include:</w:t>
      </w:r>
    </w:p>
    <w:p>
      <w:pPr>
        <w:pStyle w:val="Compact"/>
        <w:numPr>
          <w:ilvl w:val="0"/>
          <w:numId w:val="1121"/>
        </w:numPr>
      </w:pPr>
      <w:r>
        <w:t xml:space="preserve">Source references or assumption notes</w:t>
      </w:r>
    </w:p>
    <w:p>
      <w:pPr>
        <w:pStyle w:val="Compact"/>
        <w:numPr>
          <w:ilvl w:val="0"/>
          <w:numId w:val="1121"/>
        </w:numPr>
      </w:pPr>
      <w:r>
        <w:t xml:space="preserve">Confidence level</w:t>
      </w:r>
    </w:p>
    <w:p>
      <w:pPr>
        <w:pStyle w:val="Compact"/>
        <w:numPr>
          <w:ilvl w:val="0"/>
          <w:numId w:val="1121"/>
        </w:numPr>
      </w:pPr>
      <w:r>
        <w:t xml:space="preserve">Analyst review status</w:t>
      </w:r>
    </w:p>
    <w:p>
      <w:pPr>
        <w:pStyle w:val="Compact"/>
        <w:numPr>
          <w:ilvl w:val="0"/>
          <w:numId w:val="1121"/>
        </w:numPr>
      </w:pPr>
      <w:r>
        <w:t xml:space="preserve">Generated timestamp</w:t>
      </w:r>
    </w:p>
    <w:p>
      <w:pPr>
        <w:pStyle w:val="Compact"/>
        <w:numPr>
          <w:ilvl w:val="0"/>
          <w:numId w:val="1121"/>
        </w:numPr>
      </w:pPr>
      <w:r>
        <w:t xml:space="preserve">Model/version metadata, if available</w:t>
      </w:r>
    </w:p>
    <w:bookmarkEnd w:id="174"/>
    <w:bookmarkStart w:id="175" w:name="retrieval-augmented-generation"/>
    <w:p>
      <w:pPr>
        <w:pStyle w:val="Heading2"/>
      </w:pPr>
      <w:r>
        <w:t xml:space="preserve">11.4 Retrieval-Augmented Generation</w:t>
      </w:r>
    </w:p>
    <w:p>
      <w:pPr>
        <w:pStyle w:val="FirstParagraph"/>
      </w:pPr>
      <w:r>
        <w:t xml:space="preserve">If using an LLM, the MVP should use retrieval over a controlled document library.</w:t>
      </w:r>
    </w:p>
    <w:p>
      <w:pPr>
        <w:pStyle w:val="BodyText"/>
      </w:pPr>
      <w:r>
        <w:t xml:space="preserve">Document library categories:</w:t>
      </w:r>
    </w:p>
    <w:p>
      <w:pPr>
        <w:pStyle w:val="Compact"/>
        <w:numPr>
          <w:ilvl w:val="0"/>
          <w:numId w:val="1122"/>
        </w:numPr>
      </w:pPr>
      <w:r>
        <w:t xml:space="preserve">ERCOT large-load documents</w:t>
      </w:r>
    </w:p>
    <w:p>
      <w:pPr>
        <w:pStyle w:val="Compact"/>
        <w:numPr>
          <w:ilvl w:val="0"/>
          <w:numId w:val="1122"/>
        </w:numPr>
      </w:pPr>
      <w:r>
        <w:t xml:space="preserve">ERCOT Planning Guide sections</w:t>
      </w:r>
    </w:p>
    <w:p>
      <w:pPr>
        <w:pStyle w:val="Compact"/>
        <w:numPr>
          <w:ilvl w:val="0"/>
          <w:numId w:val="1122"/>
        </w:numPr>
      </w:pPr>
      <w:r>
        <w:t xml:space="preserve">ERCOT market notices</w:t>
      </w:r>
    </w:p>
    <w:p>
      <w:pPr>
        <w:pStyle w:val="Compact"/>
        <w:numPr>
          <w:ilvl w:val="0"/>
          <w:numId w:val="1122"/>
        </w:numPr>
      </w:pPr>
      <w:r>
        <w:t xml:space="preserve">FERC large-load materials</w:t>
      </w:r>
    </w:p>
    <w:p>
      <w:pPr>
        <w:pStyle w:val="Compact"/>
        <w:numPr>
          <w:ilvl w:val="0"/>
          <w:numId w:val="1122"/>
        </w:numPr>
      </w:pPr>
      <w:r>
        <w:t xml:space="preserve">NERC reliability materials</w:t>
      </w:r>
    </w:p>
    <w:p>
      <w:pPr>
        <w:pStyle w:val="Compact"/>
        <w:numPr>
          <w:ilvl w:val="0"/>
          <w:numId w:val="1122"/>
        </w:numPr>
      </w:pPr>
      <w:r>
        <w:t xml:space="preserve">Utility/TSP documents</w:t>
      </w:r>
    </w:p>
    <w:p>
      <w:pPr>
        <w:pStyle w:val="Compact"/>
        <w:numPr>
          <w:ilvl w:val="0"/>
          <w:numId w:val="1122"/>
        </w:numPr>
      </w:pPr>
      <w:r>
        <w:t xml:space="preserve">Internal GridReady templates</w:t>
      </w:r>
    </w:p>
    <w:p>
      <w:pPr>
        <w:pStyle w:val="Compact"/>
        <w:numPr>
          <w:ilvl w:val="0"/>
          <w:numId w:val="1122"/>
        </w:numPr>
      </w:pPr>
      <w:r>
        <w:t xml:space="preserve">Customer-provided documents</w:t>
      </w:r>
    </w:p>
    <w:p>
      <w:pPr>
        <w:pStyle w:val="FirstParagraph"/>
      </w:pPr>
      <w:r>
        <w:t xml:space="preserve">The LLM should only answer regulatory/process questions using retrieved documents.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96" w:name="technical-architecture"/>
    <w:p>
      <w:pPr>
        <w:pStyle w:val="Heading1"/>
      </w:pPr>
      <w:r>
        <w:t xml:space="preserve">12. Technical Architecture</w:t>
      </w:r>
    </w:p>
    <w:bookmarkStart w:id="177" w:name="recommended-mvp-architecture"/>
    <w:p>
      <w:pPr>
        <w:pStyle w:val="Heading2"/>
      </w:pPr>
      <w:r>
        <w:t xml:space="preserve">12.1 Recommended MVP Architecture</w:t>
      </w:r>
    </w:p>
    <w:p>
      <w:pPr>
        <w:pStyle w:val="FirstParagraph"/>
      </w:pPr>
      <w:r>
        <w:t xml:space="preserve">The MVP should use a pragmatic architecture:</w:t>
      </w:r>
    </w:p>
    <w:p>
      <w:pPr>
        <w:pStyle w:val="Compact"/>
        <w:numPr>
          <w:ilvl w:val="0"/>
          <w:numId w:val="1123"/>
        </w:numPr>
      </w:pPr>
      <w:r>
        <w:t xml:space="preserve">Frontend web app</w:t>
      </w:r>
    </w:p>
    <w:p>
      <w:pPr>
        <w:pStyle w:val="Compact"/>
        <w:numPr>
          <w:ilvl w:val="0"/>
          <w:numId w:val="1123"/>
        </w:numPr>
      </w:pPr>
      <w:r>
        <w:t xml:space="preserve">Backend API</w:t>
      </w:r>
    </w:p>
    <w:p>
      <w:pPr>
        <w:pStyle w:val="Compact"/>
        <w:numPr>
          <w:ilvl w:val="0"/>
          <w:numId w:val="1123"/>
        </w:numPr>
      </w:pPr>
      <w:r>
        <w:t xml:space="preserve">Relational database with geospatial support</w:t>
      </w:r>
    </w:p>
    <w:p>
      <w:pPr>
        <w:pStyle w:val="Compact"/>
        <w:numPr>
          <w:ilvl w:val="0"/>
          <w:numId w:val="1123"/>
        </w:numPr>
      </w:pPr>
      <w:r>
        <w:t xml:space="preserve">Object storage for files</w:t>
      </w:r>
    </w:p>
    <w:p>
      <w:pPr>
        <w:pStyle w:val="Compact"/>
        <w:numPr>
          <w:ilvl w:val="0"/>
          <w:numId w:val="1123"/>
        </w:numPr>
      </w:pPr>
      <w:r>
        <w:t xml:space="preserve">Background worker for report generation and data processing</w:t>
      </w:r>
    </w:p>
    <w:p>
      <w:pPr>
        <w:pStyle w:val="Compact"/>
        <w:numPr>
          <w:ilvl w:val="0"/>
          <w:numId w:val="1123"/>
        </w:numPr>
      </w:pPr>
      <w:r>
        <w:t xml:space="preserve">LLM/RAG service</w:t>
      </w:r>
    </w:p>
    <w:p>
      <w:pPr>
        <w:pStyle w:val="Compact"/>
        <w:numPr>
          <w:ilvl w:val="0"/>
          <w:numId w:val="1123"/>
        </w:numPr>
      </w:pPr>
      <w:r>
        <w:t xml:space="preserve">GIS/map rendering layer</w:t>
      </w:r>
    </w:p>
    <w:p>
      <w:pPr>
        <w:pStyle w:val="Compact"/>
        <w:numPr>
          <w:ilvl w:val="0"/>
          <w:numId w:val="1123"/>
        </w:numPr>
      </w:pPr>
      <w:r>
        <w:t xml:space="preserve">PDF generation service</w:t>
      </w:r>
    </w:p>
    <w:p>
      <w:pPr>
        <w:pStyle w:val="Compact"/>
        <w:numPr>
          <w:ilvl w:val="0"/>
          <w:numId w:val="1123"/>
        </w:numPr>
      </w:pPr>
      <w:r>
        <w:t xml:space="preserve">Authentication and role-based access control</w:t>
      </w:r>
    </w:p>
    <w:p>
      <w:r>
        <w:pict>
          <v:rect style="width:0;height:1.5pt" o:hralign="center" o:hrstd="t" o:hr="t"/>
        </w:pict>
      </w:r>
    </w:p>
    <w:bookmarkEnd w:id="177"/>
    <w:bookmarkStart w:id="187" w:name="recommended-stack"/>
    <w:p>
      <w:pPr>
        <w:pStyle w:val="Heading2"/>
      </w:pPr>
      <w:r>
        <w:t xml:space="preserve">12.2 Recommended Stack</w:t>
      </w:r>
    </w:p>
    <w:bookmarkStart w:id="178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124"/>
        </w:numPr>
      </w:pPr>
      <w:r>
        <w:t xml:space="preserve">Next.js</w:t>
      </w:r>
    </w:p>
    <w:p>
      <w:pPr>
        <w:pStyle w:val="Compact"/>
        <w:numPr>
          <w:ilvl w:val="0"/>
          <w:numId w:val="1124"/>
        </w:numPr>
      </w:pPr>
      <w:r>
        <w:t xml:space="preserve">React</w:t>
      </w:r>
    </w:p>
    <w:p>
      <w:pPr>
        <w:pStyle w:val="Compact"/>
        <w:numPr>
          <w:ilvl w:val="0"/>
          <w:numId w:val="1124"/>
        </w:numPr>
      </w:pPr>
      <w:r>
        <w:t xml:space="preserve">TypeScript</w:t>
      </w:r>
    </w:p>
    <w:p>
      <w:pPr>
        <w:pStyle w:val="Compact"/>
        <w:numPr>
          <w:ilvl w:val="0"/>
          <w:numId w:val="1124"/>
        </w:numPr>
      </w:pPr>
      <w:r>
        <w:t xml:space="preserve">Tailwind CSS</w:t>
      </w:r>
    </w:p>
    <w:p>
      <w:pPr>
        <w:pStyle w:val="Compact"/>
        <w:numPr>
          <w:ilvl w:val="0"/>
          <w:numId w:val="1124"/>
        </w:numPr>
      </w:pPr>
      <w:r>
        <w:t xml:space="preserve">Mapbox, MapLibre, or deck.gl for maps</w:t>
      </w:r>
    </w:p>
    <w:bookmarkEnd w:id="178"/>
    <w:bookmarkStart w:id="179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125"/>
        </w:numPr>
      </w:pPr>
      <w:r>
        <w:t xml:space="preserve">Python</w:t>
      </w:r>
    </w:p>
    <w:p>
      <w:pPr>
        <w:pStyle w:val="Compact"/>
        <w:numPr>
          <w:ilvl w:val="0"/>
          <w:numId w:val="1125"/>
        </w:numPr>
      </w:pPr>
      <w:r>
        <w:t xml:space="preserve">FastAPI</w:t>
      </w:r>
    </w:p>
    <w:p>
      <w:pPr>
        <w:pStyle w:val="Compact"/>
        <w:numPr>
          <w:ilvl w:val="0"/>
          <w:numId w:val="1125"/>
        </w:numPr>
      </w:pPr>
      <w:r>
        <w:t xml:space="preserve">SQLAlchemy or equivalent ORM</w:t>
      </w:r>
    </w:p>
    <w:p>
      <w:pPr>
        <w:pStyle w:val="Compact"/>
        <w:numPr>
          <w:ilvl w:val="0"/>
          <w:numId w:val="1125"/>
        </w:numPr>
      </w:pPr>
      <w:r>
        <w:t xml:space="preserve">Pydantic for validation</w:t>
      </w:r>
    </w:p>
    <w:bookmarkEnd w:id="179"/>
    <w:bookmarkStart w:id="180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126"/>
        </w:numPr>
      </w:pPr>
      <w:r>
        <w:t xml:space="preserve">PostgreSQL</w:t>
      </w:r>
    </w:p>
    <w:p>
      <w:pPr>
        <w:pStyle w:val="Compact"/>
        <w:numPr>
          <w:ilvl w:val="0"/>
          <w:numId w:val="1126"/>
        </w:numPr>
      </w:pPr>
      <w:r>
        <w:t xml:space="preserve">PostGIS extension for geospatial queries</w:t>
      </w:r>
    </w:p>
    <w:bookmarkEnd w:id="180"/>
    <w:bookmarkStart w:id="181" w:name="file-storage"/>
    <w:p>
      <w:pPr>
        <w:pStyle w:val="Heading3"/>
      </w:pPr>
      <w:r>
        <w:t xml:space="preserve">File Storage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127"/>
        </w:numPr>
      </w:pPr>
      <w:r>
        <w:t xml:space="preserve">AWS S3, Google Cloud Storage, Azure Blob Storage, or Supabase Storage</w:t>
      </w:r>
    </w:p>
    <w:bookmarkEnd w:id="181"/>
    <w:bookmarkStart w:id="182" w:name="background-jobs"/>
    <w:p>
      <w:pPr>
        <w:pStyle w:val="Heading3"/>
      </w:pPr>
      <w:r>
        <w:t xml:space="preserve">Background Jobs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128"/>
        </w:numPr>
      </w:pPr>
      <w:r>
        <w:t xml:space="preserve">Celery + Redis</w:t>
      </w:r>
    </w:p>
    <w:p>
      <w:pPr>
        <w:pStyle w:val="Compact"/>
        <w:numPr>
          <w:ilvl w:val="0"/>
          <w:numId w:val="1128"/>
        </w:numPr>
      </w:pPr>
      <w:r>
        <w:t xml:space="preserve">RQ + Redis</w:t>
      </w:r>
    </w:p>
    <w:p>
      <w:pPr>
        <w:pStyle w:val="Compact"/>
        <w:numPr>
          <w:ilvl w:val="0"/>
          <w:numId w:val="1128"/>
        </w:numPr>
      </w:pPr>
      <w:r>
        <w:t xml:space="preserve">Cloud Tasks / serverless worker equivalent</w:t>
      </w:r>
    </w:p>
    <w:bookmarkEnd w:id="182"/>
    <w:bookmarkStart w:id="183" w:name="document-processing"/>
    <w:p>
      <w:pPr>
        <w:pStyle w:val="Heading3"/>
      </w:pPr>
      <w:r>
        <w:t xml:space="preserve">Document Processing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129"/>
        </w:numPr>
      </w:pPr>
      <w:r>
        <w:t xml:space="preserve">PDF text extraction</w:t>
      </w:r>
    </w:p>
    <w:p>
      <w:pPr>
        <w:pStyle w:val="Compact"/>
        <w:numPr>
          <w:ilvl w:val="0"/>
          <w:numId w:val="1129"/>
        </w:numPr>
      </w:pPr>
      <w:r>
        <w:t xml:space="preserve">DOCX extraction</w:t>
      </w:r>
    </w:p>
    <w:p>
      <w:pPr>
        <w:pStyle w:val="Compact"/>
        <w:numPr>
          <w:ilvl w:val="0"/>
          <w:numId w:val="1129"/>
        </w:numPr>
      </w:pPr>
      <w:r>
        <w:t xml:space="preserve">XLSX/CSV parsing</w:t>
      </w:r>
    </w:p>
    <w:p>
      <w:pPr>
        <w:pStyle w:val="Compact"/>
        <w:numPr>
          <w:ilvl w:val="0"/>
          <w:numId w:val="1129"/>
        </w:numPr>
      </w:pPr>
      <w:r>
        <w:t xml:space="preserve">Geospatial file parsing</w:t>
      </w:r>
    </w:p>
    <w:p>
      <w:pPr>
        <w:pStyle w:val="Compact"/>
        <w:numPr>
          <w:ilvl w:val="0"/>
          <w:numId w:val="1129"/>
        </w:numPr>
      </w:pPr>
      <w:r>
        <w:t xml:space="preserve">OCR only when necessary</w:t>
      </w:r>
    </w:p>
    <w:bookmarkEnd w:id="183"/>
    <w:bookmarkStart w:id="184" w:name="llm-layer"/>
    <w:p>
      <w:pPr>
        <w:pStyle w:val="Heading3"/>
      </w:pPr>
      <w:r>
        <w:t xml:space="preserve">LLM Layer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130"/>
        </w:numPr>
      </w:pPr>
      <w:r>
        <w:t xml:space="preserve">Retrieval-augmented generation over controlled document corpus</w:t>
      </w:r>
    </w:p>
    <w:p>
      <w:pPr>
        <w:pStyle w:val="Compact"/>
        <w:numPr>
          <w:ilvl w:val="0"/>
          <w:numId w:val="1130"/>
        </w:numPr>
      </w:pPr>
      <w:r>
        <w:t xml:space="preserve">Embeddings database or vector store</w:t>
      </w:r>
    </w:p>
    <w:p>
      <w:pPr>
        <w:pStyle w:val="Compact"/>
        <w:numPr>
          <w:ilvl w:val="0"/>
          <w:numId w:val="1130"/>
        </w:numPr>
      </w:pPr>
      <w:r>
        <w:t xml:space="preserve">Source-grounded answer generation</w:t>
      </w:r>
    </w:p>
    <w:p>
      <w:pPr>
        <w:pStyle w:val="Compact"/>
        <w:numPr>
          <w:ilvl w:val="0"/>
          <w:numId w:val="1130"/>
        </w:numPr>
      </w:pPr>
      <w:r>
        <w:t xml:space="preserve">Human approval workflow</w:t>
      </w:r>
    </w:p>
    <w:bookmarkEnd w:id="184"/>
    <w:bookmarkStart w:id="185" w:name="pdf-generation"/>
    <w:p>
      <w:pPr>
        <w:pStyle w:val="Heading3"/>
      </w:pPr>
      <w:r>
        <w:t xml:space="preserve">PDF Generation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131"/>
        </w:numPr>
      </w:pPr>
      <w:r>
        <w:t xml:space="preserve">HTML-to-PDF renderer</w:t>
      </w:r>
    </w:p>
    <w:p>
      <w:pPr>
        <w:pStyle w:val="Compact"/>
        <w:numPr>
          <w:ilvl w:val="0"/>
          <w:numId w:val="1131"/>
        </w:numPr>
      </w:pPr>
      <w:r>
        <w:t xml:space="preserve">Template-based report generation</w:t>
      </w:r>
    </w:p>
    <w:p>
      <w:pPr>
        <w:pStyle w:val="Compact"/>
        <w:numPr>
          <w:ilvl w:val="0"/>
          <w:numId w:val="1131"/>
        </w:numPr>
      </w:pPr>
      <w:r>
        <w:t xml:space="preserve">Versioned report sections</w:t>
      </w:r>
    </w:p>
    <w:bookmarkEnd w:id="185"/>
    <w:bookmarkStart w:id="186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132"/>
        </w:numPr>
      </w:pPr>
      <w:r>
        <w:t xml:space="preserve">Auth0</w:t>
      </w:r>
    </w:p>
    <w:p>
      <w:pPr>
        <w:pStyle w:val="Compact"/>
        <w:numPr>
          <w:ilvl w:val="0"/>
          <w:numId w:val="1132"/>
        </w:numPr>
      </w:pPr>
      <w:r>
        <w:t xml:space="preserve">Clerk</w:t>
      </w:r>
    </w:p>
    <w:p>
      <w:pPr>
        <w:pStyle w:val="Compact"/>
        <w:numPr>
          <w:ilvl w:val="0"/>
          <w:numId w:val="1132"/>
        </w:numPr>
      </w:pPr>
      <w:r>
        <w:t xml:space="preserve">Supabase Auth</w:t>
      </w:r>
    </w:p>
    <w:p>
      <w:pPr>
        <w:pStyle w:val="Compact"/>
        <w:numPr>
          <w:ilvl w:val="0"/>
          <w:numId w:val="1132"/>
        </w:numPr>
      </w:pPr>
      <w:r>
        <w:t xml:space="preserve">Cognito</w:t>
      </w:r>
    </w:p>
    <w:p>
      <w:pPr>
        <w:pStyle w:val="Compact"/>
        <w:numPr>
          <w:ilvl w:val="0"/>
          <w:numId w:val="1132"/>
        </w:numPr>
      </w:pPr>
      <w:r>
        <w:t xml:space="preserve">Equivalent enterprise-ready auth provider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5" w:name="system-components"/>
    <w:p>
      <w:pPr>
        <w:pStyle w:val="Heading2"/>
      </w:pPr>
      <w:r>
        <w:t xml:space="preserve">12.3 System Components</w:t>
      </w:r>
    </w:p>
    <w:bookmarkStart w:id="188" w:name="component-1-customer-intake-portal"/>
    <w:p>
      <w:pPr>
        <w:pStyle w:val="Heading3"/>
      </w:pPr>
      <w:r>
        <w:t xml:space="preserve">Component 1: Customer Intake Portal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customer or internal team to create site requests.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133"/>
        </w:numPr>
      </w:pPr>
      <w:r>
        <w:t xml:space="preserve">Create project</w:t>
      </w:r>
    </w:p>
    <w:p>
      <w:pPr>
        <w:pStyle w:val="Compact"/>
        <w:numPr>
          <w:ilvl w:val="0"/>
          <w:numId w:val="1133"/>
        </w:numPr>
      </w:pPr>
      <w:r>
        <w:t xml:space="preserve">Add site</w:t>
      </w:r>
    </w:p>
    <w:p>
      <w:pPr>
        <w:pStyle w:val="Compact"/>
        <w:numPr>
          <w:ilvl w:val="0"/>
          <w:numId w:val="1133"/>
        </w:numPr>
      </w:pPr>
      <w:r>
        <w:t xml:space="preserve">Upload files</w:t>
      </w:r>
    </w:p>
    <w:p>
      <w:pPr>
        <w:pStyle w:val="Compact"/>
        <w:numPr>
          <w:ilvl w:val="0"/>
          <w:numId w:val="1133"/>
        </w:numPr>
      </w:pPr>
      <w:r>
        <w:t xml:space="preserve">Submit assumptions</w:t>
      </w:r>
    </w:p>
    <w:p>
      <w:pPr>
        <w:pStyle w:val="Compact"/>
        <w:numPr>
          <w:ilvl w:val="0"/>
          <w:numId w:val="1133"/>
        </w:numPr>
      </w:pPr>
      <w:r>
        <w:t xml:space="preserve">Track status</w:t>
      </w:r>
    </w:p>
    <w:bookmarkEnd w:id="188"/>
    <w:bookmarkStart w:id="189" w:name="component-2-analyst-console"/>
    <w:p>
      <w:pPr>
        <w:pStyle w:val="Heading3"/>
      </w:pPr>
      <w:r>
        <w:t xml:space="preserve">Component 2: Analyst Console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GridReady analysts to perform diligence.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134"/>
        </w:numPr>
      </w:pPr>
      <w:r>
        <w:t xml:space="preserve">Project dashboard</w:t>
      </w:r>
    </w:p>
    <w:p>
      <w:pPr>
        <w:pStyle w:val="Compact"/>
        <w:numPr>
          <w:ilvl w:val="0"/>
          <w:numId w:val="1134"/>
        </w:numPr>
      </w:pPr>
      <w:r>
        <w:t xml:space="preserve">Site summary</w:t>
      </w:r>
    </w:p>
    <w:p>
      <w:pPr>
        <w:pStyle w:val="Compact"/>
        <w:numPr>
          <w:ilvl w:val="0"/>
          <w:numId w:val="1134"/>
        </w:numPr>
      </w:pPr>
      <w:r>
        <w:t xml:space="preserve">GIS view</w:t>
      </w:r>
    </w:p>
    <w:p>
      <w:pPr>
        <w:pStyle w:val="Compact"/>
        <w:numPr>
          <w:ilvl w:val="0"/>
          <w:numId w:val="1134"/>
        </w:numPr>
      </w:pPr>
      <w:r>
        <w:t xml:space="preserve">Checklist completion</w:t>
      </w:r>
    </w:p>
    <w:p>
      <w:pPr>
        <w:pStyle w:val="Compact"/>
        <w:numPr>
          <w:ilvl w:val="0"/>
          <w:numId w:val="1134"/>
        </w:numPr>
      </w:pPr>
      <w:r>
        <w:t xml:space="preserve">Evidence attachment</w:t>
      </w:r>
    </w:p>
    <w:p>
      <w:pPr>
        <w:pStyle w:val="Compact"/>
        <w:numPr>
          <w:ilvl w:val="0"/>
          <w:numId w:val="1134"/>
        </w:numPr>
      </w:pPr>
      <w:r>
        <w:t xml:space="preserve">Score editing</w:t>
      </w:r>
    </w:p>
    <w:p>
      <w:pPr>
        <w:pStyle w:val="Compact"/>
        <w:numPr>
          <w:ilvl w:val="0"/>
          <w:numId w:val="1134"/>
        </w:numPr>
      </w:pPr>
      <w:r>
        <w:t xml:space="preserve">Risk note entry</w:t>
      </w:r>
    </w:p>
    <w:p>
      <w:pPr>
        <w:pStyle w:val="Compact"/>
        <w:numPr>
          <w:ilvl w:val="0"/>
          <w:numId w:val="1134"/>
        </w:numPr>
      </w:pPr>
      <w:r>
        <w:t xml:space="preserve">Report generation</w:t>
      </w:r>
    </w:p>
    <w:p>
      <w:pPr>
        <w:pStyle w:val="Compact"/>
        <w:numPr>
          <w:ilvl w:val="0"/>
          <w:numId w:val="1134"/>
        </w:numPr>
      </w:pPr>
      <w:r>
        <w:t xml:space="preserve">Expert review assignment</w:t>
      </w:r>
    </w:p>
    <w:bookmarkEnd w:id="189"/>
    <w:bookmarkStart w:id="190" w:name="component-3-data-layer"/>
    <w:p>
      <w:pPr>
        <w:pStyle w:val="Heading3"/>
      </w:pPr>
      <w:r>
        <w:t xml:space="preserve">Component 3: Data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site, grid, market, evidence, risk, and score data.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135"/>
        </w:numPr>
      </w:pPr>
      <w:r>
        <w:t xml:space="preserve">Structured site database</w:t>
      </w:r>
    </w:p>
    <w:p>
      <w:pPr>
        <w:pStyle w:val="Compact"/>
        <w:numPr>
          <w:ilvl w:val="0"/>
          <w:numId w:val="1135"/>
        </w:numPr>
      </w:pPr>
      <w:r>
        <w:t xml:space="preserve">Grid asset tables</w:t>
      </w:r>
    </w:p>
    <w:p>
      <w:pPr>
        <w:pStyle w:val="Compact"/>
        <w:numPr>
          <w:ilvl w:val="0"/>
          <w:numId w:val="1135"/>
        </w:numPr>
      </w:pPr>
      <w:r>
        <w:t xml:space="preserve">Evidence library</w:t>
      </w:r>
    </w:p>
    <w:p>
      <w:pPr>
        <w:pStyle w:val="Compact"/>
        <w:numPr>
          <w:ilvl w:val="0"/>
          <w:numId w:val="1135"/>
        </w:numPr>
      </w:pPr>
      <w:r>
        <w:t xml:space="preserve">Versioned scoring</w:t>
      </w:r>
    </w:p>
    <w:p>
      <w:pPr>
        <w:pStyle w:val="Compact"/>
        <w:numPr>
          <w:ilvl w:val="0"/>
          <w:numId w:val="1135"/>
        </w:numPr>
      </w:pPr>
      <w:r>
        <w:t xml:space="preserve">Audit trail</w:t>
      </w:r>
    </w:p>
    <w:bookmarkEnd w:id="190"/>
    <w:bookmarkStart w:id="191" w:name="component-4-gis-layer"/>
    <w:p>
      <w:pPr>
        <w:pStyle w:val="Heading3"/>
      </w:pPr>
      <w:r>
        <w:t xml:space="preserve">Component 4: GIS Layer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Visualise and calculate spatial relationships.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136"/>
        </w:numPr>
      </w:pPr>
      <w:r>
        <w:t xml:space="preserve">Site maps</w:t>
      </w:r>
    </w:p>
    <w:p>
      <w:pPr>
        <w:pStyle w:val="Compact"/>
        <w:numPr>
          <w:ilvl w:val="0"/>
          <w:numId w:val="1136"/>
        </w:numPr>
      </w:pPr>
      <w:r>
        <w:t xml:space="preserve">Distance-to-asset calculations</w:t>
      </w:r>
    </w:p>
    <w:p>
      <w:pPr>
        <w:pStyle w:val="Compact"/>
        <w:numPr>
          <w:ilvl w:val="0"/>
          <w:numId w:val="1136"/>
        </w:numPr>
      </w:pPr>
      <w:r>
        <w:t xml:space="preserve">Layer toggles</w:t>
      </w:r>
    </w:p>
    <w:p>
      <w:pPr>
        <w:pStyle w:val="Compact"/>
        <w:numPr>
          <w:ilvl w:val="0"/>
          <w:numId w:val="1136"/>
        </w:numPr>
      </w:pPr>
      <w:r>
        <w:t xml:space="preserve">Exportable map images</w:t>
      </w:r>
    </w:p>
    <w:p>
      <w:pPr>
        <w:pStyle w:val="Compact"/>
        <w:numPr>
          <w:ilvl w:val="0"/>
          <w:numId w:val="1136"/>
        </w:numPr>
      </w:pPr>
      <w:r>
        <w:t xml:space="preserve">Analyst annotations</w:t>
      </w:r>
    </w:p>
    <w:bookmarkEnd w:id="191"/>
    <w:bookmarkStart w:id="192" w:name="component-5-scoring-engine"/>
    <w:p>
      <w:pPr>
        <w:pStyle w:val="Heading3"/>
      </w:pPr>
      <w:r>
        <w:t xml:space="preserve">Component 5: Scoring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Generate standardised, comparable scores.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137"/>
        </w:numPr>
      </w:pPr>
      <w:r>
        <w:t xml:space="preserve">Modular scoring</w:t>
      </w:r>
    </w:p>
    <w:p>
      <w:pPr>
        <w:pStyle w:val="Compact"/>
        <w:numPr>
          <w:ilvl w:val="0"/>
          <w:numId w:val="1137"/>
        </w:numPr>
      </w:pPr>
      <w:r>
        <w:t xml:space="preserve">Weighted overall score</w:t>
      </w:r>
    </w:p>
    <w:p>
      <w:pPr>
        <w:pStyle w:val="Compact"/>
        <w:numPr>
          <w:ilvl w:val="0"/>
          <w:numId w:val="1137"/>
        </w:numPr>
      </w:pPr>
      <w:r>
        <w:t xml:space="preserve">Confidence score</w:t>
      </w:r>
    </w:p>
    <w:p>
      <w:pPr>
        <w:pStyle w:val="Compact"/>
        <w:numPr>
          <w:ilvl w:val="0"/>
          <w:numId w:val="1137"/>
        </w:numPr>
      </w:pPr>
      <w:r>
        <w:t xml:space="preserve">Gating risks</w:t>
      </w:r>
    </w:p>
    <w:p>
      <w:pPr>
        <w:pStyle w:val="Compact"/>
        <w:numPr>
          <w:ilvl w:val="0"/>
          <w:numId w:val="1137"/>
        </w:numPr>
      </w:pPr>
      <w:r>
        <w:t xml:space="preserve">Manual override</w:t>
      </w:r>
    </w:p>
    <w:bookmarkEnd w:id="192"/>
    <w:bookmarkStart w:id="193" w:name="component-6-report-generator"/>
    <w:p>
      <w:pPr>
        <w:pStyle w:val="Heading3"/>
      </w:pPr>
      <w:r>
        <w:t xml:space="preserve">Component 6: Report Generator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polished customer deliverables.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138"/>
        </w:numPr>
      </w:pPr>
      <w:r>
        <w:t xml:space="preserve">PDF report</w:t>
      </w:r>
    </w:p>
    <w:p>
      <w:pPr>
        <w:pStyle w:val="Compact"/>
        <w:numPr>
          <w:ilvl w:val="0"/>
          <w:numId w:val="1138"/>
        </w:numPr>
      </w:pPr>
      <w:r>
        <w:t xml:space="preserve">Memo</w:t>
      </w:r>
    </w:p>
    <w:p>
      <w:pPr>
        <w:pStyle w:val="Compact"/>
        <w:numPr>
          <w:ilvl w:val="0"/>
          <w:numId w:val="1138"/>
        </w:numPr>
      </w:pPr>
      <w:r>
        <w:t xml:space="preserve">Map pack</w:t>
      </w:r>
    </w:p>
    <w:p>
      <w:pPr>
        <w:pStyle w:val="Compact"/>
        <w:numPr>
          <w:ilvl w:val="0"/>
          <w:numId w:val="1138"/>
        </w:numPr>
      </w:pPr>
      <w:r>
        <w:t xml:space="preserve">Evidence appendix</w:t>
      </w:r>
    </w:p>
    <w:p>
      <w:pPr>
        <w:pStyle w:val="Compact"/>
        <w:numPr>
          <w:ilvl w:val="0"/>
          <w:numId w:val="1138"/>
        </w:numPr>
      </w:pPr>
      <w:r>
        <w:t xml:space="preserve">Version tracking</w:t>
      </w:r>
    </w:p>
    <w:bookmarkEnd w:id="193"/>
    <w:bookmarkStart w:id="194" w:name="component-7-expert-review-workflow"/>
    <w:p>
      <w:pPr>
        <w:pStyle w:val="Heading3"/>
      </w:pPr>
      <w:r>
        <w:t xml:space="preserve">Component 7: Expert Review Workflow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Ensure technical credibility.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139"/>
        </w:numPr>
      </w:pPr>
      <w:r>
        <w:t xml:space="preserve">Assign reviewer</w:t>
      </w:r>
    </w:p>
    <w:p>
      <w:pPr>
        <w:pStyle w:val="Compact"/>
        <w:numPr>
          <w:ilvl w:val="0"/>
          <w:numId w:val="1139"/>
        </w:numPr>
      </w:pPr>
      <w:r>
        <w:t xml:space="preserve">Capture comments</w:t>
      </w:r>
    </w:p>
    <w:p>
      <w:pPr>
        <w:pStyle w:val="Compact"/>
        <w:numPr>
          <w:ilvl w:val="0"/>
          <w:numId w:val="1139"/>
        </w:numPr>
      </w:pPr>
      <w:r>
        <w:t xml:space="preserve">Require approval for high-risk sections</w:t>
      </w:r>
    </w:p>
    <w:p>
      <w:pPr>
        <w:pStyle w:val="Compact"/>
        <w:numPr>
          <w:ilvl w:val="0"/>
          <w:numId w:val="1139"/>
        </w:numPr>
      </w:pPr>
      <w:r>
        <w:t xml:space="preserve">Track changes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End w:id="196"/>
    <w:bookmarkStart w:id="206" w:name="mvp-screens"/>
    <w:p>
      <w:pPr>
        <w:pStyle w:val="Heading1"/>
      </w:pPr>
      <w:r>
        <w:t xml:space="preserve">13. MVP Screens</w:t>
      </w:r>
    </w:p>
    <w:bookmarkStart w:id="197" w:name="screen-login"/>
    <w:p>
      <w:pPr>
        <w:pStyle w:val="Heading2"/>
      </w:pPr>
      <w:r>
        <w:t xml:space="preserve">13.1 Screen: Login</w:t>
      </w:r>
    </w:p>
    <w:p>
      <w:pPr>
        <w:pStyle w:val="FirstParagraph"/>
      </w:pPr>
      <w:r>
        <w:t xml:space="preserve">Required elements:</w:t>
      </w:r>
    </w:p>
    <w:p>
      <w:pPr>
        <w:pStyle w:val="Compact"/>
        <w:numPr>
          <w:ilvl w:val="0"/>
          <w:numId w:val="1140"/>
        </w:numPr>
      </w:pPr>
      <w:r>
        <w:t xml:space="preserve">Email/password or SSO</w:t>
      </w:r>
    </w:p>
    <w:p>
      <w:pPr>
        <w:pStyle w:val="Compact"/>
        <w:numPr>
          <w:ilvl w:val="0"/>
          <w:numId w:val="1140"/>
        </w:numPr>
      </w:pPr>
      <w:r>
        <w:t xml:space="preserve">Organisation association</w:t>
      </w:r>
    </w:p>
    <w:p>
      <w:pPr>
        <w:pStyle w:val="Compact"/>
        <w:numPr>
          <w:ilvl w:val="0"/>
          <w:numId w:val="1140"/>
        </w:numPr>
      </w:pPr>
      <w:r>
        <w:t xml:space="preserve">Role-based redirection</w:t>
      </w:r>
    </w:p>
    <w:p>
      <w:r>
        <w:pict>
          <v:rect style="width:0;height:1.5pt" o:hralign="center" o:hrstd="t" o:hr="t"/>
        </w:pict>
      </w:r>
    </w:p>
    <w:bookmarkEnd w:id="197"/>
    <w:bookmarkStart w:id="198" w:name="screen-project-dashboard"/>
    <w:p>
      <w:pPr>
        <w:pStyle w:val="Heading2"/>
      </w:pPr>
      <w:r>
        <w:t xml:space="preserve">13.2 Screen: Project Dashboard</w:t>
      </w:r>
    </w:p>
    <w:p>
      <w:pPr>
        <w:pStyle w:val="FirstParagraph"/>
      </w:pPr>
      <w:r>
        <w:t xml:space="preserve">Required elements:</w:t>
      </w:r>
    </w:p>
    <w:p>
      <w:pPr>
        <w:pStyle w:val="Compact"/>
        <w:numPr>
          <w:ilvl w:val="0"/>
          <w:numId w:val="1141"/>
        </w:numPr>
      </w:pPr>
      <w:r>
        <w:t xml:space="preserve">Project name</w:t>
      </w:r>
    </w:p>
    <w:p>
      <w:pPr>
        <w:pStyle w:val="Compact"/>
        <w:numPr>
          <w:ilvl w:val="0"/>
          <w:numId w:val="1141"/>
        </w:numPr>
      </w:pPr>
      <w:r>
        <w:t xml:space="preserve">Customer organisation</w:t>
      </w:r>
    </w:p>
    <w:p>
      <w:pPr>
        <w:pStyle w:val="Compact"/>
        <w:numPr>
          <w:ilvl w:val="0"/>
          <w:numId w:val="1141"/>
        </w:numPr>
      </w:pPr>
      <w:r>
        <w:t xml:space="preserve">Status</w:t>
      </w:r>
    </w:p>
    <w:p>
      <w:pPr>
        <w:pStyle w:val="Compact"/>
        <w:numPr>
          <w:ilvl w:val="0"/>
          <w:numId w:val="1141"/>
        </w:numPr>
      </w:pPr>
      <w:r>
        <w:t xml:space="preserve">Deadline</w:t>
      </w:r>
    </w:p>
    <w:p>
      <w:pPr>
        <w:pStyle w:val="Compact"/>
        <w:numPr>
          <w:ilvl w:val="0"/>
          <w:numId w:val="1141"/>
        </w:numPr>
      </w:pPr>
      <w:r>
        <w:t xml:space="preserve">Sites</w:t>
      </w:r>
    </w:p>
    <w:p>
      <w:pPr>
        <w:pStyle w:val="Compact"/>
        <w:numPr>
          <w:ilvl w:val="0"/>
          <w:numId w:val="1141"/>
        </w:numPr>
      </w:pPr>
      <w:r>
        <w:t xml:space="preserve">Lead analyst</w:t>
      </w:r>
    </w:p>
    <w:p>
      <w:pPr>
        <w:pStyle w:val="Compact"/>
        <w:numPr>
          <w:ilvl w:val="0"/>
          <w:numId w:val="1141"/>
        </w:numPr>
      </w:pPr>
      <w:r>
        <w:t xml:space="preserve">Expert reviewer</w:t>
      </w:r>
    </w:p>
    <w:p>
      <w:pPr>
        <w:pStyle w:val="Compact"/>
        <w:numPr>
          <w:ilvl w:val="0"/>
          <w:numId w:val="1141"/>
        </w:numPr>
      </w:pPr>
      <w:r>
        <w:t xml:space="preserve">Report status</w:t>
      </w:r>
    </w:p>
    <w:p>
      <w:pPr>
        <w:pStyle w:val="Compact"/>
        <w:numPr>
          <w:ilvl w:val="0"/>
          <w:numId w:val="1141"/>
        </w:numPr>
      </w:pPr>
      <w:r>
        <w:t xml:space="preserve">Last updated</w:t>
      </w:r>
    </w:p>
    <w:p>
      <w:r>
        <w:pict>
          <v:rect style="width:0;height:1.5pt" o:hralign="center" o:hrstd="t" o:hr="t"/>
        </w:pict>
      </w:r>
    </w:p>
    <w:bookmarkEnd w:id="198"/>
    <w:bookmarkStart w:id="199" w:name="screen-site-intake"/>
    <w:p>
      <w:pPr>
        <w:pStyle w:val="Heading2"/>
      </w:pPr>
      <w:r>
        <w:t xml:space="preserve">13.3 Screen: Site Intake</w:t>
      </w:r>
    </w:p>
    <w:p>
      <w:pPr>
        <w:pStyle w:val="FirstParagraph"/>
      </w:pPr>
      <w:r>
        <w:t xml:space="preserve">Required sections:</w:t>
      </w:r>
    </w:p>
    <w:p>
      <w:pPr>
        <w:pStyle w:val="Compact"/>
        <w:numPr>
          <w:ilvl w:val="0"/>
          <w:numId w:val="1142"/>
        </w:numPr>
      </w:pPr>
      <w:r>
        <w:t xml:space="preserve">Site identity</w:t>
      </w:r>
    </w:p>
    <w:p>
      <w:pPr>
        <w:pStyle w:val="Compact"/>
        <w:numPr>
          <w:ilvl w:val="0"/>
          <w:numId w:val="1142"/>
        </w:numPr>
      </w:pPr>
      <w:r>
        <w:t xml:space="preserve">Location</w:t>
      </w:r>
    </w:p>
    <w:p>
      <w:pPr>
        <w:pStyle w:val="Compact"/>
        <w:numPr>
          <w:ilvl w:val="0"/>
          <w:numId w:val="1142"/>
        </w:numPr>
      </w:pPr>
      <w:r>
        <w:t xml:space="preserve">Load assumptions</w:t>
      </w:r>
    </w:p>
    <w:p>
      <w:pPr>
        <w:pStyle w:val="Compact"/>
        <w:numPr>
          <w:ilvl w:val="0"/>
          <w:numId w:val="1142"/>
        </w:numPr>
      </w:pPr>
      <w:r>
        <w:t xml:space="preserve">Project timeline</w:t>
      </w:r>
    </w:p>
    <w:p>
      <w:pPr>
        <w:pStyle w:val="Compact"/>
        <w:numPr>
          <w:ilvl w:val="0"/>
          <w:numId w:val="1142"/>
        </w:numPr>
      </w:pPr>
      <w:r>
        <w:t xml:space="preserve">Land control</w:t>
      </w:r>
    </w:p>
    <w:p>
      <w:pPr>
        <w:pStyle w:val="Compact"/>
        <w:numPr>
          <w:ilvl w:val="0"/>
          <w:numId w:val="1142"/>
        </w:numPr>
      </w:pPr>
      <w:r>
        <w:t xml:space="preserve">Power strategy</w:t>
      </w:r>
    </w:p>
    <w:p>
      <w:pPr>
        <w:pStyle w:val="Compact"/>
        <w:numPr>
          <w:ilvl w:val="0"/>
          <w:numId w:val="1142"/>
        </w:numPr>
      </w:pPr>
      <w:r>
        <w:t xml:space="preserve">Flexibility assumptions</w:t>
      </w:r>
    </w:p>
    <w:p>
      <w:pPr>
        <w:pStyle w:val="Compact"/>
        <w:numPr>
          <w:ilvl w:val="0"/>
          <w:numId w:val="1142"/>
        </w:numPr>
      </w:pPr>
      <w:r>
        <w:t xml:space="preserve">Backup generation/storage</w:t>
      </w:r>
    </w:p>
    <w:p>
      <w:pPr>
        <w:pStyle w:val="Compact"/>
        <w:numPr>
          <w:ilvl w:val="0"/>
          <w:numId w:val="1142"/>
        </w:numPr>
      </w:pPr>
      <w:r>
        <w:t xml:space="preserve">Known utility/TSP information</w:t>
      </w:r>
    </w:p>
    <w:p>
      <w:pPr>
        <w:pStyle w:val="Compact"/>
        <w:numPr>
          <w:ilvl w:val="0"/>
          <w:numId w:val="1142"/>
        </w:numPr>
      </w:pPr>
      <w:r>
        <w:t xml:space="preserve">Uploaded documents</w:t>
      </w:r>
    </w:p>
    <w:p>
      <w:r>
        <w:pict>
          <v:rect style="width:0;height:1.5pt" o:hralign="center" o:hrstd="t" o:hr="t"/>
        </w:pict>
      </w:r>
    </w:p>
    <w:bookmarkEnd w:id="199"/>
    <w:bookmarkStart w:id="200" w:name="screen-site-map"/>
    <w:p>
      <w:pPr>
        <w:pStyle w:val="Heading2"/>
      </w:pPr>
      <w:r>
        <w:t xml:space="preserve">13.4 Screen: Site Map</w:t>
      </w:r>
    </w:p>
    <w:p>
      <w:pPr>
        <w:pStyle w:val="FirstParagraph"/>
      </w:pPr>
      <w:r>
        <w:t xml:space="preserve">Required elements:</w:t>
      </w:r>
    </w:p>
    <w:p>
      <w:pPr>
        <w:pStyle w:val="Compact"/>
        <w:numPr>
          <w:ilvl w:val="0"/>
          <w:numId w:val="1143"/>
        </w:numPr>
      </w:pPr>
      <w:r>
        <w:t xml:space="preserve">Site marker/boundary</w:t>
      </w:r>
    </w:p>
    <w:p>
      <w:pPr>
        <w:pStyle w:val="Compact"/>
        <w:numPr>
          <w:ilvl w:val="0"/>
          <w:numId w:val="1143"/>
        </w:numPr>
      </w:pPr>
      <w:r>
        <w:t xml:space="preserve">Layer controls</w:t>
      </w:r>
    </w:p>
    <w:p>
      <w:pPr>
        <w:pStyle w:val="Compact"/>
        <w:numPr>
          <w:ilvl w:val="0"/>
          <w:numId w:val="1143"/>
        </w:numPr>
      </w:pPr>
      <w:r>
        <w:t xml:space="preserve">Grid asset overlays</w:t>
      </w:r>
    </w:p>
    <w:p>
      <w:pPr>
        <w:pStyle w:val="Compact"/>
        <w:numPr>
          <w:ilvl w:val="0"/>
          <w:numId w:val="1143"/>
        </w:numPr>
      </w:pPr>
      <w:r>
        <w:t xml:space="preserve">Distance table</w:t>
      </w:r>
    </w:p>
    <w:p>
      <w:pPr>
        <w:pStyle w:val="Compact"/>
        <w:numPr>
          <w:ilvl w:val="0"/>
          <w:numId w:val="1143"/>
        </w:numPr>
      </w:pPr>
      <w:r>
        <w:t xml:space="preserve">Candidate POI notes</w:t>
      </w:r>
    </w:p>
    <w:p>
      <w:pPr>
        <w:pStyle w:val="Compact"/>
        <w:numPr>
          <w:ilvl w:val="0"/>
          <w:numId w:val="1143"/>
        </w:numPr>
      </w:pPr>
      <w:r>
        <w:t xml:space="preserve">Map export button</w:t>
      </w:r>
    </w:p>
    <w:p>
      <w:r>
        <w:pict>
          <v:rect style="width:0;height:1.5pt" o:hralign="center" o:hrstd="t" o:hr="t"/>
        </w:pict>
      </w:r>
    </w:p>
    <w:bookmarkEnd w:id="200"/>
    <w:bookmarkStart w:id="201" w:name="screen-analysis-checklist"/>
    <w:p>
      <w:pPr>
        <w:pStyle w:val="Heading2"/>
      </w:pPr>
      <w:r>
        <w:t xml:space="preserve">13.5 Screen: Analysis Checklist</w:t>
      </w:r>
    </w:p>
    <w:p>
      <w:pPr>
        <w:pStyle w:val="FirstParagraph"/>
      </w:pPr>
      <w:r>
        <w:t xml:space="preserve">Required checklist modules:</w:t>
      </w:r>
    </w:p>
    <w:p>
      <w:pPr>
        <w:pStyle w:val="Compact"/>
        <w:numPr>
          <w:ilvl w:val="0"/>
          <w:numId w:val="1144"/>
        </w:numPr>
      </w:pPr>
      <w:r>
        <w:t xml:space="preserve">Intake completeness</w:t>
      </w:r>
    </w:p>
    <w:p>
      <w:pPr>
        <w:pStyle w:val="Compact"/>
        <w:numPr>
          <w:ilvl w:val="0"/>
          <w:numId w:val="1144"/>
        </w:numPr>
      </w:pPr>
      <w:r>
        <w:t xml:space="preserve">Power feasibility</w:t>
      </w:r>
    </w:p>
    <w:p>
      <w:pPr>
        <w:pStyle w:val="Compact"/>
        <w:numPr>
          <w:ilvl w:val="0"/>
          <w:numId w:val="1144"/>
        </w:numPr>
      </w:pPr>
      <w:r>
        <w:t xml:space="preserve">Interconnection readiness</w:t>
      </w:r>
    </w:p>
    <w:p>
      <w:pPr>
        <w:pStyle w:val="Compact"/>
        <w:numPr>
          <w:ilvl w:val="0"/>
          <w:numId w:val="1144"/>
        </w:numPr>
      </w:pPr>
      <w:r>
        <w:t xml:space="preserve">Reliability risk</w:t>
      </w:r>
    </w:p>
    <w:p>
      <w:pPr>
        <w:pStyle w:val="Compact"/>
        <w:numPr>
          <w:ilvl w:val="0"/>
          <w:numId w:val="1144"/>
        </w:numPr>
      </w:pPr>
      <w:r>
        <w:t xml:space="preserve">Energy economics</w:t>
      </w:r>
    </w:p>
    <w:p>
      <w:pPr>
        <w:pStyle w:val="Compact"/>
        <w:numPr>
          <w:ilvl w:val="0"/>
          <w:numId w:val="1144"/>
        </w:numPr>
      </w:pPr>
      <w:r>
        <w:t xml:space="preserve">Flexibility</w:t>
      </w:r>
    </w:p>
    <w:p>
      <w:pPr>
        <w:pStyle w:val="Compact"/>
        <w:numPr>
          <w:ilvl w:val="0"/>
          <w:numId w:val="1144"/>
        </w:numPr>
      </w:pPr>
      <w:r>
        <w:t xml:space="preserve">Site/non-power risks</w:t>
      </w:r>
    </w:p>
    <w:p>
      <w:pPr>
        <w:pStyle w:val="Compact"/>
        <w:numPr>
          <w:ilvl w:val="0"/>
          <w:numId w:val="1144"/>
        </w:numPr>
      </w:pPr>
      <w:r>
        <w:t xml:space="preserve">Evidence</w:t>
      </w:r>
    </w:p>
    <w:p>
      <w:pPr>
        <w:pStyle w:val="Compact"/>
        <w:numPr>
          <w:ilvl w:val="0"/>
          <w:numId w:val="1144"/>
        </w:numPr>
      </w:pPr>
      <w:r>
        <w:t xml:space="preserve">Expert review</w:t>
      </w:r>
    </w:p>
    <w:p>
      <w:r>
        <w:pict>
          <v:rect style="width:0;height:1.5pt" o:hralign="center" o:hrstd="t" o:hr="t"/>
        </w:pict>
      </w:r>
    </w:p>
    <w:bookmarkEnd w:id="201"/>
    <w:bookmarkStart w:id="202" w:name="screen-scoring"/>
    <w:p>
      <w:pPr>
        <w:pStyle w:val="Heading2"/>
      </w:pPr>
      <w:r>
        <w:t xml:space="preserve">13.6 Screen: Scoring</w:t>
      </w:r>
    </w:p>
    <w:p>
      <w:pPr>
        <w:pStyle w:val="FirstParagraph"/>
      </w:pPr>
      <w:r>
        <w:t xml:space="preserve">Required elements:</w:t>
      </w:r>
    </w:p>
    <w:p>
      <w:pPr>
        <w:pStyle w:val="Compact"/>
        <w:numPr>
          <w:ilvl w:val="0"/>
          <w:numId w:val="1145"/>
        </w:numPr>
      </w:pPr>
      <w:r>
        <w:t xml:space="preserve">Module scores</w:t>
      </w:r>
    </w:p>
    <w:p>
      <w:pPr>
        <w:pStyle w:val="Compact"/>
        <w:numPr>
          <w:ilvl w:val="0"/>
          <w:numId w:val="1145"/>
        </w:numPr>
      </w:pPr>
      <w:r>
        <w:t xml:space="preserve">Sub-factor scores</w:t>
      </w:r>
    </w:p>
    <w:p>
      <w:pPr>
        <w:pStyle w:val="Compact"/>
        <w:numPr>
          <w:ilvl w:val="0"/>
          <w:numId w:val="1145"/>
        </w:numPr>
      </w:pPr>
      <w:r>
        <w:t xml:space="preserve">Overall score</w:t>
      </w:r>
    </w:p>
    <w:p>
      <w:pPr>
        <w:pStyle w:val="Compact"/>
        <w:numPr>
          <w:ilvl w:val="0"/>
          <w:numId w:val="1145"/>
        </w:numPr>
      </w:pPr>
      <w:r>
        <w:t xml:space="preserve">Confidence level</w:t>
      </w:r>
    </w:p>
    <w:p>
      <w:pPr>
        <w:pStyle w:val="Compact"/>
        <w:numPr>
          <w:ilvl w:val="0"/>
          <w:numId w:val="1145"/>
        </w:numPr>
      </w:pPr>
      <w:r>
        <w:t xml:space="preserve">Verdict</w:t>
      </w:r>
    </w:p>
    <w:p>
      <w:pPr>
        <w:pStyle w:val="Compact"/>
        <w:numPr>
          <w:ilvl w:val="0"/>
          <w:numId w:val="1145"/>
        </w:numPr>
      </w:pPr>
      <w:r>
        <w:t xml:space="preserve">Override controls</w:t>
      </w:r>
    </w:p>
    <w:p>
      <w:pPr>
        <w:pStyle w:val="Compact"/>
        <w:numPr>
          <w:ilvl w:val="0"/>
          <w:numId w:val="1145"/>
        </w:numPr>
      </w:pPr>
      <w:r>
        <w:t xml:space="preserve">Override reason</w:t>
      </w:r>
    </w:p>
    <w:p>
      <w:pPr>
        <w:pStyle w:val="Compact"/>
        <w:numPr>
          <w:ilvl w:val="0"/>
          <w:numId w:val="1145"/>
        </w:numPr>
      </w:pPr>
      <w:r>
        <w:t xml:space="preserve">Score history</w:t>
      </w:r>
    </w:p>
    <w:p>
      <w:r>
        <w:pict>
          <v:rect style="width:0;height:1.5pt" o:hralign="center" o:hrstd="t" o:hr="t"/>
        </w:pict>
      </w:r>
    </w:p>
    <w:bookmarkEnd w:id="202"/>
    <w:bookmarkStart w:id="203" w:name="screen-evidence-library"/>
    <w:p>
      <w:pPr>
        <w:pStyle w:val="Heading2"/>
      </w:pPr>
      <w:r>
        <w:t xml:space="preserve">13.7 Screen: Evidence Library</w:t>
      </w:r>
    </w:p>
    <w:p>
      <w:pPr>
        <w:pStyle w:val="FirstParagraph"/>
      </w:pPr>
      <w:r>
        <w:t xml:space="preserve">Required elements:</w:t>
      </w:r>
    </w:p>
    <w:p>
      <w:pPr>
        <w:pStyle w:val="Compact"/>
        <w:numPr>
          <w:ilvl w:val="0"/>
          <w:numId w:val="1146"/>
        </w:numPr>
      </w:pPr>
      <w:r>
        <w:t xml:space="preserve">Source list</w:t>
      </w:r>
    </w:p>
    <w:p>
      <w:pPr>
        <w:pStyle w:val="Compact"/>
        <w:numPr>
          <w:ilvl w:val="0"/>
          <w:numId w:val="1146"/>
        </w:numPr>
      </w:pPr>
      <w:r>
        <w:t xml:space="preserve">Add source</w:t>
      </w:r>
    </w:p>
    <w:p>
      <w:pPr>
        <w:pStyle w:val="Compact"/>
        <w:numPr>
          <w:ilvl w:val="0"/>
          <w:numId w:val="1146"/>
        </w:numPr>
      </w:pPr>
      <w:r>
        <w:t xml:space="preserve">Upload source</w:t>
      </w:r>
    </w:p>
    <w:p>
      <w:pPr>
        <w:pStyle w:val="Compact"/>
        <w:numPr>
          <w:ilvl w:val="0"/>
          <w:numId w:val="1146"/>
        </w:numPr>
      </w:pPr>
      <w:r>
        <w:t xml:space="preserve">Link source to report section</w:t>
      </w:r>
    </w:p>
    <w:p>
      <w:pPr>
        <w:pStyle w:val="Compact"/>
        <w:numPr>
          <w:ilvl w:val="0"/>
          <w:numId w:val="1146"/>
        </w:numPr>
      </w:pPr>
      <w:r>
        <w:t xml:space="preserve">Confidence level</w:t>
      </w:r>
    </w:p>
    <w:p>
      <w:pPr>
        <w:pStyle w:val="Compact"/>
        <w:numPr>
          <w:ilvl w:val="0"/>
          <w:numId w:val="1146"/>
        </w:numPr>
      </w:pPr>
      <w:r>
        <w:t xml:space="preserve">Access date</w:t>
      </w:r>
    </w:p>
    <w:p>
      <w:pPr>
        <w:pStyle w:val="Compact"/>
        <w:numPr>
          <w:ilvl w:val="0"/>
          <w:numId w:val="1146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203"/>
    <w:bookmarkStart w:id="204" w:name="screen-report-builder"/>
    <w:p>
      <w:pPr>
        <w:pStyle w:val="Heading2"/>
      </w:pPr>
      <w:r>
        <w:t xml:space="preserve">13.8 Screen: Report Builder</w:t>
      </w:r>
    </w:p>
    <w:p>
      <w:pPr>
        <w:pStyle w:val="FirstParagraph"/>
      </w:pPr>
      <w:r>
        <w:t xml:space="preserve">Required elements:</w:t>
      </w:r>
    </w:p>
    <w:p>
      <w:pPr>
        <w:pStyle w:val="Compact"/>
        <w:numPr>
          <w:ilvl w:val="0"/>
          <w:numId w:val="1147"/>
        </w:numPr>
      </w:pPr>
      <w:r>
        <w:t xml:space="preserve">Report template selection</w:t>
      </w:r>
    </w:p>
    <w:p>
      <w:pPr>
        <w:pStyle w:val="Compact"/>
        <w:numPr>
          <w:ilvl w:val="0"/>
          <w:numId w:val="1147"/>
        </w:numPr>
      </w:pPr>
      <w:r>
        <w:t xml:space="preserve">Auto-generated draft sections</w:t>
      </w:r>
    </w:p>
    <w:p>
      <w:pPr>
        <w:pStyle w:val="Compact"/>
        <w:numPr>
          <w:ilvl w:val="0"/>
          <w:numId w:val="1147"/>
        </w:numPr>
      </w:pPr>
      <w:r>
        <w:t xml:space="preserve">Editable report text</w:t>
      </w:r>
    </w:p>
    <w:p>
      <w:pPr>
        <w:pStyle w:val="Compact"/>
        <w:numPr>
          <w:ilvl w:val="0"/>
          <w:numId w:val="1147"/>
        </w:numPr>
      </w:pPr>
      <w:r>
        <w:t xml:space="preserve">Map inserts</w:t>
      </w:r>
    </w:p>
    <w:p>
      <w:pPr>
        <w:pStyle w:val="Compact"/>
        <w:numPr>
          <w:ilvl w:val="0"/>
          <w:numId w:val="1147"/>
        </w:numPr>
      </w:pPr>
      <w:r>
        <w:t xml:space="preserve">Scorecard insert</w:t>
      </w:r>
    </w:p>
    <w:p>
      <w:pPr>
        <w:pStyle w:val="Compact"/>
        <w:numPr>
          <w:ilvl w:val="0"/>
          <w:numId w:val="1147"/>
        </w:numPr>
      </w:pPr>
      <w:r>
        <w:t xml:space="preserve">Evidence appendix</w:t>
      </w:r>
    </w:p>
    <w:p>
      <w:pPr>
        <w:pStyle w:val="Compact"/>
        <w:numPr>
          <w:ilvl w:val="0"/>
          <w:numId w:val="1147"/>
        </w:numPr>
      </w:pPr>
      <w:r>
        <w:t xml:space="preserve">Export PDF</w:t>
      </w:r>
    </w:p>
    <w:p>
      <w:pPr>
        <w:pStyle w:val="Compact"/>
        <w:numPr>
          <w:ilvl w:val="0"/>
          <w:numId w:val="1147"/>
        </w:numPr>
      </w:pPr>
      <w:r>
        <w:t xml:space="preserve">Submit for review</w:t>
      </w:r>
    </w:p>
    <w:p>
      <w:r>
        <w:pict>
          <v:rect style="width:0;height:1.5pt" o:hralign="center" o:hrstd="t" o:hr="t"/>
        </w:pict>
      </w:r>
    </w:p>
    <w:bookmarkEnd w:id="204"/>
    <w:bookmarkStart w:id="205" w:name="screen-expert-review"/>
    <w:p>
      <w:pPr>
        <w:pStyle w:val="Heading2"/>
      </w:pPr>
      <w:r>
        <w:t xml:space="preserve">13.9 Screen: Expert Review</w:t>
      </w:r>
    </w:p>
    <w:p>
      <w:pPr>
        <w:pStyle w:val="FirstParagraph"/>
      </w:pPr>
      <w:r>
        <w:t xml:space="preserve">Required elements:</w:t>
      </w:r>
    </w:p>
    <w:p>
      <w:pPr>
        <w:pStyle w:val="Compact"/>
        <w:numPr>
          <w:ilvl w:val="0"/>
          <w:numId w:val="1148"/>
        </w:numPr>
      </w:pPr>
      <w:r>
        <w:t xml:space="preserve">Assigned reviewer</w:t>
      </w:r>
    </w:p>
    <w:p>
      <w:pPr>
        <w:pStyle w:val="Compact"/>
        <w:numPr>
          <w:ilvl w:val="0"/>
          <w:numId w:val="1148"/>
        </w:numPr>
      </w:pPr>
      <w:r>
        <w:t xml:space="preserve">Review checklist</w:t>
      </w:r>
    </w:p>
    <w:p>
      <w:pPr>
        <w:pStyle w:val="Compact"/>
        <w:numPr>
          <w:ilvl w:val="0"/>
          <w:numId w:val="1148"/>
        </w:numPr>
      </w:pPr>
      <w:r>
        <w:t xml:space="preserve">Comments</w:t>
      </w:r>
    </w:p>
    <w:p>
      <w:pPr>
        <w:pStyle w:val="Compact"/>
        <w:numPr>
          <w:ilvl w:val="0"/>
          <w:numId w:val="1148"/>
        </w:numPr>
      </w:pPr>
      <w:r>
        <w:t xml:space="preserve">Required changes</w:t>
      </w:r>
    </w:p>
    <w:p>
      <w:pPr>
        <w:pStyle w:val="Compact"/>
        <w:numPr>
          <w:ilvl w:val="0"/>
          <w:numId w:val="1148"/>
        </w:numPr>
      </w:pPr>
      <w:r>
        <w:t xml:space="preserve">Approval status</w:t>
      </w:r>
    </w:p>
    <w:p>
      <w:pPr>
        <w:pStyle w:val="Compact"/>
        <w:numPr>
          <w:ilvl w:val="0"/>
          <w:numId w:val="1148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0" w:name="mvp-workflow-states"/>
    <w:p>
      <w:pPr>
        <w:pStyle w:val="Heading1"/>
      </w:pPr>
      <w:r>
        <w:t xml:space="preserve">14. MVP Workflow States</w:t>
      </w:r>
    </w:p>
    <w:bookmarkStart w:id="207" w:name="project-statuses"/>
    <w:p>
      <w:pPr>
        <w:pStyle w:val="Heading2"/>
      </w:pPr>
      <w:r>
        <w:t xml:space="preserve">14.1 Project Statuses</w:t>
      </w:r>
    </w:p>
    <w:p>
      <w:pPr>
        <w:pStyle w:val="Compact"/>
        <w:numPr>
          <w:ilvl w:val="0"/>
          <w:numId w:val="1149"/>
        </w:numPr>
      </w:pPr>
      <w:r>
        <w:t xml:space="preserve">Draft</w:t>
      </w:r>
    </w:p>
    <w:p>
      <w:pPr>
        <w:pStyle w:val="Compact"/>
        <w:numPr>
          <w:ilvl w:val="0"/>
          <w:numId w:val="1149"/>
        </w:numPr>
      </w:pPr>
      <w:r>
        <w:t xml:space="preserve">Intake incomplete</w:t>
      </w:r>
    </w:p>
    <w:p>
      <w:pPr>
        <w:pStyle w:val="Compact"/>
        <w:numPr>
          <w:ilvl w:val="0"/>
          <w:numId w:val="1149"/>
        </w:numPr>
      </w:pPr>
      <w:r>
        <w:t xml:space="preserve">Intake complete</w:t>
      </w:r>
    </w:p>
    <w:p>
      <w:pPr>
        <w:pStyle w:val="Compact"/>
        <w:numPr>
          <w:ilvl w:val="0"/>
          <w:numId w:val="1149"/>
        </w:numPr>
      </w:pPr>
      <w:r>
        <w:t xml:space="preserve">In analyst review</w:t>
      </w:r>
    </w:p>
    <w:p>
      <w:pPr>
        <w:pStyle w:val="Compact"/>
        <w:numPr>
          <w:ilvl w:val="0"/>
          <w:numId w:val="1149"/>
        </w:numPr>
      </w:pPr>
      <w:r>
        <w:t xml:space="preserve">In expert review</w:t>
      </w:r>
    </w:p>
    <w:p>
      <w:pPr>
        <w:pStyle w:val="Compact"/>
        <w:numPr>
          <w:ilvl w:val="0"/>
          <w:numId w:val="1149"/>
        </w:numPr>
      </w:pPr>
      <w:r>
        <w:t xml:space="preserve">Report drafting</w:t>
      </w:r>
    </w:p>
    <w:p>
      <w:pPr>
        <w:pStyle w:val="Compact"/>
        <w:numPr>
          <w:ilvl w:val="0"/>
          <w:numId w:val="1149"/>
        </w:numPr>
      </w:pPr>
      <w:r>
        <w:t xml:space="preserve">Final review</w:t>
      </w:r>
    </w:p>
    <w:p>
      <w:pPr>
        <w:pStyle w:val="Compact"/>
        <w:numPr>
          <w:ilvl w:val="0"/>
          <w:numId w:val="1149"/>
        </w:numPr>
      </w:pPr>
      <w:r>
        <w:t xml:space="preserve">Delivered</w:t>
      </w:r>
    </w:p>
    <w:p>
      <w:pPr>
        <w:pStyle w:val="Compact"/>
        <w:numPr>
          <w:ilvl w:val="0"/>
          <w:numId w:val="1149"/>
        </w:numPr>
      </w:pPr>
      <w:r>
        <w:t xml:space="preserve">Archived</w:t>
      </w:r>
    </w:p>
    <w:bookmarkEnd w:id="207"/>
    <w:bookmarkStart w:id="208" w:name="report-statuses"/>
    <w:p>
      <w:pPr>
        <w:pStyle w:val="Heading2"/>
      </w:pPr>
      <w:r>
        <w:t xml:space="preserve">14.2 Report Statuses</w:t>
      </w:r>
    </w:p>
    <w:p>
      <w:pPr>
        <w:pStyle w:val="Compact"/>
        <w:numPr>
          <w:ilvl w:val="0"/>
          <w:numId w:val="1150"/>
        </w:numPr>
      </w:pPr>
      <w:r>
        <w:t xml:space="preserve">Not started</w:t>
      </w:r>
    </w:p>
    <w:p>
      <w:pPr>
        <w:pStyle w:val="Compact"/>
        <w:numPr>
          <w:ilvl w:val="0"/>
          <w:numId w:val="1150"/>
        </w:numPr>
      </w:pPr>
      <w:r>
        <w:t xml:space="preserve">Draft generated</w:t>
      </w:r>
    </w:p>
    <w:p>
      <w:pPr>
        <w:pStyle w:val="Compact"/>
        <w:numPr>
          <w:ilvl w:val="0"/>
          <w:numId w:val="1150"/>
        </w:numPr>
      </w:pPr>
      <w:r>
        <w:t xml:space="preserve">Analyst edited</w:t>
      </w:r>
    </w:p>
    <w:p>
      <w:pPr>
        <w:pStyle w:val="Compact"/>
        <w:numPr>
          <w:ilvl w:val="0"/>
          <w:numId w:val="1150"/>
        </w:numPr>
      </w:pPr>
      <w:r>
        <w:t xml:space="preserve">Expert review required</w:t>
      </w:r>
    </w:p>
    <w:p>
      <w:pPr>
        <w:pStyle w:val="Compact"/>
        <w:numPr>
          <w:ilvl w:val="0"/>
          <w:numId w:val="1150"/>
        </w:numPr>
      </w:pPr>
      <w:r>
        <w:t xml:space="preserve">Expert approved</w:t>
      </w:r>
    </w:p>
    <w:p>
      <w:pPr>
        <w:pStyle w:val="Compact"/>
        <w:numPr>
          <w:ilvl w:val="0"/>
          <w:numId w:val="1150"/>
        </w:numPr>
      </w:pPr>
      <w:r>
        <w:t xml:space="preserve">Final approved</w:t>
      </w:r>
    </w:p>
    <w:p>
      <w:pPr>
        <w:pStyle w:val="Compact"/>
        <w:numPr>
          <w:ilvl w:val="0"/>
          <w:numId w:val="1150"/>
        </w:numPr>
      </w:pPr>
      <w:r>
        <w:t xml:space="preserve">Delivered</w:t>
      </w:r>
    </w:p>
    <w:bookmarkEnd w:id="208"/>
    <w:bookmarkStart w:id="209" w:name="site-statuses"/>
    <w:p>
      <w:pPr>
        <w:pStyle w:val="Heading2"/>
      </w:pPr>
      <w:r>
        <w:t xml:space="preserve">14.3 Site Statuses</w:t>
      </w:r>
    </w:p>
    <w:p>
      <w:pPr>
        <w:pStyle w:val="Compact"/>
        <w:numPr>
          <w:ilvl w:val="0"/>
          <w:numId w:val="1151"/>
        </w:numPr>
      </w:pPr>
      <w:r>
        <w:t xml:space="preserve">New</w:t>
      </w:r>
    </w:p>
    <w:p>
      <w:pPr>
        <w:pStyle w:val="Compact"/>
        <w:numPr>
          <w:ilvl w:val="0"/>
          <w:numId w:val="1151"/>
        </w:numPr>
      </w:pPr>
      <w:r>
        <w:t xml:space="preserve">Location validated</w:t>
      </w:r>
    </w:p>
    <w:p>
      <w:pPr>
        <w:pStyle w:val="Compact"/>
        <w:numPr>
          <w:ilvl w:val="0"/>
          <w:numId w:val="1151"/>
        </w:numPr>
      </w:pPr>
      <w:r>
        <w:t xml:space="preserve">GIS screen complete</w:t>
      </w:r>
    </w:p>
    <w:p>
      <w:pPr>
        <w:pStyle w:val="Compact"/>
        <w:numPr>
          <w:ilvl w:val="0"/>
          <w:numId w:val="1151"/>
        </w:numPr>
      </w:pPr>
      <w:r>
        <w:t xml:space="preserve">Interconnection checklist complete</w:t>
      </w:r>
    </w:p>
    <w:p>
      <w:pPr>
        <w:pStyle w:val="Compact"/>
        <w:numPr>
          <w:ilvl w:val="0"/>
          <w:numId w:val="1151"/>
        </w:numPr>
      </w:pPr>
      <w:r>
        <w:t xml:space="preserve">Reliability checklist complete</w:t>
      </w:r>
    </w:p>
    <w:p>
      <w:pPr>
        <w:pStyle w:val="Compact"/>
        <w:numPr>
          <w:ilvl w:val="0"/>
          <w:numId w:val="1151"/>
        </w:numPr>
      </w:pPr>
      <w:r>
        <w:t xml:space="preserve">Scored</w:t>
      </w:r>
    </w:p>
    <w:p>
      <w:pPr>
        <w:pStyle w:val="Compact"/>
        <w:numPr>
          <w:ilvl w:val="0"/>
          <w:numId w:val="1151"/>
        </w:numPr>
      </w:pPr>
      <w:r>
        <w:t xml:space="preserve">Reviewed</w:t>
      </w:r>
    </w:p>
    <w:p>
      <w:pPr>
        <w:pStyle w:val="Compact"/>
        <w:numPr>
          <w:ilvl w:val="0"/>
          <w:numId w:val="1151"/>
        </w:numPr>
      </w:pPr>
      <w:r>
        <w:t xml:space="preserve">Reported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5" w:name="data-sources"/>
    <w:p>
      <w:pPr>
        <w:pStyle w:val="Heading1"/>
      </w:pPr>
      <w:r>
        <w:t xml:space="preserve">15. Data Sources</w:t>
      </w:r>
    </w:p>
    <w:bookmarkStart w:id="211" w:name="required-mvp-data-categories"/>
    <w:p>
      <w:pPr>
        <w:pStyle w:val="Heading2"/>
      </w:pPr>
      <w:r>
        <w:t xml:space="preserve">15.1 Required MVP Data Categories</w:t>
      </w:r>
    </w:p>
    <w:p>
      <w:pPr>
        <w:pStyle w:val="FirstParagraph"/>
      </w:pPr>
      <w:r>
        <w:t xml:space="preserve">The MVP needs data in these categories:</w:t>
      </w:r>
    </w:p>
    <w:p>
      <w:pPr>
        <w:pStyle w:val="Compact"/>
        <w:numPr>
          <w:ilvl w:val="0"/>
          <w:numId w:val="1152"/>
        </w:numPr>
      </w:pPr>
      <w:r>
        <w:t xml:space="preserve">Site/customer inputs</w:t>
      </w:r>
    </w:p>
    <w:p>
      <w:pPr>
        <w:pStyle w:val="Compact"/>
        <w:numPr>
          <w:ilvl w:val="0"/>
          <w:numId w:val="1152"/>
        </w:numPr>
      </w:pPr>
      <w:r>
        <w:t xml:space="preserve">Parcel/location data</w:t>
      </w:r>
    </w:p>
    <w:p>
      <w:pPr>
        <w:pStyle w:val="Compact"/>
        <w:numPr>
          <w:ilvl w:val="0"/>
          <w:numId w:val="1152"/>
        </w:numPr>
      </w:pPr>
      <w:r>
        <w:t xml:space="preserve">Transmission assets</w:t>
      </w:r>
    </w:p>
    <w:p>
      <w:pPr>
        <w:pStyle w:val="Compact"/>
        <w:numPr>
          <w:ilvl w:val="0"/>
          <w:numId w:val="1152"/>
        </w:numPr>
      </w:pPr>
      <w:r>
        <w:t xml:space="preserve">Substations</w:t>
      </w:r>
    </w:p>
    <w:p>
      <w:pPr>
        <w:pStyle w:val="Compact"/>
        <w:numPr>
          <w:ilvl w:val="0"/>
          <w:numId w:val="1152"/>
        </w:numPr>
      </w:pPr>
      <w:r>
        <w:t xml:space="preserve">Utility/service territories</w:t>
      </w:r>
    </w:p>
    <w:p>
      <w:pPr>
        <w:pStyle w:val="Compact"/>
        <w:numPr>
          <w:ilvl w:val="0"/>
          <w:numId w:val="1152"/>
        </w:numPr>
      </w:pPr>
      <w:r>
        <w:t xml:space="preserve">ISO/RTO rules and documents</w:t>
      </w:r>
    </w:p>
    <w:p>
      <w:pPr>
        <w:pStyle w:val="Compact"/>
        <w:numPr>
          <w:ilvl w:val="0"/>
          <w:numId w:val="1152"/>
        </w:numPr>
      </w:pPr>
      <w:r>
        <w:t xml:space="preserve">Large-load interconnection documents</w:t>
      </w:r>
    </w:p>
    <w:p>
      <w:pPr>
        <w:pStyle w:val="Compact"/>
        <w:numPr>
          <w:ilvl w:val="0"/>
          <w:numId w:val="1152"/>
        </w:numPr>
      </w:pPr>
      <w:r>
        <w:t xml:space="preserve">Pricing zone/market context</w:t>
      </w:r>
    </w:p>
    <w:p>
      <w:pPr>
        <w:pStyle w:val="Compact"/>
        <w:numPr>
          <w:ilvl w:val="0"/>
          <w:numId w:val="1152"/>
        </w:numPr>
      </w:pPr>
      <w:r>
        <w:t xml:space="preserve">Congestion indicators</w:t>
      </w:r>
    </w:p>
    <w:p>
      <w:pPr>
        <w:pStyle w:val="Compact"/>
        <w:numPr>
          <w:ilvl w:val="0"/>
          <w:numId w:val="1152"/>
        </w:numPr>
      </w:pPr>
      <w:r>
        <w:t xml:space="preserve">Generation assets</w:t>
      </w:r>
    </w:p>
    <w:p>
      <w:pPr>
        <w:pStyle w:val="Compact"/>
        <w:numPr>
          <w:ilvl w:val="0"/>
          <w:numId w:val="1152"/>
        </w:numPr>
      </w:pPr>
      <w:r>
        <w:t xml:space="preserve">Environmental/flood/permitting overlays</w:t>
      </w:r>
    </w:p>
    <w:p>
      <w:pPr>
        <w:pStyle w:val="Compact"/>
        <w:numPr>
          <w:ilvl w:val="0"/>
          <w:numId w:val="1152"/>
        </w:numPr>
      </w:pPr>
      <w:r>
        <w:t xml:space="preserve">Water/cooling indicators</w:t>
      </w:r>
    </w:p>
    <w:p>
      <w:pPr>
        <w:pStyle w:val="Compact"/>
        <w:numPr>
          <w:ilvl w:val="0"/>
          <w:numId w:val="1152"/>
        </w:numPr>
      </w:pPr>
      <w:r>
        <w:t xml:space="preserve">Road/fibre/industrial infrastructure indicators</w:t>
      </w:r>
    </w:p>
    <w:bookmarkEnd w:id="211"/>
    <w:bookmarkStart w:id="212" w:name="source-priority"/>
    <w:p>
      <w:pPr>
        <w:pStyle w:val="Heading2"/>
      </w:pPr>
      <w:r>
        <w:t xml:space="preserve">15.2 Source Priority</w:t>
      </w:r>
    </w:p>
    <w:p>
      <w:pPr>
        <w:pStyle w:val="FirstParagraph"/>
      </w:pPr>
      <w:r>
        <w:t xml:space="preserve">Source reliability should be ranked:</w:t>
      </w:r>
    </w:p>
    <w:p>
      <w:pPr>
        <w:pStyle w:val="Compact"/>
        <w:numPr>
          <w:ilvl w:val="0"/>
          <w:numId w:val="1153"/>
        </w:numPr>
      </w:pPr>
      <w:r>
        <w:t xml:space="preserve">Official ISO/RTO, utility, TSP, DSP, regulator, or government sources</w:t>
      </w:r>
    </w:p>
    <w:p>
      <w:pPr>
        <w:pStyle w:val="Compact"/>
        <w:numPr>
          <w:ilvl w:val="0"/>
          <w:numId w:val="1153"/>
        </w:numPr>
      </w:pPr>
      <w:r>
        <w:t xml:space="preserve">Customer-provided engineering documents</w:t>
      </w:r>
    </w:p>
    <w:p>
      <w:pPr>
        <w:pStyle w:val="Compact"/>
        <w:numPr>
          <w:ilvl w:val="0"/>
          <w:numId w:val="1153"/>
        </w:numPr>
      </w:pPr>
      <w:r>
        <w:t xml:space="preserve">Commercial energy datasets</w:t>
      </w:r>
    </w:p>
    <w:p>
      <w:pPr>
        <w:pStyle w:val="Compact"/>
        <w:numPr>
          <w:ilvl w:val="0"/>
          <w:numId w:val="1153"/>
        </w:numPr>
      </w:pPr>
      <w:r>
        <w:t xml:space="preserve">Public GIS datasets</w:t>
      </w:r>
    </w:p>
    <w:p>
      <w:pPr>
        <w:pStyle w:val="Compact"/>
        <w:numPr>
          <w:ilvl w:val="0"/>
          <w:numId w:val="1153"/>
        </w:numPr>
      </w:pPr>
      <w:r>
        <w:t xml:space="preserve">Analyst-derived calculations</w:t>
      </w:r>
    </w:p>
    <w:p>
      <w:pPr>
        <w:pStyle w:val="Compact"/>
        <w:numPr>
          <w:ilvl w:val="0"/>
          <w:numId w:val="1153"/>
        </w:numPr>
      </w:pPr>
      <w:r>
        <w:t xml:space="preserve">Unverified web sources</w:t>
      </w:r>
    </w:p>
    <w:bookmarkEnd w:id="212"/>
    <w:bookmarkStart w:id="213" w:name="data-freshness"/>
    <w:p>
      <w:pPr>
        <w:pStyle w:val="Heading2"/>
      </w:pPr>
      <w:r>
        <w:t xml:space="preserve">15.3 Data Freshness</w:t>
      </w:r>
    </w:p>
    <w:p>
      <w:pPr>
        <w:pStyle w:val="FirstParagraph"/>
      </w:pPr>
      <w:r>
        <w:t xml:space="preserve">Each dataset must have:</w:t>
      </w:r>
    </w:p>
    <w:p>
      <w:pPr>
        <w:pStyle w:val="Compact"/>
        <w:numPr>
          <w:ilvl w:val="0"/>
          <w:numId w:val="1154"/>
        </w:numPr>
      </w:pPr>
      <w:r>
        <w:t xml:space="preserve">Source</w:t>
      </w:r>
    </w:p>
    <w:p>
      <w:pPr>
        <w:pStyle w:val="Compact"/>
        <w:numPr>
          <w:ilvl w:val="0"/>
          <w:numId w:val="1154"/>
        </w:numPr>
      </w:pPr>
      <w:r>
        <w:t xml:space="preserve">Last updated date, where available</w:t>
      </w:r>
    </w:p>
    <w:p>
      <w:pPr>
        <w:pStyle w:val="Compact"/>
        <w:numPr>
          <w:ilvl w:val="0"/>
          <w:numId w:val="1154"/>
        </w:numPr>
      </w:pPr>
      <w:r>
        <w:t xml:space="preserve">Access date</w:t>
      </w:r>
    </w:p>
    <w:p>
      <w:pPr>
        <w:pStyle w:val="Compact"/>
        <w:numPr>
          <w:ilvl w:val="0"/>
          <w:numId w:val="1154"/>
        </w:numPr>
      </w:pPr>
      <w:r>
        <w:t xml:space="preserve">Confidence level</w:t>
      </w:r>
    </w:p>
    <w:p>
      <w:pPr>
        <w:pStyle w:val="Compact"/>
        <w:numPr>
          <w:ilvl w:val="0"/>
          <w:numId w:val="1154"/>
        </w:numPr>
      </w:pPr>
      <w:r>
        <w:t xml:space="preserve">Notes on limitations</w:t>
      </w:r>
    </w:p>
    <w:bookmarkEnd w:id="213"/>
    <w:bookmarkStart w:id="214" w:name="data-licensing"/>
    <w:p>
      <w:pPr>
        <w:pStyle w:val="Heading2"/>
      </w:pPr>
      <w:r>
        <w:t xml:space="preserve">15.4 Data Licensing</w:t>
      </w:r>
    </w:p>
    <w:p>
      <w:pPr>
        <w:pStyle w:val="FirstParagraph"/>
      </w:pPr>
      <w:r>
        <w:t xml:space="preserve">Before commercial use, every dataset must be checked for:</w:t>
      </w:r>
    </w:p>
    <w:p>
      <w:pPr>
        <w:pStyle w:val="Compact"/>
        <w:numPr>
          <w:ilvl w:val="0"/>
          <w:numId w:val="1155"/>
        </w:numPr>
      </w:pPr>
      <w:r>
        <w:t xml:space="preserve">Licence terms</w:t>
      </w:r>
    </w:p>
    <w:p>
      <w:pPr>
        <w:pStyle w:val="Compact"/>
        <w:numPr>
          <w:ilvl w:val="0"/>
          <w:numId w:val="1155"/>
        </w:numPr>
      </w:pPr>
      <w:r>
        <w:t xml:space="preserve">Commercial reuse rights</w:t>
      </w:r>
    </w:p>
    <w:p>
      <w:pPr>
        <w:pStyle w:val="Compact"/>
        <w:numPr>
          <w:ilvl w:val="0"/>
          <w:numId w:val="1155"/>
        </w:numPr>
      </w:pPr>
      <w:r>
        <w:t xml:space="preserve">Attribution requirements</w:t>
      </w:r>
    </w:p>
    <w:p>
      <w:pPr>
        <w:pStyle w:val="Compact"/>
        <w:numPr>
          <w:ilvl w:val="0"/>
          <w:numId w:val="1155"/>
        </w:numPr>
      </w:pPr>
      <w:r>
        <w:t xml:space="preserve">Redistribution restrictions</w:t>
      </w:r>
    </w:p>
    <w:p>
      <w:pPr>
        <w:pStyle w:val="Compact"/>
        <w:numPr>
          <w:ilvl w:val="0"/>
          <w:numId w:val="1155"/>
        </w:numPr>
      </w:pPr>
      <w:r>
        <w:t xml:space="preserve">API usage limits</w:t>
      </w:r>
    </w:p>
    <w:p>
      <w:pPr>
        <w:pStyle w:val="Compact"/>
        <w:numPr>
          <w:ilvl w:val="0"/>
          <w:numId w:val="1155"/>
        </w:numPr>
      </w:pPr>
      <w:r>
        <w:t xml:space="preserve">Confidentiality limits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9" w:name="security-and-confidentiality"/>
    <w:p>
      <w:pPr>
        <w:pStyle w:val="Heading1"/>
      </w:pPr>
      <w:r>
        <w:t xml:space="preserve">16. Security and Confidentiality</w:t>
      </w:r>
    </w:p>
    <w:bookmarkStart w:id="216" w:name="security-requirements"/>
    <w:p>
      <w:pPr>
        <w:pStyle w:val="Heading2"/>
      </w:pPr>
      <w:r>
        <w:t xml:space="preserve">16.1 Security Requirements</w:t>
      </w:r>
    </w:p>
    <w:p>
      <w:pPr>
        <w:pStyle w:val="FirstParagraph"/>
      </w:pPr>
      <w:r>
        <w:t xml:space="preserve">The MVP must include:</w:t>
      </w:r>
    </w:p>
    <w:p>
      <w:pPr>
        <w:pStyle w:val="Compact"/>
        <w:numPr>
          <w:ilvl w:val="0"/>
          <w:numId w:val="1156"/>
        </w:numPr>
      </w:pPr>
      <w:r>
        <w:t xml:space="preserve">User authentication</w:t>
      </w:r>
    </w:p>
    <w:p>
      <w:pPr>
        <w:pStyle w:val="Compact"/>
        <w:numPr>
          <w:ilvl w:val="0"/>
          <w:numId w:val="1156"/>
        </w:numPr>
      </w:pPr>
      <w:r>
        <w:t xml:space="preserve">Role-based permissions</w:t>
      </w:r>
    </w:p>
    <w:p>
      <w:pPr>
        <w:pStyle w:val="Compact"/>
        <w:numPr>
          <w:ilvl w:val="0"/>
          <w:numId w:val="1156"/>
        </w:numPr>
      </w:pPr>
      <w:r>
        <w:t xml:space="preserve">Organisation-level data isolation</w:t>
      </w:r>
    </w:p>
    <w:p>
      <w:pPr>
        <w:pStyle w:val="Compact"/>
        <w:numPr>
          <w:ilvl w:val="0"/>
          <w:numId w:val="1156"/>
        </w:numPr>
      </w:pPr>
      <w:r>
        <w:t xml:space="preserve">Encrypted file storage</w:t>
      </w:r>
    </w:p>
    <w:p>
      <w:pPr>
        <w:pStyle w:val="Compact"/>
        <w:numPr>
          <w:ilvl w:val="0"/>
          <w:numId w:val="1156"/>
        </w:numPr>
      </w:pPr>
      <w:r>
        <w:t xml:space="preserve">HTTPS</w:t>
      </w:r>
    </w:p>
    <w:p>
      <w:pPr>
        <w:pStyle w:val="Compact"/>
        <w:numPr>
          <w:ilvl w:val="0"/>
          <w:numId w:val="1156"/>
        </w:numPr>
      </w:pPr>
      <w:r>
        <w:t xml:space="preserve">Audit logs</w:t>
      </w:r>
    </w:p>
    <w:p>
      <w:pPr>
        <w:pStyle w:val="Compact"/>
        <w:numPr>
          <w:ilvl w:val="0"/>
          <w:numId w:val="1156"/>
        </w:numPr>
      </w:pPr>
      <w:r>
        <w:t xml:space="preserve">Secure password policy or SSO</w:t>
      </w:r>
    </w:p>
    <w:p>
      <w:pPr>
        <w:pStyle w:val="Compact"/>
        <w:numPr>
          <w:ilvl w:val="0"/>
          <w:numId w:val="1156"/>
        </w:numPr>
      </w:pPr>
      <w:r>
        <w:t xml:space="preserve">Restricted admin access</w:t>
      </w:r>
    </w:p>
    <w:bookmarkEnd w:id="216"/>
    <w:bookmarkStart w:id="217" w:name="confidentiality-requirements"/>
    <w:p>
      <w:pPr>
        <w:pStyle w:val="Heading2"/>
      </w:pPr>
      <w:r>
        <w:t xml:space="preserve">16.2 Confidentiality Requirements</w:t>
      </w:r>
    </w:p>
    <w:p>
      <w:pPr>
        <w:pStyle w:val="FirstParagraph"/>
      </w:pPr>
      <w:r>
        <w:t xml:space="preserve">Customer projects should be treated as confidential by default.</w:t>
      </w:r>
    </w:p>
    <w:p>
      <w:pPr>
        <w:pStyle w:val="BodyText"/>
      </w:pPr>
      <w:r>
        <w:t xml:space="preserve">Required protections:</w:t>
      </w:r>
    </w:p>
    <w:p>
      <w:pPr>
        <w:pStyle w:val="Compact"/>
        <w:numPr>
          <w:ilvl w:val="0"/>
          <w:numId w:val="1157"/>
        </w:numPr>
      </w:pPr>
      <w:r>
        <w:t xml:space="preserve">Organisation separation</w:t>
      </w:r>
    </w:p>
    <w:p>
      <w:pPr>
        <w:pStyle w:val="Compact"/>
        <w:numPr>
          <w:ilvl w:val="0"/>
          <w:numId w:val="1157"/>
        </w:numPr>
      </w:pPr>
      <w:r>
        <w:t xml:space="preserve">Private project access</w:t>
      </w:r>
    </w:p>
    <w:p>
      <w:pPr>
        <w:pStyle w:val="Compact"/>
        <w:numPr>
          <w:ilvl w:val="0"/>
          <w:numId w:val="1157"/>
        </w:numPr>
      </w:pPr>
      <w:r>
        <w:t xml:space="preserve">NDA status field</w:t>
      </w:r>
    </w:p>
    <w:p>
      <w:pPr>
        <w:pStyle w:val="Compact"/>
        <w:numPr>
          <w:ilvl w:val="0"/>
          <w:numId w:val="1157"/>
        </w:numPr>
      </w:pPr>
      <w:r>
        <w:t xml:space="preserve">No cross-customer data exposure</w:t>
      </w:r>
    </w:p>
    <w:p>
      <w:pPr>
        <w:pStyle w:val="Compact"/>
        <w:numPr>
          <w:ilvl w:val="0"/>
          <w:numId w:val="1157"/>
        </w:numPr>
      </w:pPr>
      <w:r>
        <w:t xml:space="preserve">Internal-only analyst notes</w:t>
      </w:r>
    </w:p>
    <w:p>
      <w:pPr>
        <w:pStyle w:val="Compact"/>
        <w:numPr>
          <w:ilvl w:val="0"/>
          <w:numId w:val="1157"/>
        </w:numPr>
      </w:pPr>
      <w:r>
        <w:t xml:space="preserve">Controlled report sharing</w:t>
      </w:r>
    </w:p>
    <w:bookmarkEnd w:id="217"/>
    <w:bookmarkStart w:id="218" w:name="future-security-requirements"/>
    <w:p>
      <w:pPr>
        <w:pStyle w:val="Heading2"/>
      </w:pPr>
      <w:r>
        <w:t xml:space="preserve">16.3 Future Security Requirements</w:t>
      </w:r>
    </w:p>
    <w:p>
      <w:pPr>
        <w:pStyle w:val="FirstParagraph"/>
      </w:pPr>
      <w:r>
        <w:t xml:space="preserve">Not mandatory for first MVP, but should be planned:</w:t>
      </w:r>
    </w:p>
    <w:p>
      <w:pPr>
        <w:pStyle w:val="Compact"/>
        <w:numPr>
          <w:ilvl w:val="0"/>
          <w:numId w:val="1158"/>
        </w:numPr>
      </w:pPr>
      <w:r>
        <w:t xml:space="preserve">SOC 2 readiness</w:t>
      </w:r>
    </w:p>
    <w:p>
      <w:pPr>
        <w:pStyle w:val="Compact"/>
        <w:numPr>
          <w:ilvl w:val="0"/>
          <w:numId w:val="1158"/>
        </w:numPr>
      </w:pPr>
      <w:r>
        <w:t xml:space="preserve">SSO/SAML</w:t>
      </w:r>
    </w:p>
    <w:p>
      <w:pPr>
        <w:pStyle w:val="Compact"/>
        <w:numPr>
          <w:ilvl w:val="0"/>
          <w:numId w:val="1158"/>
        </w:numPr>
      </w:pPr>
      <w:r>
        <w:t xml:space="preserve">Data retention policy</w:t>
      </w:r>
    </w:p>
    <w:p>
      <w:pPr>
        <w:pStyle w:val="Compact"/>
        <w:numPr>
          <w:ilvl w:val="0"/>
          <w:numId w:val="1158"/>
        </w:numPr>
      </w:pPr>
      <w:r>
        <w:t xml:space="preserve">Customer-managed access</w:t>
      </w:r>
    </w:p>
    <w:p>
      <w:pPr>
        <w:pStyle w:val="Compact"/>
        <w:numPr>
          <w:ilvl w:val="0"/>
          <w:numId w:val="1158"/>
        </w:numPr>
      </w:pPr>
      <w:r>
        <w:t xml:space="preserve">Watermarked exports</w:t>
      </w:r>
    </w:p>
    <w:p>
      <w:pPr>
        <w:pStyle w:val="Compact"/>
        <w:numPr>
          <w:ilvl w:val="0"/>
          <w:numId w:val="1158"/>
        </w:numPr>
      </w:pPr>
      <w:r>
        <w:t xml:space="preserve">Legal hold / deletion workflows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3" w:name="human-review-requirements"/>
    <w:p>
      <w:pPr>
        <w:pStyle w:val="Heading1"/>
      </w:pPr>
      <w:r>
        <w:t xml:space="preserve">17. Human Review Requirements</w:t>
      </w:r>
    </w:p>
    <w:bookmarkStart w:id="220" w:name="analyst-review"/>
    <w:p>
      <w:pPr>
        <w:pStyle w:val="Heading2"/>
      </w:pPr>
      <w:r>
        <w:t xml:space="preserve">17.1 Analyst Review</w:t>
      </w:r>
    </w:p>
    <w:p>
      <w:pPr>
        <w:pStyle w:val="FirstParagraph"/>
      </w:pPr>
      <w:r>
        <w:t xml:space="preserve">Every report must be reviewed by a GridReady analyst before delivery.</w:t>
      </w:r>
    </w:p>
    <w:bookmarkEnd w:id="220"/>
    <w:bookmarkStart w:id="221" w:name="expert-review"/>
    <w:p>
      <w:pPr>
        <w:pStyle w:val="Heading2"/>
      </w:pPr>
      <w:r>
        <w:t xml:space="preserve">17.2 Expert Review</w:t>
      </w:r>
    </w:p>
    <w:p>
      <w:pPr>
        <w:pStyle w:val="FirstParagraph"/>
      </w:pPr>
      <w:r>
        <w:t xml:space="preserve">Expert review is mandatory if:</w:t>
      </w:r>
    </w:p>
    <w:p>
      <w:pPr>
        <w:pStyle w:val="Compact"/>
        <w:numPr>
          <w:ilvl w:val="0"/>
          <w:numId w:val="1159"/>
        </w:numPr>
      </w:pPr>
      <w:r>
        <w:t xml:space="preserve">Site load is 75 MW or greater</w:t>
      </w:r>
    </w:p>
    <w:p>
      <w:pPr>
        <w:pStyle w:val="Compact"/>
        <w:numPr>
          <w:ilvl w:val="0"/>
          <w:numId w:val="1159"/>
        </w:numPr>
      </w:pPr>
      <w:r>
        <w:t xml:space="preserve">Reliability score is below 70</w:t>
      </w:r>
    </w:p>
    <w:p>
      <w:pPr>
        <w:pStyle w:val="Compact"/>
        <w:numPr>
          <w:ilvl w:val="0"/>
          <w:numId w:val="1159"/>
        </w:numPr>
      </w:pPr>
      <w:r>
        <w:t xml:space="preserve">Interconnection readiness score is below 70</w:t>
      </w:r>
    </w:p>
    <w:p>
      <w:pPr>
        <w:pStyle w:val="Compact"/>
        <w:numPr>
          <w:ilvl w:val="0"/>
          <w:numId w:val="1159"/>
        </w:numPr>
      </w:pPr>
      <w:r>
        <w:t xml:space="preserve">Ride-through assumptions are unknown</w:t>
      </w:r>
    </w:p>
    <w:p>
      <w:pPr>
        <w:pStyle w:val="Compact"/>
        <w:numPr>
          <w:ilvl w:val="0"/>
          <w:numId w:val="1159"/>
        </w:numPr>
      </w:pPr>
      <w:r>
        <w:t xml:space="preserve">Backup generation or storage is part of the strategy</w:t>
      </w:r>
    </w:p>
    <w:p>
      <w:pPr>
        <w:pStyle w:val="Compact"/>
        <w:numPr>
          <w:ilvl w:val="0"/>
          <w:numId w:val="1159"/>
        </w:numPr>
      </w:pPr>
      <w:r>
        <w:t xml:space="preserve">Customer intends to use report for investor underwriting</w:t>
      </w:r>
    </w:p>
    <w:p>
      <w:pPr>
        <w:pStyle w:val="Compact"/>
        <w:numPr>
          <w:ilvl w:val="0"/>
          <w:numId w:val="1159"/>
        </w:numPr>
      </w:pPr>
      <w:r>
        <w:t xml:space="preserve">Analyst marks any critical risk</w:t>
      </w:r>
    </w:p>
    <w:bookmarkEnd w:id="221"/>
    <w:bookmarkStart w:id="222" w:name="approval"/>
    <w:p>
      <w:pPr>
        <w:pStyle w:val="Heading2"/>
      </w:pPr>
      <w:r>
        <w:t xml:space="preserve">17.3 Approval</w:t>
      </w:r>
    </w:p>
    <w:p>
      <w:pPr>
        <w:pStyle w:val="FirstParagraph"/>
      </w:pPr>
      <w:r>
        <w:t xml:space="preserve">A report cannot be marked delivered until:</w:t>
      </w:r>
    </w:p>
    <w:p>
      <w:pPr>
        <w:pStyle w:val="Compact"/>
        <w:numPr>
          <w:ilvl w:val="0"/>
          <w:numId w:val="1160"/>
        </w:numPr>
      </w:pPr>
      <w:r>
        <w:t xml:space="preserve">All critical sections are complete</w:t>
      </w:r>
    </w:p>
    <w:p>
      <w:pPr>
        <w:pStyle w:val="Compact"/>
        <w:numPr>
          <w:ilvl w:val="0"/>
          <w:numId w:val="1160"/>
        </w:numPr>
      </w:pPr>
      <w:r>
        <w:t xml:space="preserve">All high-risk assumptions are flagged</w:t>
      </w:r>
    </w:p>
    <w:p>
      <w:pPr>
        <w:pStyle w:val="Compact"/>
        <w:numPr>
          <w:ilvl w:val="0"/>
          <w:numId w:val="1160"/>
        </w:numPr>
      </w:pPr>
      <w:r>
        <w:t xml:space="preserve">Required evidence is attached</w:t>
      </w:r>
    </w:p>
    <w:p>
      <w:pPr>
        <w:pStyle w:val="Compact"/>
        <w:numPr>
          <w:ilvl w:val="0"/>
          <w:numId w:val="1160"/>
        </w:numPr>
      </w:pPr>
      <w:r>
        <w:t xml:space="preserve">Expert review is complete, if triggered</w:t>
      </w:r>
    </w:p>
    <w:p>
      <w:pPr>
        <w:pStyle w:val="Compact"/>
        <w:numPr>
          <w:ilvl w:val="0"/>
          <w:numId w:val="1160"/>
        </w:numPr>
      </w:pPr>
      <w:r>
        <w:t xml:space="preserve">Limitations language is included</w:t>
      </w:r>
    </w:p>
    <w:p>
      <w:pPr>
        <w:pStyle w:val="Compact"/>
        <w:numPr>
          <w:ilvl w:val="0"/>
          <w:numId w:val="1160"/>
        </w:numPr>
      </w:pPr>
      <w:r>
        <w:t xml:space="preserve">Final verdict is selected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9" w:name="commercial-packaging"/>
    <w:p>
      <w:pPr>
        <w:pStyle w:val="Heading1"/>
      </w:pPr>
      <w:r>
        <w:t xml:space="preserve">18. Commercial Packaging</w:t>
      </w:r>
    </w:p>
    <w:bookmarkStart w:id="228" w:name="mvp-product-packages"/>
    <w:p>
      <w:pPr>
        <w:pStyle w:val="Heading2"/>
      </w:pPr>
      <w:r>
        <w:t xml:space="preserve">18.1 MVP Product Packages</w:t>
      </w:r>
    </w:p>
    <w:bookmarkStart w:id="224" w:name="package-1-single-site-feasibility-screen"/>
    <w:p>
      <w:pPr>
        <w:pStyle w:val="Heading3"/>
      </w:pPr>
      <w:r>
        <w:t xml:space="preserve">Package 1: Single-Site Feasibility Screen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Early site go/no-go decision.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61"/>
        </w:numPr>
      </w:pPr>
      <w:r>
        <w:t xml:space="preserve">PDF report</w:t>
      </w:r>
    </w:p>
    <w:p>
      <w:pPr>
        <w:pStyle w:val="Compact"/>
        <w:numPr>
          <w:ilvl w:val="0"/>
          <w:numId w:val="1161"/>
        </w:numPr>
      </w:pPr>
      <w:r>
        <w:t xml:space="preserve">Map pack</w:t>
      </w:r>
    </w:p>
    <w:p>
      <w:pPr>
        <w:pStyle w:val="Compact"/>
        <w:numPr>
          <w:ilvl w:val="0"/>
          <w:numId w:val="1161"/>
        </w:numPr>
      </w:pPr>
      <w:r>
        <w:t xml:space="preserve">Scorecard</w:t>
      </w:r>
    </w:p>
    <w:p>
      <w:pPr>
        <w:pStyle w:val="Compact"/>
        <w:numPr>
          <w:ilvl w:val="0"/>
          <w:numId w:val="1161"/>
        </w:numPr>
      </w:pPr>
      <w:r>
        <w:t xml:space="preserve">Readiness checklist</w:t>
      </w:r>
    </w:p>
    <w:p>
      <w:pPr>
        <w:pStyle w:val="Compact"/>
        <w:numPr>
          <w:ilvl w:val="0"/>
          <w:numId w:val="1161"/>
        </w:numPr>
      </w:pPr>
      <w:r>
        <w:t xml:space="preserve">30-minute review call</w:t>
      </w:r>
    </w:p>
    <w:p>
      <w:pPr>
        <w:pStyle w:val="FirstParagraph"/>
      </w:pPr>
      <w:r>
        <w:t xml:space="preserve">Target price:</w:t>
      </w:r>
    </w:p>
    <w:p>
      <w:pPr>
        <w:pStyle w:val="Compact"/>
        <w:numPr>
          <w:ilvl w:val="0"/>
          <w:numId w:val="1162"/>
        </w:numPr>
      </w:pPr>
      <w:r>
        <w:t xml:space="preserve">$5,000–$15,000</w:t>
      </w:r>
    </w:p>
    <w:p>
      <w:pPr>
        <w:pStyle w:val="FirstParagraph"/>
      </w:pPr>
      <w:r>
        <w:t xml:space="preserve">Turnaround:</w:t>
      </w:r>
    </w:p>
    <w:p>
      <w:pPr>
        <w:pStyle w:val="Compact"/>
        <w:numPr>
          <w:ilvl w:val="0"/>
          <w:numId w:val="1163"/>
        </w:numPr>
      </w:pPr>
      <w:r>
        <w:t xml:space="preserve">5–10 business days</w:t>
      </w:r>
    </w:p>
    <w:p>
      <w:r>
        <w:pict>
          <v:rect style="width:0;height:1.5pt" o:hralign="center" o:hrstd="t" o:hr="t"/>
        </w:pict>
      </w:r>
    </w:p>
    <w:bookmarkEnd w:id="224"/>
    <w:bookmarkStart w:id="225" w:name="package-2-multi-site-screening-pack"/>
    <w:p>
      <w:pPr>
        <w:pStyle w:val="Heading3"/>
      </w:pPr>
      <w:r>
        <w:t xml:space="preserve">Package 2: Multi-Site Screening Pack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Compare and rank multiple candidate sites.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64"/>
        </w:numPr>
      </w:pPr>
      <w:r>
        <w:t xml:space="preserve">Multi-site ranking report</w:t>
      </w:r>
    </w:p>
    <w:p>
      <w:pPr>
        <w:pStyle w:val="Compact"/>
        <w:numPr>
          <w:ilvl w:val="0"/>
          <w:numId w:val="1164"/>
        </w:numPr>
      </w:pPr>
      <w:r>
        <w:t xml:space="preserve">Individual site scorecards</w:t>
      </w:r>
    </w:p>
    <w:p>
      <w:pPr>
        <w:pStyle w:val="Compact"/>
        <w:numPr>
          <w:ilvl w:val="0"/>
          <w:numId w:val="1164"/>
        </w:numPr>
      </w:pPr>
      <w:r>
        <w:t xml:space="preserve">Map pack</w:t>
      </w:r>
    </w:p>
    <w:p>
      <w:pPr>
        <w:pStyle w:val="Compact"/>
        <w:numPr>
          <w:ilvl w:val="0"/>
          <w:numId w:val="1164"/>
        </w:numPr>
      </w:pPr>
      <w:r>
        <w:t xml:space="preserve">Top risks</w:t>
      </w:r>
    </w:p>
    <w:p>
      <w:pPr>
        <w:pStyle w:val="Compact"/>
        <w:numPr>
          <w:ilvl w:val="0"/>
          <w:numId w:val="1164"/>
        </w:numPr>
      </w:pPr>
      <w:r>
        <w:t xml:space="preserve">Recommended shortlist</w:t>
      </w:r>
    </w:p>
    <w:p>
      <w:pPr>
        <w:pStyle w:val="Compact"/>
        <w:numPr>
          <w:ilvl w:val="0"/>
          <w:numId w:val="1164"/>
        </w:numPr>
      </w:pPr>
      <w:r>
        <w:t xml:space="preserve">Review call</w:t>
      </w:r>
    </w:p>
    <w:p>
      <w:pPr>
        <w:pStyle w:val="FirstParagraph"/>
      </w:pPr>
      <w:r>
        <w:t xml:space="preserve">Target price:</w:t>
      </w:r>
    </w:p>
    <w:p>
      <w:pPr>
        <w:pStyle w:val="Compact"/>
        <w:numPr>
          <w:ilvl w:val="0"/>
          <w:numId w:val="1165"/>
        </w:numPr>
      </w:pPr>
      <w:r>
        <w:t xml:space="preserve">$25,000–$75,000</w:t>
      </w:r>
    </w:p>
    <w:p>
      <w:pPr>
        <w:pStyle w:val="FirstParagraph"/>
      </w:pPr>
      <w:r>
        <w:t xml:space="preserve">Turnaround:</w:t>
      </w:r>
    </w:p>
    <w:p>
      <w:pPr>
        <w:pStyle w:val="Compact"/>
        <w:numPr>
          <w:ilvl w:val="0"/>
          <w:numId w:val="1166"/>
        </w:numPr>
      </w:pPr>
      <w:r>
        <w:t xml:space="preserve">10–20 business days depending on number of sites</w:t>
      </w:r>
    </w:p>
    <w:p>
      <w:r>
        <w:pict>
          <v:rect style="width:0;height:1.5pt" o:hralign="center" o:hrstd="t" o:hr="t"/>
        </w:pict>
      </w:r>
    </w:p>
    <w:bookmarkEnd w:id="225"/>
    <w:bookmarkStart w:id="226" w:name="package-3-investor-underwriting-pack"/>
    <w:p>
      <w:pPr>
        <w:pStyle w:val="Heading3"/>
      </w:pPr>
      <w:r>
        <w:t xml:space="preserve">Package 3: Investor Underwriting Pack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Support investment committee or transaction diligence.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67"/>
        </w:numPr>
      </w:pPr>
      <w:r>
        <w:t xml:space="preserve">Deeper report</w:t>
      </w:r>
    </w:p>
    <w:p>
      <w:pPr>
        <w:pStyle w:val="Compact"/>
        <w:numPr>
          <w:ilvl w:val="0"/>
          <w:numId w:val="1167"/>
        </w:numPr>
      </w:pPr>
      <w:r>
        <w:t xml:space="preserve">Sponsor assumption review</w:t>
      </w:r>
    </w:p>
    <w:p>
      <w:pPr>
        <w:pStyle w:val="Compact"/>
        <w:numPr>
          <w:ilvl w:val="0"/>
          <w:numId w:val="1167"/>
        </w:numPr>
      </w:pPr>
      <w:r>
        <w:t xml:space="preserve">Interconnection-readiness review</w:t>
      </w:r>
    </w:p>
    <w:p>
      <w:pPr>
        <w:pStyle w:val="Compact"/>
        <w:numPr>
          <w:ilvl w:val="0"/>
          <w:numId w:val="1167"/>
        </w:numPr>
      </w:pPr>
      <w:r>
        <w:t xml:space="preserve">Reliability-risk review</w:t>
      </w:r>
    </w:p>
    <w:p>
      <w:pPr>
        <w:pStyle w:val="Compact"/>
        <w:numPr>
          <w:ilvl w:val="0"/>
          <w:numId w:val="1167"/>
        </w:numPr>
      </w:pPr>
      <w:r>
        <w:t xml:space="preserve">Investor memo</w:t>
      </w:r>
    </w:p>
    <w:p>
      <w:pPr>
        <w:pStyle w:val="Compact"/>
        <w:numPr>
          <w:ilvl w:val="0"/>
          <w:numId w:val="1167"/>
        </w:numPr>
      </w:pPr>
      <w:r>
        <w:t xml:space="preserve">Diligence question list</w:t>
      </w:r>
    </w:p>
    <w:p>
      <w:pPr>
        <w:pStyle w:val="Compact"/>
        <w:numPr>
          <w:ilvl w:val="0"/>
          <w:numId w:val="1167"/>
        </w:numPr>
      </w:pPr>
      <w:r>
        <w:t xml:space="preserve">Review call</w:t>
      </w:r>
    </w:p>
    <w:p>
      <w:pPr>
        <w:pStyle w:val="FirstParagraph"/>
      </w:pPr>
      <w:r>
        <w:t xml:space="preserve">Target price:</w:t>
      </w:r>
    </w:p>
    <w:p>
      <w:pPr>
        <w:pStyle w:val="Compact"/>
        <w:numPr>
          <w:ilvl w:val="0"/>
          <w:numId w:val="1168"/>
        </w:numPr>
      </w:pPr>
      <w:r>
        <w:t xml:space="preserve">$25,000–$100,000+</w:t>
      </w:r>
    </w:p>
    <w:p>
      <w:pPr>
        <w:pStyle w:val="FirstParagraph"/>
      </w:pPr>
      <w:r>
        <w:t xml:space="preserve">Turnaround:</w:t>
      </w:r>
    </w:p>
    <w:p>
      <w:pPr>
        <w:pStyle w:val="Compact"/>
        <w:numPr>
          <w:ilvl w:val="0"/>
          <w:numId w:val="1169"/>
        </w:numPr>
      </w:pPr>
      <w:r>
        <w:t xml:space="preserve">10–20 business days</w:t>
      </w:r>
    </w:p>
    <w:p>
      <w:r>
        <w:pict>
          <v:rect style="width:0;height:1.5pt" o:hralign="center" o:hrstd="t" o:hr="t"/>
        </w:pict>
      </w:r>
    </w:p>
    <w:bookmarkEnd w:id="226"/>
    <w:bookmarkStart w:id="227" w:name="package-4-strategic-retainer"/>
    <w:p>
      <w:pPr>
        <w:pStyle w:val="Heading3"/>
      </w:pPr>
      <w:r>
        <w:t xml:space="preserve">Package 4: Strategic Retainer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Ongoing site screening for developers, investors, or energy companies.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70"/>
        </w:numPr>
      </w:pPr>
      <w:r>
        <w:t xml:space="preserve">Monthly site screens</w:t>
      </w:r>
    </w:p>
    <w:p>
      <w:pPr>
        <w:pStyle w:val="Compact"/>
        <w:numPr>
          <w:ilvl w:val="0"/>
          <w:numId w:val="1170"/>
        </w:numPr>
      </w:pPr>
      <w:r>
        <w:t xml:space="preserve">Market updates</w:t>
      </w:r>
    </w:p>
    <w:p>
      <w:pPr>
        <w:pStyle w:val="Compact"/>
        <w:numPr>
          <w:ilvl w:val="0"/>
          <w:numId w:val="1170"/>
        </w:numPr>
      </w:pPr>
      <w:r>
        <w:t xml:space="preserve">Priority review</w:t>
      </w:r>
    </w:p>
    <w:p>
      <w:pPr>
        <w:pStyle w:val="Compact"/>
        <w:numPr>
          <w:ilvl w:val="0"/>
          <w:numId w:val="1170"/>
        </w:numPr>
      </w:pPr>
      <w:r>
        <w:t xml:space="preserve">Data exports</w:t>
      </w:r>
    </w:p>
    <w:p>
      <w:pPr>
        <w:pStyle w:val="Compact"/>
        <w:numPr>
          <w:ilvl w:val="0"/>
          <w:numId w:val="1170"/>
        </w:numPr>
      </w:pPr>
      <w:r>
        <w:t xml:space="preserve">Custom memos</w:t>
      </w:r>
    </w:p>
    <w:p>
      <w:pPr>
        <w:pStyle w:val="FirstParagraph"/>
      </w:pPr>
      <w:r>
        <w:t xml:space="preserve">Target price:</w:t>
      </w:r>
    </w:p>
    <w:p>
      <w:pPr>
        <w:pStyle w:val="Compact"/>
        <w:numPr>
          <w:ilvl w:val="0"/>
          <w:numId w:val="1171"/>
        </w:numPr>
      </w:pPr>
      <w:r>
        <w:t xml:space="preserve">$5,000–$25,000/month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End w:id="229"/>
    <w:bookmarkStart w:id="235" w:name="build-phases"/>
    <w:p>
      <w:pPr>
        <w:pStyle w:val="Heading1"/>
      </w:pPr>
      <w:r>
        <w:t xml:space="preserve">19. Build Phases</w:t>
      </w:r>
    </w:p>
    <w:bookmarkStart w:id="230" w:name="phase-0-manual-prototype"/>
    <w:p>
      <w:pPr>
        <w:pStyle w:val="Heading2"/>
      </w:pPr>
      <w:r>
        <w:t xml:space="preserve">19.1 Phase 0: Manual Prototype</w:t>
      </w:r>
    </w:p>
    <w:p>
      <w:pPr>
        <w:pStyle w:val="FirstParagraph"/>
      </w:pPr>
      <w:r>
        <w:t xml:space="preserve">Timeline:</w:t>
      </w:r>
    </w:p>
    <w:p>
      <w:pPr>
        <w:pStyle w:val="BodyText"/>
      </w:pPr>
      <w:r>
        <w:t xml:space="preserve">2–4 weeks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Create the first credible sample report manually.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72"/>
        </w:numPr>
      </w:pPr>
      <w:r>
        <w:t xml:space="preserve">Site intake form</w:t>
      </w:r>
    </w:p>
    <w:p>
      <w:pPr>
        <w:pStyle w:val="Compact"/>
        <w:numPr>
          <w:ilvl w:val="0"/>
          <w:numId w:val="1172"/>
        </w:numPr>
      </w:pPr>
      <w:r>
        <w:t xml:space="preserve">Report template</w:t>
      </w:r>
    </w:p>
    <w:p>
      <w:pPr>
        <w:pStyle w:val="Compact"/>
        <w:numPr>
          <w:ilvl w:val="0"/>
          <w:numId w:val="1172"/>
        </w:numPr>
      </w:pPr>
      <w:r>
        <w:t xml:space="preserve">Scoring rubric</w:t>
      </w:r>
    </w:p>
    <w:p>
      <w:pPr>
        <w:pStyle w:val="Compact"/>
        <w:numPr>
          <w:ilvl w:val="0"/>
          <w:numId w:val="1172"/>
        </w:numPr>
      </w:pPr>
      <w:r>
        <w:t xml:space="preserve">Data-source checklist</w:t>
      </w:r>
    </w:p>
    <w:p>
      <w:pPr>
        <w:pStyle w:val="Compact"/>
        <w:numPr>
          <w:ilvl w:val="0"/>
          <w:numId w:val="1172"/>
        </w:numPr>
      </w:pPr>
      <w:r>
        <w:t xml:space="preserve">Sample ERCOT site report</w:t>
      </w:r>
    </w:p>
    <w:p>
      <w:pPr>
        <w:pStyle w:val="Compact"/>
        <w:numPr>
          <w:ilvl w:val="0"/>
          <w:numId w:val="1172"/>
        </w:numPr>
      </w:pPr>
      <w:r>
        <w:t xml:space="preserve">Sales one-pager</w:t>
      </w:r>
    </w:p>
    <w:p>
      <w:pPr>
        <w:pStyle w:val="FirstParagraph"/>
      </w:pPr>
      <w:r>
        <w:t xml:space="preserve">Tools can be simple:</w:t>
      </w:r>
    </w:p>
    <w:p>
      <w:pPr>
        <w:pStyle w:val="Compact"/>
        <w:numPr>
          <w:ilvl w:val="0"/>
          <w:numId w:val="1173"/>
        </w:numPr>
      </w:pPr>
      <w:r>
        <w:t xml:space="preserve">Google Forms</w:t>
      </w:r>
    </w:p>
    <w:p>
      <w:pPr>
        <w:pStyle w:val="Compact"/>
        <w:numPr>
          <w:ilvl w:val="0"/>
          <w:numId w:val="1173"/>
        </w:numPr>
      </w:pPr>
      <w:r>
        <w:t xml:space="preserve">Google Sheets</w:t>
      </w:r>
    </w:p>
    <w:p>
      <w:pPr>
        <w:pStyle w:val="Compact"/>
        <w:numPr>
          <w:ilvl w:val="0"/>
          <w:numId w:val="1173"/>
        </w:numPr>
      </w:pPr>
      <w:r>
        <w:t xml:space="preserve">QGIS</w:t>
      </w:r>
    </w:p>
    <w:p>
      <w:pPr>
        <w:pStyle w:val="Compact"/>
        <w:numPr>
          <w:ilvl w:val="0"/>
          <w:numId w:val="1173"/>
        </w:numPr>
      </w:pPr>
      <w:r>
        <w:t xml:space="preserve">Google Docs</w:t>
      </w:r>
    </w:p>
    <w:p>
      <w:pPr>
        <w:pStyle w:val="Compact"/>
        <w:numPr>
          <w:ilvl w:val="0"/>
          <w:numId w:val="1173"/>
        </w:numPr>
      </w:pPr>
      <w:r>
        <w:t xml:space="preserve">Notion</w:t>
      </w:r>
    </w:p>
    <w:p>
      <w:pPr>
        <w:pStyle w:val="Compact"/>
        <w:numPr>
          <w:ilvl w:val="0"/>
          <w:numId w:val="1173"/>
        </w:numPr>
      </w:pPr>
      <w:r>
        <w:t xml:space="preserve">Manual PDF export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74"/>
        </w:numPr>
      </w:pPr>
      <w:r>
        <w:t xml:space="preserve">One complete sample report exists</w:t>
      </w:r>
    </w:p>
    <w:p>
      <w:pPr>
        <w:pStyle w:val="Compact"/>
        <w:numPr>
          <w:ilvl w:val="0"/>
          <w:numId w:val="1174"/>
        </w:numPr>
      </w:pPr>
      <w:r>
        <w:t xml:space="preserve">One-page offer exists</w:t>
      </w:r>
    </w:p>
    <w:p>
      <w:pPr>
        <w:pStyle w:val="Compact"/>
        <w:numPr>
          <w:ilvl w:val="0"/>
          <w:numId w:val="1174"/>
        </w:numPr>
      </w:pPr>
      <w:r>
        <w:t xml:space="preserve">Outreach can begin</w:t>
      </w:r>
    </w:p>
    <w:p>
      <w:r>
        <w:pict>
          <v:rect style="width:0;height:1.5pt" o:hralign="center" o:hrstd="t" o:hr="t"/>
        </w:pict>
      </w:r>
    </w:p>
    <w:bookmarkEnd w:id="230"/>
    <w:bookmarkStart w:id="231" w:name="phase-1-services-led-mvp"/>
    <w:p>
      <w:pPr>
        <w:pStyle w:val="Heading2"/>
      </w:pPr>
      <w:r>
        <w:t xml:space="preserve">19.2 Phase 1: Services-Led MVP</w:t>
      </w:r>
    </w:p>
    <w:p>
      <w:pPr>
        <w:pStyle w:val="FirstParagraph"/>
      </w:pPr>
      <w:r>
        <w:t xml:space="preserve">Timeline:</w:t>
      </w:r>
    </w:p>
    <w:p>
      <w:pPr>
        <w:pStyle w:val="BodyText"/>
      </w:pPr>
      <w:r>
        <w:t xml:space="preserve">4–8 weeks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Sell and deliver 3–5 paid pilot reports.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75"/>
        </w:numPr>
      </w:pPr>
      <w:r>
        <w:t xml:space="preserve">Repeatable report template</w:t>
      </w:r>
    </w:p>
    <w:p>
      <w:pPr>
        <w:pStyle w:val="Compact"/>
        <w:numPr>
          <w:ilvl w:val="0"/>
          <w:numId w:val="1175"/>
        </w:numPr>
      </w:pPr>
      <w:r>
        <w:t xml:space="preserve">Analyst spreadsheet</w:t>
      </w:r>
    </w:p>
    <w:p>
      <w:pPr>
        <w:pStyle w:val="Compact"/>
        <w:numPr>
          <w:ilvl w:val="0"/>
          <w:numId w:val="1175"/>
        </w:numPr>
      </w:pPr>
      <w:r>
        <w:t xml:space="preserve">Manual GIS workflow</w:t>
      </w:r>
    </w:p>
    <w:p>
      <w:pPr>
        <w:pStyle w:val="Compact"/>
        <w:numPr>
          <w:ilvl w:val="0"/>
          <w:numId w:val="1175"/>
        </w:numPr>
      </w:pPr>
      <w:r>
        <w:t xml:space="preserve">Standard scoring model</w:t>
      </w:r>
    </w:p>
    <w:p>
      <w:pPr>
        <w:pStyle w:val="Compact"/>
        <w:numPr>
          <w:ilvl w:val="0"/>
          <w:numId w:val="1175"/>
        </w:numPr>
      </w:pPr>
      <w:r>
        <w:t xml:space="preserve">Evidence appendix</w:t>
      </w:r>
    </w:p>
    <w:p>
      <w:pPr>
        <w:pStyle w:val="Compact"/>
        <w:numPr>
          <w:ilvl w:val="0"/>
          <w:numId w:val="1175"/>
        </w:numPr>
      </w:pPr>
      <w:r>
        <w:t xml:space="preserve">Expert review process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76"/>
        </w:numPr>
      </w:pPr>
      <w:r>
        <w:t xml:space="preserve">3 paid pilots sold or in negotiation</w:t>
      </w:r>
    </w:p>
    <w:p>
      <w:pPr>
        <w:pStyle w:val="Compact"/>
        <w:numPr>
          <w:ilvl w:val="0"/>
          <w:numId w:val="1176"/>
        </w:numPr>
      </w:pPr>
      <w:r>
        <w:t xml:space="preserve">Reports delivered within 10 business days</w:t>
      </w:r>
    </w:p>
    <w:p>
      <w:pPr>
        <w:pStyle w:val="Compact"/>
        <w:numPr>
          <w:ilvl w:val="0"/>
          <w:numId w:val="1176"/>
        </w:numPr>
      </w:pPr>
      <w:r>
        <w:t xml:space="preserve">Customer feedback collected</w:t>
      </w:r>
    </w:p>
    <w:p>
      <w:pPr>
        <w:pStyle w:val="Compact"/>
        <w:numPr>
          <w:ilvl w:val="0"/>
          <w:numId w:val="1176"/>
        </w:numPr>
      </w:pPr>
      <w:r>
        <w:t xml:space="preserve">Repeated workflow steps identified</w:t>
      </w:r>
    </w:p>
    <w:p>
      <w:r>
        <w:pict>
          <v:rect style="width:0;height:1.5pt" o:hralign="center" o:hrstd="t" o:hr="t"/>
        </w:pict>
      </w:r>
    </w:p>
    <w:bookmarkEnd w:id="231"/>
    <w:bookmarkStart w:id="232" w:name="phase-2-internal-analyst-platform"/>
    <w:p>
      <w:pPr>
        <w:pStyle w:val="Heading2"/>
      </w:pPr>
      <w:r>
        <w:t xml:space="preserve">19.3 Phase 2: Internal Analyst Platform</w:t>
      </w:r>
    </w:p>
    <w:p>
      <w:pPr>
        <w:pStyle w:val="FirstParagraph"/>
      </w:pPr>
      <w:r>
        <w:t xml:space="preserve">Timeline:</w:t>
      </w:r>
    </w:p>
    <w:p>
      <w:pPr>
        <w:pStyle w:val="BodyText"/>
      </w:pPr>
      <w:r>
        <w:t xml:space="preserve">8–16 weeks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Build software to make report production faster and more consistent.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77"/>
        </w:numPr>
      </w:pPr>
      <w:r>
        <w:t xml:space="preserve">Web app</w:t>
      </w:r>
    </w:p>
    <w:p>
      <w:pPr>
        <w:pStyle w:val="Compact"/>
        <w:numPr>
          <w:ilvl w:val="0"/>
          <w:numId w:val="1177"/>
        </w:numPr>
      </w:pPr>
      <w:r>
        <w:t xml:space="preserve">Site database</w:t>
      </w:r>
    </w:p>
    <w:p>
      <w:pPr>
        <w:pStyle w:val="Compact"/>
        <w:numPr>
          <w:ilvl w:val="0"/>
          <w:numId w:val="1177"/>
        </w:numPr>
      </w:pPr>
      <w:r>
        <w:t xml:space="preserve">Analyst console</w:t>
      </w:r>
    </w:p>
    <w:p>
      <w:pPr>
        <w:pStyle w:val="Compact"/>
        <w:numPr>
          <w:ilvl w:val="0"/>
          <w:numId w:val="1177"/>
        </w:numPr>
      </w:pPr>
      <w:r>
        <w:t xml:space="preserve">GIS map view</w:t>
      </w:r>
    </w:p>
    <w:p>
      <w:pPr>
        <w:pStyle w:val="Compact"/>
        <w:numPr>
          <w:ilvl w:val="0"/>
          <w:numId w:val="1177"/>
        </w:numPr>
      </w:pPr>
      <w:r>
        <w:t xml:space="preserve">Evidence library</w:t>
      </w:r>
    </w:p>
    <w:p>
      <w:pPr>
        <w:pStyle w:val="Compact"/>
        <w:numPr>
          <w:ilvl w:val="0"/>
          <w:numId w:val="1177"/>
        </w:numPr>
      </w:pPr>
      <w:r>
        <w:t xml:space="preserve">Checklist workflow</w:t>
      </w:r>
    </w:p>
    <w:p>
      <w:pPr>
        <w:pStyle w:val="Compact"/>
        <w:numPr>
          <w:ilvl w:val="0"/>
          <w:numId w:val="1177"/>
        </w:numPr>
      </w:pPr>
      <w:r>
        <w:t xml:space="preserve">Scoring engine</w:t>
      </w:r>
    </w:p>
    <w:p>
      <w:pPr>
        <w:pStyle w:val="Compact"/>
        <w:numPr>
          <w:ilvl w:val="0"/>
          <w:numId w:val="1177"/>
        </w:numPr>
      </w:pPr>
      <w:r>
        <w:t xml:space="preserve">PDF report generator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78"/>
        </w:numPr>
      </w:pPr>
      <w:r>
        <w:t xml:space="preserve">Analyst can produce a draft report from structured data</w:t>
      </w:r>
    </w:p>
    <w:p>
      <w:pPr>
        <w:pStyle w:val="Compact"/>
        <w:numPr>
          <w:ilvl w:val="0"/>
          <w:numId w:val="1178"/>
        </w:numPr>
      </w:pPr>
      <w:r>
        <w:t xml:space="preserve">Scorecard is generated automatically</w:t>
      </w:r>
    </w:p>
    <w:p>
      <w:pPr>
        <w:pStyle w:val="Compact"/>
        <w:numPr>
          <w:ilvl w:val="0"/>
          <w:numId w:val="1178"/>
        </w:numPr>
      </w:pPr>
      <w:r>
        <w:t xml:space="preserve">Evidence sources are tracked</w:t>
      </w:r>
    </w:p>
    <w:p>
      <w:pPr>
        <w:pStyle w:val="Compact"/>
        <w:numPr>
          <w:ilvl w:val="0"/>
          <w:numId w:val="1178"/>
        </w:numPr>
      </w:pPr>
      <w:r>
        <w:t xml:space="preserve">Report generation time reduced by at least 40%</w:t>
      </w:r>
    </w:p>
    <w:p>
      <w:r>
        <w:pict>
          <v:rect style="width:0;height:1.5pt" o:hralign="center" o:hrstd="t" o:hr="t"/>
        </w:pict>
      </w:r>
    </w:p>
    <w:bookmarkEnd w:id="232"/>
    <w:bookmarkStart w:id="233" w:name="phase-3-customer-portal"/>
    <w:p>
      <w:pPr>
        <w:pStyle w:val="Heading2"/>
      </w:pPr>
      <w:r>
        <w:t xml:space="preserve">19.4 Phase 3: Customer Portal</w:t>
      </w:r>
    </w:p>
    <w:p>
      <w:pPr>
        <w:pStyle w:val="FirstParagraph"/>
      </w:pPr>
      <w:r>
        <w:t xml:space="preserve">Timeline:</w:t>
      </w:r>
    </w:p>
    <w:p>
      <w:pPr>
        <w:pStyle w:val="BodyText"/>
      </w:pPr>
      <w:r>
        <w:t xml:space="preserve">16–24 weeks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Allow customers to submit sites, track status, and receive reports through a portal.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79"/>
        </w:numPr>
      </w:pPr>
      <w:r>
        <w:t xml:space="preserve">Customer login</w:t>
      </w:r>
    </w:p>
    <w:p>
      <w:pPr>
        <w:pStyle w:val="Compact"/>
        <w:numPr>
          <w:ilvl w:val="0"/>
          <w:numId w:val="1179"/>
        </w:numPr>
      </w:pPr>
      <w:r>
        <w:t xml:space="preserve">Site intake portal</w:t>
      </w:r>
    </w:p>
    <w:p>
      <w:pPr>
        <w:pStyle w:val="Compact"/>
        <w:numPr>
          <w:ilvl w:val="0"/>
          <w:numId w:val="1179"/>
        </w:numPr>
      </w:pPr>
      <w:r>
        <w:t xml:space="preserve">Project dashboard</w:t>
      </w:r>
    </w:p>
    <w:p>
      <w:pPr>
        <w:pStyle w:val="Compact"/>
        <w:numPr>
          <w:ilvl w:val="0"/>
          <w:numId w:val="1179"/>
        </w:numPr>
      </w:pPr>
      <w:r>
        <w:t xml:space="preserve">Report delivery</w:t>
      </w:r>
    </w:p>
    <w:p>
      <w:pPr>
        <w:pStyle w:val="Compact"/>
        <w:numPr>
          <w:ilvl w:val="0"/>
          <w:numId w:val="1179"/>
        </w:numPr>
      </w:pPr>
      <w:r>
        <w:t xml:space="preserve">File upload</w:t>
      </w:r>
    </w:p>
    <w:p>
      <w:pPr>
        <w:pStyle w:val="Compact"/>
        <w:numPr>
          <w:ilvl w:val="0"/>
          <w:numId w:val="1179"/>
        </w:numPr>
      </w:pPr>
      <w:r>
        <w:t xml:space="preserve">Comment/request workflow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80"/>
        </w:numPr>
      </w:pPr>
      <w:r>
        <w:t xml:space="preserve">Customers can submit sites without email/manual handoff</w:t>
      </w:r>
    </w:p>
    <w:p>
      <w:pPr>
        <w:pStyle w:val="Compact"/>
        <w:numPr>
          <w:ilvl w:val="0"/>
          <w:numId w:val="1180"/>
        </w:numPr>
      </w:pPr>
      <w:r>
        <w:t xml:space="preserve">Reports are delivered through platform</w:t>
      </w:r>
    </w:p>
    <w:p>
      <w:pPr>
        <w:pStyle w:val="Compact"/>
        <w:numPr>
          <w:ilvl w:val="0"/>
          <w:numId w:val="1180"/>
        </w:numPr>
      </w:pPr>
      <w:r>
        <w:t xml:space="preserve">Internal team manages project status in app</w:t>
      </w:r>
    </w:p>
    <w:p>
      <w:r>
        <w:pict>
          <v:rect style="width:0;height:1.5pt" o:hralign="center" o:hrstd="t" o:hr="t"/>
        </w:pict>
      </w:r>
    </w:p>
    <w:bookmarkEnd w:id="233"/>
    <w:bookmarkStart w:id="234" w:name="phase-4-early-saas-product"/>
    <w:p>
      <w:pPr>
        <w:pStyle w:val="Heading2"/>
      </w:pPr>
      <w:r>
        <w:t xml:space="preserve">19.5 Phase 4: Early SaaS Product</w:t>
      </w:r>
    </w:p>
    <w:p>
      <w:pPr>
        <w:pStyle w:val="FirstParagraph"/>
      </w:pPr>
      <w:r>
        <w:t xml:space="preserve">Timeline:</w:t>
      </w:r>
    </w:p>
    <w:p>
      <w:pPr>
        <w:pStyle w:val="BodyText"/>
      </w:pPr>
      <w:r>
        <w:t xml:space="preserve">6–12 months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Turn repeated workflow into subscription product.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81"/>
        </w:numPr>
      </w:pPr>
      <w:r>
        <w:t xml:space="preserve">Multi-site comparison</w:t>
      </w:r>
    </w:p>
    <w:p>
      <w:pPr>
        <w:pStyle w:val="Compact"/>
        <w:numPr>
          <w:ilvl w:val="0"/>
          <w:numId w:val="1181"/>
        </w:numPr>
      </w:pPr>
      <w:r>
        <w:t xml:space="preserve">Saved site portfolio</w:t>
      </w:r>
    </w:p>
    <w:p>
      <w:pPr>
        <w:pStyle w:val="Compact"/>
        <w:numPr>
          <w:ilvl w:val="0"/>
          <w:numId w:val="1181"/>
        </w:numPr>
      </w:pPr>
      <w:r>
        <w:t xml:space="preserve">Market modules</w:t>
      </w:r>
    </w:p>
    <w:p>
      <w:pPr>
        <w:pStyle w:val="Compact"/>
        <w:numPr>
          <w:ilvl w:val="0"/>
          <w:numId w:val="1181"/>
        </w:numPr>
      </w:pPr>
      <w:r>
        <w:t xml:space="preserve">Team collaboration</w:t>
      </w:r>
    </w:p>
    <w:p>
      <w:pPr>
        <w:pStyle w:val="Compact"/>
        <w:numPr>
          <w:ilvl w:val="0"/>
          <w:numId w:val="1181"/>
        </w:numPr>
      </w:pPr>
      <w:r>
        <w:t xml:space="preserve">Data exports</w:t>
      </w:r>
    </w:p>
    <w:p>
      <w:pPr>
        <w:pStyle w:val="Compact"/>
        <w:numPr>
          <w:ilvl w:val="0"/>
          <w:numId w:val="1181"/>
        </w:numPr>
      </w:pPr>
      <w:r>
        <w:t xml:space="preserve">Subscription billing</w:t>
      </w:r>
    </w:p>
    <w:p>
      <w:pPr>
        <w:pStyle w:val="Compact"/>
        <w:numPr>
          <w:ilvl w:val="0"/>
          <w:numId w:val="1181"/>
        </w:numPr>
      </w:pPr>
      <w:r>
        <w:t xml:space="preserve">API/data access prototype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182"/>
        </w:numPr>
      </w:pPr>
      <w:r>
        <w:t xml:space="preserve">Customers use the platform repeatedly</w:t>
      </w:r>
    </w:p>
    <w:p>
      <w:pPr>
        <w:pStyle w:val="Compact"/>
        <w:numPr>
          <w:ilvl w:val="0"/>
          <w:numId w:val="1182"/>
        </w:numPr>
      </w:pPr>
      <w:r>
        <w:t xml:space="preserve">Revenue includes retainers or subscriptions</w:t>
      </w:r>
    </w:p>
    <w:p>
      <w:pPr>
        <w:pStyle w:val="Compact"/>
        <w:numPr>
          <w:ilvl w:val="0"/>
          <w:numId w:val="1182"/>
        </w:numPr>
      </w:pPr>
      <w:r>
        <w:t xml:space="preserve">Reports are partially self-serve</w:t>
      </w:r>
    </w:p>
    <w:p>
      <w:pPr>
        <w:pStyle w:val="Compact"/>
        <w:numPr>
          <w:ilvl w:val="0"/>
          <w:numId w:val="1182"/>
        </w:numPr>
      </w:pPr>
      <w:r>
        <w:t xml:space="preserve">Proprietary site-readiness dataset is forming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9" w:name="mvp-acceptance-criteria"/>
    <w:p>
      <w:pPr>
        <w:pStyle w:val="Heading1"/>
      </w:pPr>
      <w:r>
        <w:t xml:space="preserve">20. MVP Acceptance Criteria</w:t>
      </w:r>
    </w:p>
    <w:p>
      <w:pPr>
        <w:pStyle w:val="FirstParagraph"/>
      </w:pPr>
      <w:r>
        <w:t xml:space="preserve">The MVP is successful when the following are true:</w:t>
      </w:r>
    </w:p>
    <w:bookmarkStart w:id="236" w:name="product-acceptance"/>
    <w:p>
      <w:pPr>
        <w:pStyle w:val="Heading2"/>
      </w:pPr>
      <w:r>
        <w:t xml:space="preserve">Product Acceptance</w:t>
      </w:r>
    </w:p>
    <w:p>
      <w:pPr>
        <w:pStyle w:val="Compact"/>
        <w:numPr>
          <w:ilvl w:val="0"/>
          <w:numId w:val="1183"/>
        </w:numPr>
      </w:pPr>
      <w:r>
        <w:t xml:space="preserve">A customer can submit a site.</w:t>
      </w:r>
    </w:p>
    <w:p>
      <w:pPr>
        <w:pStyle w:val="Compact"/>
        <w:numPr>
          <w:ilvl w:val="0"/>
          <w:numId w:val="1183"/>
        </w:numPr>
      </w:pPr>
      <w:r>
        <w:t xml:space="preserve">An analyst can complete a structured site analysis.</w:t>
      </w:r>
    </w:p>
    <w:p>
      <w:pPr>
        <w:pStyle w:val="Compact"/>
        <w:numPr>
          <w:ilvl w:val="0"/>
          <w:numId w:val="1183"/>
        </w:numPr>
      </w:pPr>
      <w:r>
        <w:t xml:space="preserve">The system can store site, evidence, score, and report data.</w:t>
      </w:r>
    </w:p>
    <w:p>
      <w:pPr>
        <w:pStyle w:val="Compact"/>
        <w:numPr>
          <w:ilvl w:val="0"/>
          <w:numId w:val="1183"/>
        </w:numPr>
      </w:pPr>
      <w:r>
        <w:t xml:space="preserve">A PDF report can be generated from structured inputs.</w:t>
      </w:r>
    </w:p>
    <w:p>
      <w:pPr>
        <w:pStyle w:val="Compact"/>
        <w:numPr>
          <w:ilvl w:val="0"/>
          <w:numId w:val="1183"/>
        </w:numPr>
      </w:pPr>
      <w:r>
        <w:t xml:space="preserve">Each report includes scores, risks, evidence, assumptions, and recommendation.</w:t>
      </w:r>
    </w:p>
    <w:p>
      <w:pPr>
        <w:pStyle w:val="Compact"/>
        <w:numPr>
          <w:ilvl w:val="0"/>
          <w:numId w:val="1183"/>
        </w:numPr>
      </w:pPr>
      <w:r>
        <w:t xml:space="preserve">Expert review can be tracked.</w:t>
      </w:r>
    </w:p>
    <w:p>
      <w:pPr>
        <w:pStyle w:val="Compact"/>
        <w:numPr>
          <w:ilvl w:val="0"/>
          <w:numId w:val="1183"/>
        </w:numPr>
      </w:pPr>
      <w:r>
        <w:t xml:space="preserve">Reports are consistent across customers.</w:t>
      </w:r>
    </w:p>
    <w:bookmarkEnd w:id="236"/>
    <w:bookmarkStart w:id="237" w:name="commercial-acceptance"/>
    <w:p>
      <w:pPr>
        <w:pStyle w:val="Heading2"/>
      </w:pPr>
      <w:r>
        <w:t xml:space="preserve">Commercial Acceptance</w:t>
      </w:r>
    </w:p>
    <w:p>
      <w:pPr>
        <w:pStyle w:val="Compact"/>
        <w:numPr>
          <w:ilvl w:val="0"/>
          <w:numId w:val="1184"/>
        </w:numPr>
      </w:pPr>
      <w:r>
        <w:t xml:space="preserve">At least 3 customers agree to paid pilots.</w:t>
      </w:r>
    </w:p>
    <w:p>
      <w:pPr>
        <w:pStyle w:val="Compact"/>
        <w:numPr>
          <w:ilvl w:val="0"/>
          <w:numId w:val="1184"/>
        </w:numPr>
      </w:pPr>
      <w:r>
        <w:t xml:space="preserve">At least 5 site assessments are completed.</w:t>
      </w:r>
    </w:p>
    <w:p>
      <w:pPr>
        <w:pStyle w:val="Compact"/>
        <w:numPr>
          <w:ilvl w:val="0"/>
          <w:numId w:val="1184"/>
        </w:numPr>
      </w:pPr>
      <w:r>
        <w:t xml:space="preserve">At least 2 customers say they would pay for another report or retainer.</w:t>
      </w:r>
    </w:p>
    <w:p>
      <w:pPr>
        <w:pStyle w:val="Compact"/>
        <w:numPr>
          <w:ilvl w:val="0"/>
          <w:numId w:val="1184"/>
        </w:numPr>
      </w:pPr>
      <w:r>
        <w:t xml:space="preserve">Average report turnaround is 10 business days or less.</w:t>
      </w:r>
    </w:p>
    <w:p>
      <w:pPr>
        <w:pStyle w:val="Compact"/>
        <w:numPr>
          <w:ilvl w:val="0"/>
          <w:numId w:val="1184"/>
        </w:numPr>
      </w:pPr>
      <w:r>
        <w:t xml:space="preserve">Manual effort per report decreases after each delivery.</w:t>
      </w:r>
    </w:p>
    <w:bookmarkEnd w:id="237"/>
    <w:bookmarkStart w:id="238" w:name="quality-acceptance"/>
    <w:p>
      <w:pPr>
        <w:pStyle w:val="Heading2"/>
      </w:pPr>
      <w:r>
        <w:t xml:space="preserve">Quality Acceptance</w:t>
      </w:r>
    </w:p>
    <w:p>
      <w:pPr>
        <w:pStyle w:val="Compact"/>
        <w:numPr>
          <w:ilvl w:val="0"/>
          <w:numId w:val="1185"/>
        </w:numPr>
      </w:pPr>
      <w:r>
        <w:t xml:space="preserve">No final report contains unsupported factual claims.</w:t>
      </w:r>
    </w:p>
    <w:p>
      <w:pPr>
        <w:pStyle w:val="Compact"/>
        <w:numPr>
          <w:ilvl w:val="0"/>
          <w:numId w:val="1185"/>
        </w:numPr>
      </w:pPr>
      <w:r>
        <w:t xml:space="preserve">Every key recommendation includes source, assumption, or expert judgement.</w:t>
      </w:r>
    </w:p>
    <w:p>
      <w:pPr>
        <w:pStyle w:val="Compact"/>
        <w:numPr>
          <w:ilvl w:val="0"/>
          <w:numId w:val="1185"/>
        </w:numPr>
      </w:pPr>
      <w:r>
        <w:t xml:space="preserve">All high-risk reliability/interconnection findings are reviewed by a qualified expert.</w:t>
      </w:r>
    </w:p>
    <w:p>
      <w:pPr>
        <w:pStyle w:val="Compact"/>
        <w:numPr>
          <w:ilvl w:val="0"/>
          <w:numId w:val="1185"/>
        </w:numPr>
      </w:pPr>
      <w:r>
        <w:t xml:space="preserve">Limitations language appears in every report.</w:t>
      </w:r>
    </w:p>
    <w:p>
      <w:pPr>
        <w:pStyle w:val="Compact"/>
        <w:numPr>
          <w:ilvl w:val="0"/>
          <w:numId w:val="1185"/>
        </w:numPr>
      </w:pPr>
      <w:r>
        <w:t xml:space="preserve">Customer can clearly understand the go/no-go recommendation.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3" w:name="key-metrics"/>
    <w:p>
      <w:pPr>
        <w:pStyle w:val="Heading1"/>
      </w:pPr>
      <w:r>
        <w:t xml:space="preserve">21. Key Metrics</w:t>
      </w:r>
    </w:p>
    <w:bookmarkStart w:id="240" w:name="product-metrics"/>
    <w:p>
      <w:pPr>
        <w:pStyle w:val="Heading2"/>
      </w:pPr>
      <w:r>
        <w:t xml:space="preserve">21.1 Product Metrics</w:t>
      </w:r>
    </w:p>
    <w:p>
      <w:pPr>
        <w:pStyle w:val="Compact"/>
        <w:numPr>
          <w:ilvl w:val="0"/>
          <w:numId w:val="1186"/>
        </w:numPr>
      </w:pPr>
      <w:r>
        <w:t xml:space="preserve">Site assessments completed</w:t>
      </w:r>
    </w:p>
    <w:p>
      <w:pPr>
        <w:pStyle w:val="Compact"/>
        <w:numPr>
          <w:ilvl w:val="0"/>
          <w:numId w:val="1186"/>
        </w:numPr>
      </w:pPr>
      <w:r>
        <w:t xml:space="preserve">Average turnaround time</w:t>
      </w:r>
    </w:p>
    <w:p>
      <w:pPr>
        <w:pStyle w:val="Compact"/>
        <w:numPr>
          <w:ilvl w:val="0"/>
          <w:numId w:val="1186"/>
        </w:numPr>
      </w:pPr>
      <w:r>
        <w:t xml:space="preserve">Analyst hours per report</w:t>
      </w:r>
    </w:p>
    <w:p>
      <w:pPr>
        <w:pStyle w:val="Compact"/>
        <w:numPr>
          <w:ilvl w:val="0"/>
          <w:numId w:val="1186"/>
        </w:numPr>
      </w:pPr>
      <w:r>
        <w:t xml:space="preserve">Percentage of report auto-generated</w:t>
      </w:r>
    </w:p>
    <w:p>
      <w:pPr>
        <w:pStyle w:val="Compact"/>
        <w:numPr>
          <w:ilvl w:val="0"/>
          <w:numId w:val="1186"/>
        </w:numPr>
      </w:pPr>
      <w:r>
        <w:t xml:space="preserve">Number of evidence sources per report</w:t>
      </w:r>
    </w:p>
    <w:p>
      <w:pPr>
        <w:pStyle w:val="Compact"/>
        <w:numPr>
          <w:ilvl w:val="0"/>
          <w:numId w:val="1186"/>
        </w:numPr>
      </w:pPr>
      <w:r>
        <w:t xml:space="preserve">Number of manual overrides</w:t>
      </w:r>
    </w:p>
    <w:p>
      <w:pPr>
        <w:pStyle w:val="Compact"/>
        <w:numPr>
          <w:ilvl w:val="0"/>
          <w:numId w:val="1186"/>
        </w:numPr>
      </w:pPr>
      <w:r>
        <w:t xml:space="preserve">Report revision count</w:t>
      </w:r>
    </w:p>
    <w:p>
      <w:pPr>
        <w:pStyle w:val="Compact"/>
        <w:numPr>
          <w:ilvl w:val="0"/>
          <w:numId w:val="1186"/>
        </w:numPr>
      </w:pPr>
      <w:r>
        <w:t xml:space="preserve">Customer satisfaction score</w:t>
      </w:r>
    </w:p>
    <w:bookmarkEnd w:id="240"/>
    <w:bookmarkStart w:id="241" w:name="commercial-metrics"/>
    <w:p>
      <w:pPr>
        <w:pStyle w:val="Heading2"/>
      </w:pPr>
      <w:r>
        <w:t xml:space="preserve">21.2 Commercial Metrics</w:t>
      </w:r>
    </w:p>
    <w:p>
      <w:pPr>
        <w:pStyle w:val="Compact"/>
        <w:numPr>
          <w:ilvl w:val="0"/>
          <w:numId w:val="1187"/>
        </w:numPr>
      </w:pPr>
      <w:r>
        <w:t xml:space="preserve">Paid pilots sold</w:t>
      </w:r>
    </w:p>
    <w:p>
      <w:pPr>
        <w:pStyle w:val="Compact"/>
        <w:numPr>
          <w:ilvl w:val="0"/>
          <w:numId w:val="1187"/>
        </w:numPr>
      </w:pPr>
      <w:r>
        <w:t xml:space="preserve">Average contract value</w:t>
      </w:r>
    </w:p>
    <w:p>
      <w:pPr>
        <w:pStyle w:val="Compact"/>
        <w:numPr>
          <w:ilvl w:val="0"/>
          <w:numId w:val="1187"/>
        </w:numPr>
      </w:pPr>
      <w:r>
        <w:t xml:space="preserve">Conversion from pilot to repeat work</w:t>
      </w:r>
    </w:p>
    <w:p>
      <w:pPr>
        <w:pStyle w:val="Compact"/>
        <w:numPr>
          <w:ilvl w:val="0"/>
          <w:numId w:val="1187"/>
        </w:numPr>
      </w:pPr>
      <w:r>
        <w:t xml:space="preserve">Retainer conversion rate</w:t>
      </w:r>
    </w:p>
    <w:p>
      <w:pPr>
        <w:pStyle w:val="Compact"/>
        <w:numPr>
          <w:ilvl w:val="0"/>
          <w:numId w:val="1187"/>
        </w:numPr>
      </w:pPr>
      <w:r>
        <w:t xml:space="preserve">Number of sites screened per customer</w:t>
      </w:r>
    </w:p>
    <w:p>
      <w:pPr>
        <w:pStyle w:val="Compact"/>
        <w:numPr>
          <w:ilvl w:val="0"/>
          <w:numId w:val="1187"/>
        </w:numPr>
      </w:pPr>
      <w:r>
        <w:t xml:space="preserve">Gross margin per report</w:t>
      </w:r>
    </w:p>
    <w:p>
      <w:pPr>
        <w:pStyle w:val="Compact"/>
        <w:numPr>
          <w:ilvl w:val="0"/>
          <w:numId w:val="1187"/>
        </w:numPr>
      </w:pPr>
      <w:r>
        <w:t xml:space="preserve">Sales cycle length</w:t>
      </w:r>
    </w:p>
    <w:bookmarkEnd w:id="241"/>
    <w:bookmarkStart w:id="242" w:name="quality-metrics"/>
    <w:p>
      <w:pPr>
        <w:pStyle w:val="Heading2"/>
      </w:pPr>
      <w:r>
        <w:t xml:space="preserve">21.3 Quality Metrics</w:t>
      </w:r>
    </w:p>
    <w:p>
      <w:pPr>
        <w:pStyle w:val="Compact"/>
        <w:numPr>
          <w:ilvl w:val="0"/>
          <w:numId w:val="1188"/>
        </w:numPr>
      </w:pPr>
      <w:r>
        <w:t xml:space="preserve">Number of unsupported claims caught in review</w:t>
      </w:r>
    </w:p>
    <w:p>
      <w:pPr>
        <w:pStyle w:val="Compact"/>
        <w:numPr>
          <w:ilvl w:val="0"/>
          <w:numId w:val="1188"/>
        </w:numPr>
      </w:pPr>
      <w:r>
        <w:t xml:space="preserve">Number of expert-review corrections</w:t>
      </w:r>
    </w:p>
    <w:p>
      <w:pPr>
        <w:pStyle w:val="Compact"/>
        <w:numPr>
          <w:ilvl w:val="0"/>
          <w:numId w:val="1188"/>
        </w:numPr>
      </w:pPr>
      <w:r>
        <w:t xml:space="preserve">Number of customer disputes</w:t>
      </w:r>
    </w:p>
    <w:p>
      <w:pPr>
        <w:pStyle w:val="Compact"/>
        <w:numPr>
          <w:ilvl w:val="0"/>
          <w:numId w:val="1188"/>
        </w:numPr>
      </w:pPr>
      <w:r>
        <w:t xml:space="preserve">Number of stale data issues</w:t>
      </w:r>
    </w:p>
    <w:p>
      <w:pPr>
        <w:pStyle w:val="Compact"/>
        <w:numPr>
          <w:ilvl w:val="0"/>
          <w:numId w:val="1188"/>
        </w:numPr>
      </w:pPr>
      <w:r>
        <w:t xml:space="preserve">Number of reports delivered late</w:t>
      </w:r>
    </w:p>
    <w:p>
      <w:pPr>
        <w:pStyle w:val="Compact"/>
        <w:numPr>
          <w:ilvl w:val="0"/>
          <w:numId w:val="1188"/>
        </w:numPr>
      </w:pPr>
      <w:r>
        <w:t xml:space="preserve">Confidence-score distribution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51" w:name="team-requirements"/>
    <w:p>
      <w:pPr>
        <w:pStyle w:val="Heading1"/>
      </w:pPr>
      <w:r>
        <w:t xml:space="preserve">22. Team Requirements</w:t>
      </w:r>
    </w:p>
    <w:bookmarkStart w:id="244" w:name="minimum-team-for-mvp"/>
    <w:p>
      <w:pPr>
        <w:pStyle w:val="Heading2"/>
      </w:pPr>
      <w:r>
        <w:t xml:space="preserve">22.1 Minimum Team for MVP</w:t>
      </w:r>
    </w:p>
    <w:p>
      <w:pPr>
        <w:pStyle w:val="FirstParagraph"/>
      </w:pPr>
      <w:r>
        <w:t xml:space="preserve">The MVP can be built with:</w:t>
      </w:r>
    </w:p>
    <w:p>
      <w:pPr>
        <w:pStyle w:val="Compact"/>
        <w:numPr>
          <w:ilvl w:val="0"/>
          <w:numId w:val="1189"/>
        </w:numPr>
      </w:pPr>
      <w:r>
        <w:t xml:space="preserve">Founder / product lead</w:t>
      </w:r>
    </w:p>
    <w:p>
      <w:pPr>
        <w:pStyle w:val="Compact"/>
        <w:numPr>
          <w:ilvl w:val="0"/>
          <w:numId w:val="1189"/>
        </w:numPr>
      </w:pPr>
      <w:r>
        <w:t xml:space="preserve">Energy/interconnection expert</w:t>
      </w:r>
    </w:p>
    <w:p>
      <w:pPr>
        <w:pStyle w:val="Compact"/>
        <w:numPr>
          <w:ilvl w:val="0"/>
          <w:numId w:val="1189"/>
        </w:numPr>
      </w:pPr>
      <w:r>
        <w:t xml:space="preserve">GIS/data analyst</w:t>
      </w:r>
    </w:p>
    <w:p>
      <w:pPr>
        <w:pStyle w:val="Compact"/>
        <w:numPr>
          <w:ilvl w:val="0"/>
          <w:numId w:val="1189"/>
        </w:numPr>
      </w:pPr>
      <w:r>
        <w:t xml:space="preserve">Full-stack engineer</w:t>
      </w:r>
    </w:p>
    <w:p>
      <w:pPr>
        <w:pStyle w:val="Compact"/>
        <w:numPr>
          <w:ilvl w:val="0"/>
          <w:numId w:val="1189"/>
        </w:numPr>
      </w:pPr>
      <w:r>
        <w:t xml:space="preserve">Part-time designer or frontend developer</w:t>
      </w:r>
    </w:p>
    <w:p>
      <w:pPr>
        <w:pStyle w:val="Compact"/>
        <w:numPr>
          <w:ilvl w:val="0"/>
          <w:numId w:val="1189"/>
        </w:numPr>
      </w:pPr>
      <w:r>
        <w:t xml:space="preserve">Part-time power systems reviewer</w:t>
      </w:r>
    </w:p>
    <w:bookmarkEnd w:id="244"/>
    <w:bookmarkStart w:id="250" w:name="role-responsibilities"/>
    <w:p>
      <w:pPr>
        <w:pStyle w:val="Heading2"/>
      </w:pPr>
      <w:r>
        <w:t xml:space="preserve">22.2 Role Responsibilities</w:t>
      </w:r>
    </w:p>
    <w:bookmarkStart w:id="245" w:name="founder-product-lead"/>
    <w:p>
      <w:pPr>
        <w:pStyle w:val="Heading3"/>
      </w:pPr>
      <w:r>
        <w:t xml:space="preserve">Founder / Product Lead</w:t>
      </w:r>
    </w:p>
    <w:p>
      <w:pPr>
        <w:pStyle w:val="Compact"/>
        <w:numPr>
          <w:ilvl w:val="0"/>
          <w:numId w:val="1190"/>
        </w:numPr>
      </w:pPr>
      <w:r>
        <w:t xml:space="preserve">Customer discovery</w:t>
      </w:r>
    </w:p>
    <w:p>
      <w:pPr>
        <w:pStyle w:val="Compact"/>
        <w:numPr>
          <w:ilvl w:val="0"/>
          <w:numId w:val="1190"/>
        </w:numPr>
      </w:pPr>
      <w:r>
        <w:t xml:space="preserve">Sales</w:t>
      </w:r>
    </w:p>
    <w:p>
      <w:pPr>
        <w:pStyle w:val="Compact"/>
        <w:numPr>
          <w:ilvl w:val="0"/>
          <w:numId w:val="1190"/>
        </w:numPr>
      </w:pPr>
      <w:r>
        <w:t xml:space="preserve">Product scope</w:t>
      </w:r>
    </w:p>
    <w:p>
      <w:pPr>
        <w:pStyle w:val="Compact"/>
        <w:numPr>
          <w:ilvl w:val="0"/>
          <w:numId w:val="1190"/>
        </w:numPr>
      </w:pPr>
      <w:r>
        <w:t xml:space="preserve">Report quality</w:t>
      </w:r>
    </w:p>
    <w:p>
      <w:pPr>
        <w:pStyle w:val="Compact"/>
        <w:numPr>
          <w:ilvl w:val="0"/>
          <w:numId w:val="1190"/>
        </w:numPr>
      </w:pPr>
      <w:r>
        <w:t xml:space="preserve">Commercial packaging</w:t>
      </w:r>
    </w:p>
    <w:p>
      <w:pPr>
        <w:pStyle w:val="Compact"/>
        <w:numPr>
          <w:ilvl w:val="0"/>
          <w:numId w:val="1190"/>
        </w:numPr>
      </w:pPr>
      <w:r>
        <w:t xml:space="preserve">Expert network</w:t>
      </w:r>
    </w:p>
    <w:bookmarkEnd w:id="245"/>
    <w:bookmarkStart w:id="246" w:name="energyinterconnection-expert"/>
    <w:p>
      <w:pPr>
        <w:pStyle w:val="Heading3"/>
      </w:pPr>
      <w:r>
        <w:t xml:space="preserve">Energy/Interconnection Expert</w:t>
      </w:r>
    </w:p>
    <w:p>
      <w:pPr>
        <w:pStyle w:val="Compact"/>
        <w:numPr>
          <w:ilvl w:val="0"/>
          <w:numId w:val="1191"/>
        </w:numPr>
      </w:pPr>
      <w:r>
        <w:t xml:space="preserve">Interconnection checklist</w:t>
      </w:r>
    </w:p>
    <w:p>
      <w:pPr>
        <w:pStyle w:val="Compact"/>
        <w:numPr>
          <w:ilvl w:val="0"/>
          <w:numId w:val="1191"/>
        </w:numPr>
      </w:pPr>
      <w:r>
        <w:t xml:space="preserve">Regulatory/process interpretation</w:t>
      </w:r>
    </w:p>
    <w:p>
      <w:pPr>
        <w:pStyle w:val="Compact"/>
        <w:numPr>
          <w:ilvl w:val="0"/>
          <w:numId w:val="1191"/>
        </w:numPr>
      </w:pPr>
      <w:r>
        <w:t xml:space="preserve">Utility/TSP workflow validation</w:t>
      </w:r>
    </w:p>
    <w:p>
      <w:pPr>
        <w:pStyle w:val="Compact"/>
        <w:numPr>
          <w:ilvl w:val="0"/>
          <w:numId w:val="1191"/>
        </w:numPr>
      </w:pPr>
      <w:r>
        <w:t xml:space="preserve">Report review</w:t>
      </w:r>
    </w:p>
    <w:bookmarkEnd w:id="246"/>
    <w:bookmarkStart w:id="247" w:name="gisdata-analyst"/>
    <w:p>
      <w:pPr>
        <w:pStyle w:val="Heading3"/>
      </w:pPr>
      <w:r>
        <w:t xml:space="preserve">GIS/Data Analyst</w:t>
      </w:r>
    </w:p>
    <w:p>
      <w:pPr>
        <w:pStyle w:val="Compact"/>
        <w:numPr>
          <w:ilvl w:val="0"/>
          <w:numId w:val="1192"/>
        </w:numPr>
      </w:pPr>
      <w:r>
        <w:t xml:space="preserve">Site mapping</w:t>
      </w:r>
    </w:p>
    <w:p>
      <w:pPr>
        <w:pStyle w:val="Compact"/>
        <w:numPr>
          <w:ilvl w:val="0"/>
          <w:numId w:val="1192"/>
        </w:numPr>
      </w:pPr>
      <w:r>
        <w:t xml:space="preserve">Grid asset analysis</w:t>
      </w:r>
    </w:p>
    <w:p>
      <w:pPr>
        <w:pStyle w:val="Compact"/>
        <w:numPr>
          <w:ilvl w:val="0"/>
          <w:numId w:val="1192"/>
        </w:numPr>
      </w:pPr>
      <w:r>
        <w:t xml:space="preserve">Dataset preparation</w:t>
      </w:r>
    </w:p>
    <w:p>
      <w:pPr>
        <w:pStyle w:val="Compact"/>
        <w:numPr>
          <w:ilvl w:val="0"/>
          <w:numId w:val="1192"/>
        </w:numPr>
      </w:pPr>
      <w:r>
        <w:t xml:space="preserve">Spatial calculations</w:t>
      </w:r>
    </w:p>
    <w:p>
      <w:pPr>
        <w:pStyle w:val="Compact"/>
        <w:numPr>
          <w:ilvl w:val="0"/>
          <w:numId w:val="1192"/>
        </w:numPr>
      </w:pPr>
      <w:r>
        <w:t xml:space="preserve">Map exports</w:t>
      </w:r>
    </w:p>
    <w:bookmarkEnd w:id="247"/>
    <w:bookmarkStart w:id="248" w:name="full-stack-engineer"/>
    <w:p>
      <w:pPr>
        <w:pStyle w:val="Heading3"/>
      </w:pPr>
      <w:r>
        <w:t xml:space="preserve">Full-Stack Engineer</w:t>
      </w:r>
    </w:p>
    <w:p>
      <w:pPr>
        <w:pStyle w:val="Compact"/>
        <w:numPr>
          <w:ilvl w:val="0"/>
          <w:numId w:val="1193"/>
        </w:numPr>
      </w:pPr>
      <w:r>
        <w:t xml:space="preserve">Web app</w:t>
      </w:r>
    </w:p>
    <w:p>
      <w:pPr>
        <w:pStyle w:val="Compact"/>
        <w:numPr>
          <w:ilvl w:val="0"/>
          <w:numId w:val="1193"/>
        </w:numPr>
      </w:pPr>
      <w:r>
        <w:t xml:space="preserve">Database</w:t>
      </w:r>
    </w:p>
    <w:p>
      <w:pPr>
        <w:pStyle w:val="Compact"/>
        <w:numPr>
          <w:ilvl w:val="0"/>
          <w:numId w:val="1193"/>
        </w:numPr>
      </w:pPr>
      <w:r>
        <w:t xml:space="preserve">API</w:t>
      </w:r>
    </w:p>
    <w:p>
      <w:pPr>
        <w:pStyle w:val="Compact"/>
        <w:numPr>
          <w:ilvl w:val="0"/>
          <w:numId w:val="1193"/>
        </w:numPr>
      </w:pPr>
      <w:r>
        <w:t xml:space="preserve">Report generator</w:t>
      </w:r>
    </w:p>
    <w:p>
      <w:pPr>
        <w:pStyle w:val="Compact"/>
        <w:numPr>
          <w:ilvl w:val="0"/>
          <w:numId w:val="1193"/>
        </w:numPr>
      </w:pPr>
      <w:r>
        <w:t xml:space="preserve">User management</w:t>
      </w:r>
    </w:p>
    <w:p>
      <w:pPr>
        <w:pStyle w:val="Compact"/>
        <w:numPr>
          <w:ilvl w:val="0"/>
          <w:numId w:val="1193"/>
        </w:numPr>
      </w:pPr>
      <w:r>
        <w:t xml:space="preserve">Infrastructure</w:t>
      </w:r>
    </w:p>
    <w:bookmarkEnd w:id="248"/>
    <w:bookmarkStart w:id="249" w:name="power-systems-reviewer"/>
    <w:p>
      <w:pPr>
        <w:pStyle w:val="Heading3"/>
      </w:pPr>
      <w:r>
        <w:t xml:space="preserve">Power Systems Reviewer</w:t>
      </w:r>
    </w:p>
    <w:p>
      <w:pPr>
        <w:pStyle w:val="Compact"/>
        <w:numPr>
          <w:ilvl w:val="0"/>
          <w:numId w:val="1194"/>
        </w:numPr>
      </w:pPr>
      <w:r>
        <w:t xml:space="preserve">Ride-through risk</w:t>
      </w:r>
    </w:p>
    <w:p>
      <w:pPr>
        <w:pStyle w:val="Compact"/>
        <w:numPr>
          <w:ilvl w:val="0"/>
          <w:numId w:val="1194"/>
        </w:numPr>
      </w:pPr>
      <w:r>
        <w:t xml:space="preserve">Protection settings</w:t>
      </w:r>
    </w:p>
    <w:p>
      <w:pPr>
        <w:pStyle w:val="Compact"/>
        <w:numPr>
          <w:ilvl w:val="0"/>
          <w:numId w:val="1194"/>
        </w:numPr>
      </w:pPr>
      <w:r>
        <w:t xml:space="preserve">Load modelling questions</w:t>
      </w:r>
    </w:p>
    <w:p>
      <w:pPr>
        <w:pStyle w:val="Compact"/>
        <w:numPr>
          <w:ilvl w:val="0"/>
          <w:numId w:val="1194"/>
        </w:numPr>
      </w:pPr>
      <w:r>
        <w:t xml:space="preserve">Reliability section validation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End w:id="251"/>
    <w:bookmarkStart w:id="257" w:name="risks-and-mitigations"/>
    <w:p>
      <w:pPr>
        <w:pStyle w:val="Heading1"/>
      </w:pPr>
      <w:r>
        <w:t xml:space="preserve">23. Risks and Mitigations</w:t>
      </w:r>
    </w:p>
    <w:bookmarkStart w:id="252" w:name="trust-risk"/>
    <w:p>
      <w:pPr>
        <w:pStyle w:val="Heading2"/>
      </w:pPr>
      <w:r>
        <w:t xml:space="preserve">23.1 Trust Risk</w:t>
      </w:r>
    </w:p>
    <w:p>
      <w:pPr>
        <w:pStyle w:val="FirstParagraph"/>
      </w:pPr>
      <w:r>
        <w:t xml:space="preserve">Risk:</w:t>
      </w:r>
    </w:p>
    <w:p>
      <w:pPr>
        <w:pStyle w:val="BodyText"/>
      </w:pPr>
      <w:r>
        <w:t xml:space="preserve">Customers may not trust a software-generated recommendation for high-stakes infrastructure decisions.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195"/>
        </w:numPr>
      </w:pPr>
      <w:r>
        <w:t xml:space="preserve">Human review</w:t>
      </w:r>
    </w:p>
    <w:p>
      <w:pPr>
        <w:pStyle w:val="Compact"/>
        <w:numPr>
          <w:ilvl w:val="0"/>
          <w:numId w:val="1195"/>
        </w:numPr>
      </w:pPr>
      <w:r>
        <w:t xml:space="preserve">Expert review</w:t>
      </w:r>
    </w:p>
    <w:p>
      <w:pPr>
        <w:pStyle w:val="Compact"/>
        <w:numPr>
          <w:ilvl w:val="0"/>
          <w:numId w:val="1195"/>
        </w:numPr>
      </w:pPr>
      <w:r>
        <w:t xml:space="preserve">Evidence appendix</w:t>
      </w:r>
    </w:p>
    <w:p>
      <w:pPr>
        <w:pStyle w:val="Compact"/>
        <w:numPr>
          <w:ilvl w:val="0"/>
          <w:numId w:val="1195"/>
        </w:numPr>
      </w:pPr>
      <w:r>
        <w:t xml:space="preserve">Clear assumptions</w:t>
      </w:r>
    </w:p>
    <w:p>
      <w:pPr>
        <w:pStyle w:val="Compact"/>
        <w:numPr>
          <w:ilvl w:val="0"/>
          <w:numId w:val="1195"/>
        </w:numPr>
      </w:pPr>
      <w:r>
        <w:t xml:space="preserve">Confidence levels</w:t>
      </w:r>
    </w:p>
    <w:p>
      <w:pPr>
        <w:pStyle w:val="Compact"/>
        <w:numPr>
          <w:ilvl w:val="0"/>
          <w:numId w:val="1195"/>
        </w:numPr>
      </w:pPr>
      <w:r>
        <w:t xml:space="preserve">No black-box claims</w:t>
      </w:r>
    </w:p>
    <w:p>
      <w:r>
        <w:pict>
          <v:rect style="width:0;height:1.5pt" o:hralign="center" o:hrstd="t" o:hr="t"/>
        </w:pict>
      </w:r>
    </w:p>
    <w:bookmarkEnd w:id="252"/>
    <w:bookmarkStart w:id="253" w:name="data-completeness-risk"/>
    <w:p>
      <w:pPr>
        <w:pStyle w:val="Heading2"/>
      </w:pPr>
      <w:r>
        <w:t xml:space="preserve">23.2 Data Completeness Risk</w:t>
      </w:r>
    </w:p>
    <w:p>
      <w:pPr>
        <w:pStyle w:val="FirstParagraph"/>
      </w:pPr>
      <w:r>
        <w:t xml:space="preserve">Risk:</w:t>
      </w:r>
    </w:p>
    <w:p>
      <w:pPr>
        <w:pStyle w:val="BodyText"/>
      </w:pPr>
      <w:r>
        <w:t xml:space="preserve">Public data may not reveal actual available capacity or upgrade timelines.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196"/>
        </w:numPr>
      </w:pPr>
      <w:r>
        <w:t xml:space="preserve">Position product as early-stage diligence</w:t>
      </w:r>
    </w:p>
    <w:p>
      <w:pPr>
        <w:pStyle w:val="Compact"/>
        <w:numPr>
          <w:ilvl w:val="0"/>
          <w:numId w:val="1196"/>
        </w:numPr>
      </w:pPr>
      <w:r>
        <w:t xml:space="preserve">Flag unknowns clearly</w:t>
      </w:r>
    </w:p>
    <w:p>
      <w:pPr>
        <w:pStyle w:val="Compact"/>
        <w:numPr>
          <w:ilvl w:val="0"/>
          <w:numId w:val="1196"/>
        </w:numPr>
      </w:pPr>
      <w:r>
        <w:t xml:space="preserve">Require utility/TSP confirmation for final decisions</w:t>
      </w:r>
    </w:p>
    <w:p>
      <w:pPr>
        <w:pStyle w:val="Compact"/>
        <w:numPr>
          <w:ilvl w:val="0"/>
          <w:numId w:val="1196"/>
        </w:numPr>
      </w:pPr>
      <w:r>
        <w:t xml:space="preserve">Separate evidence from assumptions</w:t>
      </w:r>
    </w:p>
    <w:p>
      <w:r>
        <w:pict>
          <v:rect style="width:0;height:1.5pt" o:hralign="center" o:hrstd="t" o:hr="t"/>
        </w:pict>
      </w:r>
    </w:p>
    <w:bookmarkEnd w:id="253"/>
    <w:bookmarkStart w:id="254" w:name="liability-risk"/>
    <w:p>
      <w:pPr>
        <w:pStyle w:val="Heading2"/>
      </w:pPr>
      <w:r>
        <w:t xml:space="preserve">23.3 Liability Risk</w:t>
      </w:r>
    </w:p>
    <w:p>
      <w:pPr>
        <w:pStyle w:val="FirstParagraph"/>
      </w:pPr>
      <w:r>
        <w:t xml:space="preserve">Risk:</w:t>
      </w:r>
    </w:p>
    <w:p>
      <w:pPr>
        <w:pStyle w:val="BodyText"/>
      </w:pPr>
      <w:r>
        <w:t xml:space="preserve">Customers may rely on the report as if it guarantees interconnection.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197"/>
        </w:numPr>
      </w:pPr>
      <w:r>
        <w:t xml:space="preserve">Clear limitations language</w:t>
      </w:r>
    </w:p>
    <w:p>
      <w:pPr>
        <w:pStyle w:val="Compact"/>
        <w:numPr>
          <w:ilvl w:val="0"/>
          <w:numId w:val="1197"/>
        </w:numPr>
      </w:pPr>
      <w:r>
        <w:t xml:space="preserve">Legal review before commercial launch</w:t>
      </w:r>
    </w:p>
    <w:p>
      <w:pPr>
        <w:pStyle w:val="Compact"/>
        <w:numPr>
          <w:ilvl w:val="0"/>
          <w:numId w:val="1197"/>
        </w:numPr>
      </w:pPr>
      <w:r>
        <w:t xml:space="preserve">Terms of service</w:t>
      </w:r>
    </w:p>
    <w:p>
      <w:pPr>
        <w:pStyle w:val="Compact"/>
        <w:numPr>
          <w:ilvl w:val="0"/>
          <w:numId w:val="1197"/>
        </w:numPr>
      </w:pPr>
      <w:r>
        <w:t xml:space="preserve">No guarantee language</w:t>
      </w:r>
    </w:p>
    <w:p>
      <w:pPr>
        <w:pStyle w:val="Compact"/>
        <w:numPr>
          <w:ilvl w:val="0"/>
          <w:numId w:val="1197"/>
        </w:numPr>
      </w:pPr>
      <w:r>
        <w:t xml:space="preserve">Professional liability insurance when appropriate</w:t>
      </w:r>
    </w:p>
    <w:p>
      <w:r>
        <w:pict>
          <v:rect style="width:0;height:1.5pt" o:hralign="center" o:hrstd="t" o:hr="t"/>
        </w:pict>
      </w:r>
    </w:p>
    <w:bookmarkEnd w:id="254"/>
    <w:bookmarkStart w:id="255" w:name="incumbent-risk"/>
    <w:p>
      <w:pPr>
        <w:pStyle w:val="Heading2"/>
      </w:pPr>
      <w:r>
        <w:t xml:space="preserve">23.4 Incumbent Risk</w:t>
      </w:r>
    </w:p>
    <w:p>
      <w:pPr>
        <w:pStyle w:val="FirstParagraph"/>
      </w:pPr>
      <w:r>
        <w:t xml:space="preserve">Risk:</w:t>
      </w:r>
    </w:p>
    <w:p>
      <w:pPr>
        <w:pStyle w:val="BodyText"/>
      </w:pPr>
      <w:r>
        <w:t xml:space="preserve">Existing energy-data platforms may add data-centre siting modules.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198"/>
        </w:numPr>
      </w:pPr>
      <w:r>
        <w:t xml:space="preserve">Focus narrowly on AI data-centre large-load readiness</w:t>
      </w:r>
    </w:p>
    <w:p>
      <w:pPr>
        <w:pStyle w:val="Compact"/>
        <w:numPr>
          <w:ilvl w:val="0"/>
          <w:numId w:val="1198"/>
        </w:numPr>
      </w:pPr>
      <w:r>
        <w:t xml:space="preserve">Build workflow depth</w:t>
      </w:r>
    </w:p>
    <w:p>
      <w:pPr>
        <w:pStyle w:val="Compact"/>
        <w:numPr>
          <w:ilvl w:val="0"/>
          <w:numId w:val="1198"/>
        </w:numPr>
      </w:pPr>
      <w:r>
        <w:t xml:space="preserve">Build proprietary report dataset</w:t>
      </w:r>
    </w:p>
    <w:p>
      <w:pPr>
        <w:pStyle w:val="Compact"/>
        <w:numPr>
          <w:ilvl w:val="0"/>
          <w:numId w:val="1198"/>
        </w:numPr>
      </w:pPr>
      <w:r>
        <w:t xml:space="preserve">Build expert-reviewed readiness methodology</w:t>
      </w:r>
    </w:p>
    <w:p>
      <w:pPr>
        <w:pStyle w:val="Compact"/>
        <w:numPr>
          <w:ilvl w:val="0"/>
          <w:numId w:val="1198"/>
        </w:numPr>
      </w:pPr>
      <w:r>
        <w:t xml:space="preserve">Own investor/utility-ready packaging</w:t>
      </w:r>
    </w:p>
    <w:p>
      <w:r>
        <w:pict>
          <v:rect style="width:0;height:1.5pt" o:hralign="center" o:hrstd="t" o:hr="t"/>
        </w:pict>
      </w:r>
    </w:p>
    <w:bookmarkEnd w:id="255"/>
    <w:bookmarkStart w:id="256" w:name="overbuilding-risk"/>
    <w:p>
      <w:pPr>
        <w:pStyle w:val="Heading2"/>
      </w:pPr>
      <w:r>
        <w:t xml:space="preserve">23.5 Overbuilding Risk</w:t>
      </w:r>
    </w:p>
    <w:p>
      <w:pPr>
        <w:pStyle w:val="FirstParagraph"/>
      </w:pPr>
      <w:r>
        <w:t xml:space="preserve">Risk:</w:t>
      </w:r>
    </w:p>
    <w:p>
      <w:pPr>
        <w:pStyle w:val="BodyText"/>
      </w:pPr>
      <w:r>
        <w:t xml:space="preserve">Team spends too long building software before validating paid demand.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199"/>
        </w:numPr>
      </w:pPr>
      <w:r>
        <w:t xml:space="preserve">Start with manual reports</w:t>
      </w:r>
    </w:p>
    <w:p>
      <w:pPr>
        <w:pStyle w:val="Compact"/>
        <w:numPr>
          <w:ilvl w:val="0"/>
          <w:numId w:val="1199"/>
        </w:numPr>
      </w:pPr>
      <w:r>
        <w:t xml:space="preserve">Sell pilots early</w:t>
      </w:r>
    </w:p>
    <w:p>
      <w:pPr>
        <w:pStyle w:val="Compact"/>
        <w:numPr>
          <w:ilvl w:val="0"/>
          <w:numId w:val="1199"/>
        </w:numPr>
      </w:pPr>
      <w:r>
        <w:t xml:space="preserve">Build only repeated workflow components</w:t>
      </w:r>
    </w:p>
    <w:p>
      <w:pPr>
        <w:pStyle w:val="Compact"/>
        <w:numPr>
          <w:ilvl w:val="0"/>
          <w:numId w:val="1199"/>
        </w:numPr>
      </w:pPr>
      <w:r>
        <w:t xml:space="preserve">Use software to reduce delivery time, not to impress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legal-and-disclaimer-requirements"/>
    <w:p>
      <w:pPr>
        <w:pStyle w:val="Heading1"/>
      </w:pPr>
      <w:r>
        <w:t xml:space="preserve">24. Legal and Disclaimer Requirements</w:t>
      </w:r>
    </w:p>
    <w:p>
      <w:pPr>
        <w:pStyle w:val="FirstParagraph"/>
      </w:pPr>
      <w:r>
        <w:t xml:space="preserve">Every report and platform page must include legally reviewed disclaimer language covering:</w:t>
      </w:r>
    </w:p>
    <w:p>
      <w:pPr>
        <w:pStyle w:val="Compact"/>
        <w:numPr>
          <w:ilvl w:val="0"/>
          <w:numId w:val="1200"/>
        </w:numPr>
      </w:pPr>
      <w:r>
        <w:t xml:space="preserve">No guarantee of power availability</w:t>
      </w:r>
    </w:p>
    <w:p>
      <w:pPr>
        <w:pStyle w:val="Compact"/>
        <w:numPr>
          <w:ilvl w:val="0"/>
          <w:numId w:val="1200"/>
        </w:numPr>
      </w:pPr>
      <w:r>
        <w:t xml:space="preserve">No guarantee of interconnection approval</w:t>
      </w:r>
    </w:p>
    <w:p>
      <w:pPr>
        <w:pStyle w:val="Compact"/>
        <w:numPr>
          <w:ilvl w:val="0"/>
          <w:numId w:val="1200"/>
        </w:numPr>
      </w:pPr>
      <w:r>
        <w:t xml:space="preserve">No substitute for utility/TSP/DSP/ISO/RTO studies</w:t>
      </w:r>
    </w:p>
    <w:p>
      <w:pPr>
        <w:pStyle w:val="Compact"/>
        <w:numPr>
          <w:ilvl w:val="0"/>
          <w:numId w:val="1200"/>
        </w:numPr>
      </w:pPr>
      <w:r>
        <w:t xml:space="preserve">No substitute for licensed engineering advice</w:t>
      </w:r>
    </w:p>
    <w:p>
      <w:pPr>
        <w:pStyle w:val="Compact"/>
        <w:numPr>
          <w:ilvl w:val="0"/>
          <w:numId w:val="1200"/>
        </w:numPr>
      </w:pPr>
      <w:r>
        <w:t xml:space="preserve">No legal or regulatory advice</w:t>
      </w:r>
    </w:p>
    <w:p>
      <w:pPr>
        <w:pStyle w:val="Compact"/>
        <w:numPr>
          <w:ilvl w:val="0"/>
          <w:numId w:val="1200"/>
        </w:numPr>
      </w:pPr>
      <w:r>
        <w:t xml:space="preserve">Public data may be incomplete or outdated</w:t>
      </w:r>
    </w:p>
    <w:p>
      <w:pPr>
        <w:pStyle w:val="Compact"/>
        <w:numPr>
          <w:ilvl w:val="0"/>
          <w:numId w:val="1200"/>
        </w:numPr>
      </w:pPr>
      <w:r>
        <w:t xml:space="preserve">Customer-provided data may affect conclusions</w:t>
      </w:r>
    </w:p>
    <w:p>
      <w:pPr>
        <w:pStyle w:val="Compact"/>
        <w:numPr>
          <w:ilvl w:val="0"/>
          <w:numId w:val="1200"/>
        </w:numPr>
      </w:pPr>
      <w:r>
        <w:t xml:space="preserve">Final decisions require direct engagement with relevant authorities and technical advisors</w:t>
      </w:r>
    </w:p>
    <w:p>
      <w:r>
        <w:pict>
          <v:rect style="width:0;height:1.5pt" o:hralign="center" o:hrstd="t" o:hr="t"/>
        </w:pict>
      </w:r>
    </w:p>
    <w:bookmarkEnd w:id="258"/>
    <w:bookmarkStart w:id="259" w:name="what-not-to-build-first"/>
    <w:p>
      <w:pPr>
        <w:pStyle w:val="Heading1"/>
      </w:pPr>
      <w:r>
        <w:t xml:space="preserve">25. What Not to Build First</w:t>
      </w:r>
    </w:p>
    <w:p>
      <w:pPr>
        <w:pStyle w:val="FirstParagraph"/>
      </w:pPr>
      <w:r>
        <w:t xml:space="preserve">Do not build these in the MVP:</w:t>
      </w:r>
    </w:p>
    <w:p>
      <w:pPr>
        <w:pStyle w:val="Compact"/>
        <w:numPr>
          <w:ilvl w:val="0"/>
          <w:numId w:val="1201"/>
        </w:numPr>
      </w:pPr>
      <w:r>
        <w:t xml:space="preserve">Fully self-serve SaaS</w:t>
      </w:r>
    </w:p>
    <w:p>
      <w:pPr>
        <w:pStyle w:val="Compact"/>
        <w:numPr>
          <w:ilvl w:val="0"/>
          <w:numId w:val="1201"/>
        </w:numPr>
      </w:pPr>
      <w:r>
        <w:t xml:space="preserve">Real-time grid monitoring</w:t>
      </w:r>
    </w:p>
    <w:p>
      <w:pPr>
        <w:pStyle w:val="Compact"/>
        <w:numPr>
          <w:ilvl w:val="0"/>
          <w:numId w:val="1201"/>
        </w:numPr>
      </w:pPr>
      <w:r>
        <w:t xml:space="preserve">Live workload optimisation</w:t>
      </w:r>
    </w:p>
    <w:p>
      <w:pPr>
        <w:pStyle w:val="Compact"/>
        <w:numPr>
          <w:ilvl w:val="0"/>
          <w:numId w:val="1201"/>
        </w:numPr>
      </w:pPr>
      <w:r>
        <w:t xml:space="preserve">Demand-response dispatch</w:t>
      </w:r>
    </w:p>
    <w:p>
      <w:pPr>
        <w:pStyle w:val="Compact"/>
        <w:numPr>
          <w:ilvl w:val="0"/>
          <w:numId w:val="1201"/>
        </w:numPr>
      </w:pPr>
      <w:r>
        <w:t xml:space="preserve">Automated interconnection submission</w:t>
      </w:r>
    </w:p>
    <w:p>
      <w:pPr>
        <w:pStyle w:val="Compact"/>
        <w:numPr>
          <w:ilvl w:val="0"/>
          <w:numId w:val="1201"/>
        </w:numPr>
      </w:pPr>
      <w:r>
        <w:t xml:space="preserve">Full power-flow modelling</w:t>
      </w:r>
    </w:p>
    <w:p>
      <w:pPr>
        <w:pStyle w:val="Compact"/>
        <w:numPr>
          <w:ilvl w:val="0"/>
          <w:numId w:val="1201"/>
        </w:numPr>
      </w:pPr>
      <w:r>
        <w:t xml:space="preserve">Nationwide coverage</w:t>
      </w:r>
    </w:p>
    <w:p>
      <w:pPr>
        <w:pStyle w:val="Compact"/>
        <w:numPr>
          <w:ilvl w:val="0"/>
          <w:numId w:val="1201"/>
        </w:numPr>
      </w:pPr>
      <w:r>
        <w:t xml:space="preserve">Marketplace for sites</w:t>
      </w:r>
    </w:p>
    <w:p>
      <w:pPr>
        <w:pStyle w:val="Compact"/>
        <w:numPr>
          <w:ilvl w:val="0"/>
          <w:numId w:val="1201"/>
        </w:numPr>
      </w:pPr>
      <w:r>
        <w:t xml:space="preserve">Power procurement marketplace</w:t>
      </w:r>
    </w:p>
    <w:p>
      <w:pPr>
        <w:pStyle w:val="Compact"/>
        <w:numPr>
          <w:ilvl w:val="0"/>
          <w:numId w:val="1201"/>
        </w:numPr>
      </w:pPr>
      <w:r>
        <w:t xml:space="preserve">Energy trading engine</w:t>
      </w:r>
    </w:p>
    <w:p>
      <w:pPr>
        <w:pStyle w:val="Compact"/>
        <w:numPr>
          <w:ilvl w:val="0"/>
          <w:numId w:val="1201"/>
        </w:numPr>
      </w:pPr>
      <w:r>
        <w:t xml:space="preserve">Utility-facing pipeline management system</w:t>
      </w:r>
    </w:p>
    <w:p>
      <w:pPr>
        <w:pStyle w:val="Compact"/>
        <w:numPr>
          <w:ilvl w:val="0"/>
          <w:numId w:val="1201"/>
        </w:numPr>
      </w:pPr>
      <w:r>
        <w:t xml:space="preserve">API product</w:t>
      </w:r>
    </w:p>
    <w:p>
      <w:pPr>
        <w:pStyle w:val="Compact"/>
        <w:numPr>
          <w:ilvl w:val="0"/>
          <w:numId w:val="1201"/>
        </w:numPr>
      </w:pPr>
      <w:r>
        <w:t xml:space="preserve">Mobile app</w:t>
      </w:r>
    </w:p>
    <w:p>
      <w:pPr>
        <w:pStyle w:val="FirstParagraph"/>
      </w:pPr>
      <w:r>
        <w:t xml:space="preserve">These can become later products only after the report workflow proves commercial demand.</w:t>
      </w:r>
    </w:p>
    <w:p>
      <w:r>
        <w:pict>
          <v:rect style="width:0;height:1.5pt" o:hralign="center" o:hrstd="t" o:hr="t"/>
        </w:pict>
      </w:r>
    </w:p>
    <w:bookmarkEnd w:id="259"/>
    <w:bookmarkStart w:id="264" w:name="recommended-first-30-days"/>
    <w:p>
      <w:pPr>
        <w:pStyle w:val="Heading1"/>
      </w:pPr>
      <w:r>
        <w:t xml:space="preserve">26. Recommended First 30 Days</w:t>
      </w:r>
    </w:p>
    <w:bookmarkStart w:id="260" w:name="week-1"/>
    <w:p>
      <w:pPr>
        <w:pStyle w:val="Heading2"/>
      </w:pPr>
      <w:r>
        <w:t xml:space="preserve">Week 1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202"/>
        </w:numPr>
      </w:pPr>
      <w:r>
        <w:t xml:space="preserve">One-page offer</w:t>
      </w:r>
    </w:p>
    <w:p>
      <w:pPr>
        <w:pStyle w:val="Compact"/>
        <w:numPr>
          <w:ilvl w:val="0"/>
          <w:numId w:val="1202"/>
        </w:numPr>
      </w:pPr>
      <w:r>
        <w:t xml:space="preserve">Site intake form</w:t>
      </w:r>
    </w:p>
    <w:p>
      <w:pPr>
        <w:pStyle w:val="Compact"/>
        <w:numPr>
          <w:ilvl w:val="0"/>
          <w:numId w:val="1202"/>
        </w:numPr>
      </w:pPr>
      <w:r>
        <w:t xml:space="preserve">Report outline</w:t>
      </w:r>
    </w:p>
    <w:p>
      <w:pPr>
        <w:pStyle w:val="Compact"/>
        <w:numPr>
          <w:ilvl w:val="0"/>
          <w:numId w:val="1202"/>
        </w:numPr>
      </w:pPr>
      <w:r>
        <w:t xml:space="preserve">Scoring rubric</w:t>
      </w:r>
    </w:p>
    <w:p>
      <w:pPr>
        <w:pStyle w:val="Compact"/>
        <w:numPr>
          <w:ilvl w:val="0"/>
          <w:numId w:val="1202"/>
        </w:numPr>
      </w:pPr>
      <w:r>
        <w:t xml:space="preserve">Data source checklist</w:t>
      </w:r>
    </w:p>
    <w:p>
      <w:pPr>
        <w:pStyle w:val="FirstParagraph"/>
      </w:pPr>
      <w:r>
        <w:t xml:space="preserve">Decide:</w:t>
      </w:r>
    </w:p>
    <w:p>
      <w:pPr>
        <w:pStyle w:val="Compact"/>
        <w:numPr>
          <w:ilvl w:val="0"/>
          <w:numId w:val="1203"/>
        </w:numPr>
      </w:pPr>
      <w:r>
        <w:t xml:space="preserve">ERCOT only</w:t>
      </w:r>
    </w:p>
    <w:p>
      <w:pPr>
        <w:pStyle w:val="Compact"/>
        <w:numPr>
          <w:ilvl w:val="0"/>
          <w:numId w:val="1203"/>
        </w:numPr>
      </w:pPr>
      <w:r>
        <w:t xml:space="preserve">75 MW+ large-load focus</w:t>
      </w:r>
    </w:p>
    <w:p>
      <w:pPr>
        <w:pStyle w:val="Compact"/>
        <w:numPr>
          <w:ilvl w:val="0"/>
          <w:numId w:val="1203"/>
        </w:numPr>
      </w:pPr>
      <w:r>
        <w:t xml:space="preserve">First customer segment: data-centre developers and infrastructure investors</w:t>
      </w:r>
    </w:p>
    <w:bookmarkEnd w:id="260"/>
    <w:bookmarkStart w:id="261" w:name="week-2"/>
    <w:p>
      <w:pPr>
        <w:pStyle w:val="Heading2"/>
      </w:pPr>
      <w:r>
        <w:t xml:space="preserve">Week 2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204"/>
        </w:numPr>
      </w:pPr>
      <w:r>
        <w:t xml:space="preserve">Manual report template</w:t>
      </w:r>
    </w:p>
    <w:p>
      <w:pPr>
        <w:pStyle w:val="Compact"/>
        <w:numPr>
          <w:ilvl w:val="0"/>
          <w:numId w:val="1204"/>
        </w:numPr>
      </w:pPr>
      <w:r>
        <w:t xml:space="preserve">Evidence appendix template</w:t>
      </w:r>
    </w:p>
    <w:p>
      <w:pPr>
        <w:pStyle w:val="Compact"/>
        <w:numPr>
          <w:ilvl w:val="0"/>
          <w:numId w:val="1204"/>
        </w:numPr>
      </w:pPr>
      <w:r>
        <w:t xml:space="preserve">Analyst checklist</w:t>
      </w:r>
    </w:p>
    <w:p>
      <w:pPr>
        <w:pStyle w:val="Compact"/>
        <w:numPr>
          <w:ilvl w:val="0"/>
          <w:numId w:val="1204"/>
        </w:numPr>
      </w:pPr>
      <w:r>
        <w:t xml:space="preserve">Risk scoring spreadsheet</w:t>
      </w:r>
    </w:p>
    <w:p>
      <w:pPr>
        <w:pStyle w:val="Compact"/>
        <w:numPr>
          <w:ilvl w:val="0"/>
          <w:numId w:val="1204"/>
        </w:numPr>
      </w:pPr>
      <w:r>
        <w:t xml:space="preserve">Sample map pack</w:t>
      </w:r>
    </w:p>
    <w:bookmarkEnd w:id="261"/>
    <w:bookmarkStart w:id="262" w:name="week-3"/>
    <w:p>
      <w:pPr>
        <w:pStyle w:val="Heading2"/>
      </w:pPr>
      <w:r>
        <w:t xml:space="preserve">Week 3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205"/>
        </w:numPr>
      </w:pPr>
      <w:r>
        <w:t xml:space="preserve">One sample site report</w:t>
      </w:r>
    </w:p>
    <w:p>
      <w:pPr>
        <w:pStyle w:val="Compact"/>
        <w:numPr>
          <w:ilvl w:val="0"/>
          <w:numId w:val="1205"/>
        </w:numPr>
      </w:pPr>
      <w:r>
        <w:t xml:space="preserve">One investor memo</w:t>
      </w:r>
    </w:p>
    <w:p>
      <w:pPr>
        <w:pStyle w:val="Compact"/>
        <w:numPr>
          <w:ilvl w:val="0"/>
          <w:numId w:val="1205"/>
        </w:numPr>
      </w:pPr>
      <w:r>
        <w:t xml:space="preserve">One sales deck or one-pager</w:t>
      </w:r>
    </w:p>
    <w:p>
      <w:pPr>
        <w:pStyle w:val="Compact"/>
        <w:numPr>
          <w:ilvl w:val="0"/>
          <w:numId w:val="1205"/>
        </w:numPr>
      </w:pPr>
      <w:r>
        <w:t xml:space="preserve">Outreach list of 50 prospects</w:t>
      </w:r>
    </w:p>
    <w:bookmarkEnd w:id="262"/>
    <w:bookmarkStart w:id="263" w:name="week-4"/>
    <w:p>
      <w:pPr>
        <w:pStyle w:val="Heading2"/>
      </w:pPr>
      <w:r>
        <w:t xml:space="preserve">Week 4</w:t>
      </w:r>
    </w:p>
    <w:p>
      <w:pPr>
        <w:pStyle w:val="FirstParagraph"/>
      </w:pPr>
      <w:r>
        <w:t xml:space="preserve">Do:</w:t>
      </w:r>
    </w:p>
    <w:p>
      <w:pPr>
        <w:pStyle w:val="Compact"/>
        <w:numPr>
          <w:ilvl w:val="0"/>
          <w:numId w:val="1206"/>
        </w:numPr>
      </w:pPr>
      <w:r>
        <w:t xml:space="preserve">20–30 customer conversations</w:t>
      </w:r>
    </w:p>
    <w:p>
      <w:pPr>
        <w:pStyle w:val="Compact"/>
        <w:numPr>
          <w:ilvl w:val="0"/>
          <w:numId w:val="1206"/>
        </w:numPr>
      </w:pPr>
      <w:r>
        <w:t xml:space="preserve">Offer paid pilot reports</w:t>
      </w:r>
    </w:p>
    <w:p>
      <w:pPr>
        <w:pStyle w:val="Compact"/>
        <w:numPr>
          <w:ilvl w:val="0"/>
          <w:numId w:val="1206"/>
        </w:numPr>
      </w:pPr>
      <w:r>
        <w:t xml:space="preserve">Refine based on objections</w:t>
      </w:r>
    </w:p>
    <w:p>
      <w:pPr>
        <w:pStyle w:val="Compact"/>
        <w:numPr>
          <w:ilvl w:val="0"/>
          <w:numId w:val="1206"/>
        </w:numPr>
      </w:pPr>
      <w:r>
        <w:t xml:space="preserve">Secure at least one pilot customer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8" w:name="recommended-first-90-days"/>
    <w:p>
      <w:pPr>
        <w:pStyle w:val="Heading1"/>
      </w:pPr>
      <w:r>
        <w:t xml:space="preserve">27. Recommended First 90 Days</w:t>
      </w:r>
    </w:p>
    <w:bookmarkStart w:id="265" w:name="days-130"/>
    <w:p>
      <w:pPr>
        <w:pStyle w:val="Heading2"/>
      </w:pPr>
      <w:r>
        <w:t xml:space="preserve">Days 1–30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and sell first version.</w:t>
      </w:r>
    </w:p>
    <w:p>
      <w:pPr>
        <w:pStyle w:val="BodyText"/>
      </w:pPr>
      <w:r>
        <w:t xml:space="preserve">Output:</w:t>
      </w:r>
    </w:p>
    <w:p>
      <w:pPr>
        <w:pStyle w:val="Compact"/>
        <w:numPr>
          <w:ilvl w:val="0"/>
          <w:numId w:val="1207"/>
        </w:numPr>
      </w:pPr>
      <w:r>
        <w:t xml:space="preserve">Sample report</w:t>
      </w:r>
    </w:p>
    <w:p>
      <w:pPr>
        <w:pStyle w:val="Compact"/>
        <w:numPr>
          <w:ilvl w:val="0"/>
          <w:numId w:val="1207"/>
        </w:numPr>
      </w:pPr>
      <w:r>
        <w:t xml:space="preserve">Outreach</w:t>
      </w:r>
    </w:p>
    <w:p>
      <w:pPr>
        <w:pStyle w:val="Compact"/>
        <w:numPr>
          <w:ilvl w:val="0"/>
          <w:numId w:val="1207"/>
        </w:numPr>
      </w:pPr>
      <w:r>
        <w:t xml:space="preserve">First pilot conversations</w:t>
      </w:r>
    </w:p>
    <w:bookmarkEnd w:id="265"/>
    <w:bookmarkStart w:id="266" w:name="days-3160"/>
    <w:p>
      <w:pPr>
        <w:pStyle w:val="Heading2"/>
      </w:pPr>
      <w:r>
        <w:t xml:space="preserve">Days 31–60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Deliver first paid reports manually.</w:t>
      </w:r>
    </w:p>
    <w:p>
      <w:pPr>
        <w:pStyle w:val="BodyText"/>
      </w:pPr>
      <w:r>
        <w:t xml:space="preserve">Output:</w:t>
      </w:r>
    </w:p>
    <w:p>
      <w:pPr>
        <w:pStyle w:val="Compact"/>
        <w:numPr>
          <w:ilvl w:val="0"/>
          <w:numId w:val="1208"/>
        </w:numPr>
      </w:pPr>
      <w:r>
        <w:t xml:space="preserve">1–3 paid reports</w:t>
      </w:r>
    </w:p>
    <w:p>
      <w:pPr>
        <w:pStyle w:val="Compact"/>
        <w:numPr>
          <w:ilvl w:val="0"/>
          <w:numId w:val="1208"/>
        </w:numPr>
      </w:pPr>
      <w:r>
        <w:t xml:space="preserve">Customer feedback</w:t>
      </w:r>
    </w:p>
    <w:p>
      <w:pPr>
        <w:pStyle w:val="Compact"/>
        <w:numPr>
          <w:ilvl w:val="0"/>
          <w:numId w:val="1208"/>
        </w:numPr>
      </w:pPr>
      <w:r>
        <w:t xml:space="preserve">Refined report template</w:t>
      </w:r>
    </w:p>
    <w:p>
      <w:pPr>
        <w:pStyle w:val="Compact"/>
        <w:numPr>
          <w:ilvl w:val="0"/>
          <w:numId w:val="1208"/>
        </w:numPr>
      </w:pPr>
      <w:r>
        <w:t xml:space="preserve">Refined scoring</w:t>
      </w:r>
    </w:p>
    <w:bookmarkEnd w:id="266"/>
    <w:bookmarkStart w:id="267" w:name="days-6190"/>
    <w:p>
      <w:pPr>
        <w:pStyle w:val="Heading2"/>
      </w:pPr>
      <w:r>
        <w:t xml:space="preserve">Days 61–90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Build internal software around repeated work.</w:t>
      </w:r>
    </w:p>
    <w:p>
      <w:pPr>
        <w:pStyle w:val="BodyText"/>
      </w:pPr>
      <w:r>
        <w:t xml:space="preserve">Output:</w:t>
      </w:r>
    </w:p>
    <w:p>
      <w:pPr>
        <w:pStyle w:val="Compact"/>
        <w:numPr>
          <w:ilvl w:val="0"/>
          <w:numId w:val="1209"/>
        </w:numPr>
      </w:pPr>
      <w:r>
        <w:t xml:space="preserve">Site database</w:t>
      </w:r>
    </w:p>
    <w:p>
      <w:pPr>
        <w:pStyle w:val="Compact"/>
        <w:numPr>
          <w:ilvl w:val="0"/>
          <w:numId w:val="1209"/>
        </w:numPr>
      </w:pPr>
      <w:r>
        <w:t xml:space="preserve">Analyst dashboard prototype</w:t>
      </w:r>
    </w:p>
    <w:p>
      <w:pPr>
        <w:pStyle w:val="Compact"/>
        <w:numPr>
          <w:ilvl w:val="0"/>
          <w:numId w:val="1209"/>
        </w:numPr>
      </w:pPr>
      <w:r>
        <w:t xml:space="preserve">GIS asset workflow</w:t>
      </w:r>
    </w:p>
    <w:p>
      <w:pPr>
        <w:pStyle w:val="Compact"/>
        <w:numPr>
          <w:ilvl w:val="0"/>
          <w:numId w:val="1209"/>
        </w:numPr>
      </w:pPr>
      <w:r>
        <w:t xml:space="preserve">Evidence library</w:t>
      </w:r>
    </w:p>
    <w:p>
      <w:pPr>
        <w:pStyle w:val="Compact"/>
        <w:numPr>
          <w:ilvl w:val="0"/>
          <w:numId w:val="1209"/>
        </w:numPr>
      </w:pPr>
      <w:r>
        <w:t xml:space="preserve">Draft report generator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definition-of-done-for-mvp-v1"/>
    <w:p>
      <w:pPr>
        <w:pStyle w:val="Heading1"/>
      </w:pPr>
      <w:r>
        <w:t xml:space="preserve">28. Definition of Done for MVP V1</w:t>
      </w:r>
    </w:p>
    <w:p>
      <w:pPr>
        <w:pStyle w:val="FirstParagraph"/>
      </w:pPr>
      <w:r>
        <w:t xml:space="preserve">The MVP V1 is done when:</w:t>
      </w:r>
    </w:p>
    <w:p>
      <w:pPr>
        <w:pStyle w:val="Compact"/>
        <w:numPr>
          <w:ilvl w:val="0"/>
          <w:numId w:val="1210"/>
        </w:numPr>
      </w:pPr>
      <w:r>
        <w:t xml:space="preserve">A customer can submit a site.</w:t>
      </w:r>
    </w:p>
    <w:p>
      <w:pPr>
        <w:pStyle w:val="Compact"/>
        <w:numPr>
          <w:ilvl w:val="0"/>
          <w:numId w:val="1210"/>
        </w:numPr>
      </w:pPr>
      <w:r>
        <w:t xml:space="preserve">GridReady can produce a full report.</w:t>
      </w:r>
    </w:p>
    <w:p>
      <w:pPr>
        <w:pStyle w:val="Compact"/>
        <w:numPr>
          <w:ilvl w:val="0"/>
          <w:numId w:val="1210"/>
        </w:numPr>
      </w:pPr>
      <w:r>
        <w:t xml:space="preserve">The report has a clear verdict.</w:t>
      </w:r>
    </w:p>
    <w:p>
      <w:pPr>
        <w:pStyle w:val="Compact"/>
        <w:numPr>
          <w:ilvl w:val="0"/>
          <w:numId w:val="1210"/>
        </w:numPr>
      </w:pPr>
      <w:r>
        <w:t xml:space="preserve">The report includes scoring.</w:t>
      </w:r>
    </w:p>
    <w:p>
      <w:pPr>
        <w:pStyle w:val="Compact"/>
        <w:numPr>
          <w:ilvl w:val="0"/>
          <w:numId w:val="1210"/>
        </w:numPr>
      </w:pPr>
      <w:r>
        <w:t xml:space="preserve">The report includes evidence.</w:t>
      </w:r>
    </w:p>
    <w:p>
      <w:pPr>
        <w:pStyle w:val="Compact"/>
        <w:numPr>
          <w:ilvl w:val="0"/>
          <w:numId w:val="1210"/>
        </w:numPr>
      </w:pPr>
      <w:r>
        <w:t xml:space="preserve">The report includes assumptions.</w:t>
      </w:r>
    </w:p>
    <w:p>
      <w:pPr>
        <w:pStyle w:val="Compact"/>
        <w:numPr>
          <w:ilvl w:val="0"/>
          <w:numId w:val="1210"/>
        </w:numPr>
      </w:pPr>
      <w:r>
        <w:t xml:space="preserve">The report includes interconnection-readiness checklist.</w:t>
      </w:r>
    </w:p>
    <w:p>
      <w:pPr>
        <w:pStyle w:val="Compact"/>
        <w:numPr>
          <w:ilvl w:val="0"/>
          <w:numId w:val="1210"/>
        </w:numPr>
      </w:pPr>
      <w:r>
        <w:t xml:space="preserve">The report includes reliability-risk checklist.</w:t>
      </w:r>
    </w:p>
    <w:p>
      <w:pPr>
        <w:pStyle w:val="Compact"/>
        <w:numPr>
          <w:ilvl w:val="0"/>
          <w:numId w:val="1210"/>
        </w:numPr>
      </w:pPr>
      <w:r>
        <w:t xml:space="preserve">The report includes flexibility assessment.</w:t>
      </w:r>
    </w:p>
    <w:p>
      <w:pPr>
        <w:pStyle w:val="Compact"/>
        <w:numPr>
          <w:ilvl w:val="0"/>
          <w:numId w:val="1210"/>
        </w:numPr>
      </w:pPr>
      <w:r>
        <w:t xml:space="preserve">The report includes investor/utility-ready memo.</w:t>
      </w:r>
    </w:p>
    <w:p>
      <w:pPr>
        <w:pStyle w:val="Compact"/>
        <w:numPr>
          <w:ilvl w:val="0"/>
          <w:numId w:val="1210"/>
        </w:numPr>
      </w:pPr>
      <w:r>
        <w:t xml:space="preserve">A human analyst approves the report.</w:t>
      </w:r>
    </w:p>
    <w:p>
      <w:pPr>
        <w:pStyle w:val="Compact"/>
        <w:numPr>
          <w:ilvl w:val="0"/>
          <w:numId w:val="1210"/>
        </w:numPr>
      </w:pPr>
      <w:r>
        <w:t xml:space="preserve">Expert review is captured where required.</w:t>
      </w:r>
    </w:p>
    <w:p>
      <w:pPr>
        <w:pStyle w:val="Compact"/>
        <w:numPr>
          <w:ilvl w:val="0"/>
          <w:numId w:val="1210"/>
        </w:numPr>
      </w:pPr>
      <w:r>
        <w:t xml:space="preserve">The customer receives a polished PDF.</w:t>
      </w:r>
    </w:p>
    <w:p>
      <w:pPr>
        <w:pStyle w:val="Compact"/>
        <w:numPr>
          <w:ilvl w:val="0"/>
          <w:numId w:val="1210"/>
        </w:numPr>
      </w:pPr>
      <w:r>
        <w:t xml:space="preserve">The workflow is repeatable for the next site.</w:t>
      </w:r>
    </w:p>
    <w:p>
      <w:pPr>
        <w:pStyle w:val="Compact"/>
        <w:numPr>
          <w:ilvl w:val="0"/>
          <w:numId w:val="1210"/>
        </w:numPr>
      </w:pPr>
      <w:r>
        <w:t xml:space="preserve">The system stores enough structured data to begin building a proprietary site-readiness dataset.</w:t>
      </w:r>
    </w:p>
    <w:p>
      <w:r>
        <w:pict>
          <v:rect style="width:0;height:1.5pt" o:hralign="center" o:hrstd="t" o:hr="t"/>
        </w:pict>
      </w:r>
    </w:p>
    <w:bookmarkEnd w:id="269"/>
    <w:bookmarkStart w:id="270" w:name="final-mvp-positioning"/>
    <w:p>
      <w:pPr>
        <w:pStyle w:val="Heading1"/>
      </w:pPr>
      <w:r>
        <w:t xml:space="preserve">29. Final MVP Positioning</w:t>
      </w:r>
    </w:p>
    <w:p>
      <w:pPr>
        <w:pStyle w:val="FirstParagraph"/>
      </w:pPr>
      <w:r>
        <w:t xml:space="preserve">The MVP should be described externally as:</w:t>
      </w:r>
    </w:p>
    <w:p>
      <w:pPr>
        <w:pStyle w:val="BodyText"/>
      </w:pPr>
      <w:r>
        <w:rPr>
          <w:b/>
          <w:bCs/>
        </w:rPr>
        <w:t xml:space="preserve">GridReady AI helps AI data-centre developers and infrastructure investors assess whether candidate sites are power-feasible, interconnection-ready, and grid-credible before committing serious capital.</w:t>
      </w:r>
    </w:p>
    <w:p>
      <w:pPr>
        <w:pStyle w:val="BodyText"/>
      </w:pPr>
      <w:r>
        <w:t xml:space="preserve">The first product should be described as:</w:t>
      </w:r>
    </w:p>
    <w:p>
      <w:pPr>
        <w:pStyle w:val="BodyText"/>
      </w:pPr>
      <w:r>
        <w:rPr>
          <w:b/>
          <w:bCs/>
        </w:rPr>
        <w:t xml:space="preserve">A power-feasibility and interconnection-readiness report for AI data-centre and large-load sites.</w:t>
      </w:r>
    </w:p>
    <w:p>
      <w:pPr>
        <w:pStyle w:val="BodyText"/>
      </w:pPr>
      <w:r>
        <w:t xml:space="preserve">The internal product principle should be:</w:t>
      </w:r>
    </w:p>
    <w:p>
      <w:pPr>
        <w:pStyle w:val="BodyText"/>
      </w:pPr>
      <w:r>
        <w:rPr>
          <w:b/>
          <w:bCs/>
        </w:rPr>
        <w:t xml:space="preserve">Do the expert workflow manually first, then software-automate the repeated parts.</w:t>
      </w:r>
    </w:p>
    <w:p>
      <w:pPr>
        <w:pStyle w:val="BodyText"/>
      </w:pPr>
      <w:r>
        <w:t xml:space="preserve">The company should not try to win by being a generic AI tool.</w:t>
      </w:r>
    </w:p>
    <w:p>
      <w:pPr>
        <w:pStyle w:val="BodyText"/>
      </w:pPr>
      <w:r>
        <w:t xml:space="preserve">It should win by becoming the trusted intelligence layer for time-to-power, interconnection readiness, and grid credibility in AI infrastructure development.</w:t>
      </w:r>
    </w:p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2026-06-11T10:21:38Z</dcterms:created>
  <dcterms:modified xsi:type="dcterms:W3CDTF">2026-06-11T10:21:38Z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