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ridready-ai-one-page-startup-thesis"/>
    <w:p>
      <w:pPr>
        <w:pStyle w:val="Heading1"/>
      </w:pPr>
      <w:r>
        <w:t xml:space="preserve">GridReady AI — One-Page Startup Thesis</w:t>
      </w:r>
    </w:p>
    <w:bookmarkStart w:id="20" w:name="company-thesis"/>
    <w:p>
      <w:pPr>
        <w:pStyle w:val="Heading2"/>
      </w:pPr>
      <w:r>
        <w:t xml:space="preserve">Company Thesis</w:t>
      </w:r>
    </w:p>
    <w:p>
      <w:pPr>
        <w:pStyle w:val="FirstParagraph"/>
      </w:pPr>
      <w:r>
        <w:rPr>
          <w:b/>
          <w:bCs/>
        </w:rPr>
        <w:t xml:space="preserve">GridReady AI helps AI data-centre developers, neoclouds, infrastructure investors, energy developers, and large-load customers determine where they can realistically secure power, how long interconnection may take, what grid/compliance risks could block them, and how to package projects so utilities, transmission providers, investors, and power partners can say yes faster.</w:t>
      </w:r>
    </w:p>
    <w:p>
      <w:pPr>
        <w:pStyle w:val="BodyText"/>
      </w:pPr>
      <w:r>
        <w:t xml:space="preserve">The central bottleneck in AI infrastructure is shifting from model capability and GPU access toward</w:t>
      </w:r>
      <w:r>
        <w:t xml:space="preserve"> </w:t>
      </w:r>
      <w:r>
        <w:rPr>
          <w:b/>
          <w:bCs/>
        </w:rPr>
        <w:t xml:space="preserve">time-to-power</w:t>
      </w:r>
      <w:r>
        <w:t xml:space="preserve">. AI data centres can be planned and constructed faster than grid infrastructure can be upgraded. As a result, developers are increasingly facing a new class of execution risk: land may be available, capital may be available, and compute demand may be strong — but the site may not be able to secure power quickly, reliably, or under acceptable commercial terms.</w:t>
      </w:r>
    </w:p>
    <w:p>
      <w:pPr>
        <w:pStyle w:val="BodyText"/>
      </w:pPr>
      <w:r>
        <w:t xml:space="preserve">GridReady AI exists to solve that problem.</w:t>
      </w:r>
    </w:p>
    <w:p>
      <w:pPr>
        <w:pStyle w:val="BodyText"/>
      </w:pPr>
      <w:r>
        <w:t xml:space="preserve">Our initial wedge is</w:t>
      </w:r>
      <w:r>
        <w:t xml:space="preserve"> </w:t>
      </w:r>
      <w:r>
        <w:rPr>
          <w:b/>
          <w:bCs/>
        </w:rPr>
        <w:t xml:space="preserve">large-load interconnection intelligence and readiness</w:t>
      </w:r>
      <w:r>
        <w:t xml:space="preserve">, starting with AI data-centre and GPU-cloud projects in constrained power markets. We help customers screen sites, evaluate grid risk, prepare interconnection-readiness packs, understand reliability obligations, model flexibility potential, and reduce the probability of wasting millions on sites that cannot get timely power.</w:t>
      </w:r>
    </w:p>
    <w:bookmarkEnd w:id="20"/>
    <w:bookmarkStart w:id="21" w:name="problem"/>
    <w:p>
      <w:pPr>
        <w:pStyle w:val="Heading2"/>
      </w:pPr>
      <w:r>
        <w:t xml:space="preserve">Problem</w:t>
      </w:r>
    </w:p>
    <w:p>
      <w:pPr>
        <w:pStyle w:val="FirstParagraph"/>
      </w:pPr>
      <w:r>
        <w:t xml:space="preserve">AI infrastructure growth is colliding with grid constraints. Developers are rushing to secure land, substations, power purchase agreements, and utility relationships, but the diligence process remains fragmented across consultants, utility conversations, public datasets, GIS tools, ISO/RTO documents, engineering studies, and manual spreadsheets.</w:t>
      </w:r>
    </w:p>
    <w:p>
      <w:pPr>
        <w:pStyle w:val="BodyText"/>
      </w:pPr>
      <w:r>
        <w:t xml:space="preserve">The result is slow, expensive, and error-prone decision-making.</w:t>
      </w:r>
    </w:p>
    <w:p>
      <w:pPr>
        <w:pStyle w:val="BodyText"/>
      </w:pPr>
      <w:r>
        <w:t xml:space="preserve">A developer considering a 100 MW–500 MW AI data-centre site needs to understand:</w:t>
      </w:r>
    </w:p>
    <w:p>
      <w:pPr>
        <w:pStyle w:val="Compact"/>
        <w:numPr>
          <w:ilvl w:val="0"/>
          <w:numId w:val="1001"/>
        </w:numPr>
      </w:pPr>
      <w:r>
        <w:t xml:space="preserve">whether nearby transmission and substations can support the load;</w:t>
      </w:r>
    </w:p>
    <w:p>
      <w:pPr>
        <w:pStyle w:val="Compact"/>
        <w:numPr>
          <w:ilvl w:val="0"/>
          <w:numId w:val="1001"/>
        </w:numPr>
      </w:pPr>
      <w:r>
        <w:t xml:space="preserve">whether the project qualifies for a large-load interconnection process;</w:t>
      </w:r>
    </w:p>
    <w:p>
      <w:pPr>
        <w:pStyle w:val="Compact"/>
        <w:numPr>
          <w:ilvl w:val="0"/>
          <w:numId w:val="1001"/>
        </w:numPr>
      </w:pPr>
      <w:r>
        <w:t xml:space="preserve">which utility, transmission service provider, or ISO/RTO process applies;</w:t>
      </w:r>
    </w:p>
    <w:p>
      <w:pPr>
        <w:pStyle w:val="Compact"/>
        <w:numPr>
          <w:ilvl w:val="0"/>
          <w:numId w:val="1001"/>
        </w:numPr>
      </w:pPr>
      <w:r>
        <w:t xml:space="preserve">what studies, forms, attestations, and commissioning plans are required;</w:t>
      </w:r>
    </w:p>
    <w:p>
      <w:pPr>
        <w:pStyle w:val="Compact"/>
        <w:numPr>
          <w:ilvl w:val="0"/>
          <w:numId w:val="1001"/>
        </w:numPr>
      </w:pPr>
      <w:r>
        <w:t xml:space="preserve">whether voltage/frequency ride-through requirements could become a blocker;</w:t>
      </w:r>
    </w:p>
    <w:p>
      <w:pPr>
        <w:pStyle w:val="Compact"/>
        <w:numPr>
          <w:ilvl w:val="0"/>
          <w:numId w:val="1001"/>
        </w:numPr>
      </w:pPr>
      <w:r>
        <w:t xml:space="preserve">whether the project can present itself as flexible or grid-supportive;</w:t>
      </w:r>
    </w:p>
    <w:p>
      <w:pPr>
        <w:pStyle w:val="Compact"/>
        <w:numPr>
          <w:ilvl w:val="0"/>
          <w:numId w:val="1001"/>
        </w:numPr>
      </w:pPr>
      <w:r>
        <w:t xml:space="preserve">whether power price, congestion, permitting, water, cooling, or community risk makes the site unattractive;</w:t>
      </w:r>
    </w:p>
    <w:p>
      <w:pPr>
        <w:pStyle w:val="Compact"/>
        <w:numPr>
          <w:ilvl w:val="0"/>
          <w:numId w:val="1001"/>
        </w:numPr>
      </w:pPr>
      <w:r>
        <w:t xml:space="preserve">whether the site is financeable before committing serious capital.</w:t>
      </w:r>
    </w:p>
    <w:p>
      <w:pPr>
        <w:pStyle w:val="FirstParagraph"/>
      </w:pPr>
      <w:r>
        <w:t xml:space="preserve">Today, this workflow is not well productised. It is handled through a combination of engineering consultants, energy-market advisors, internal development teams, manual GIS work, public filings, and relationship-driven utility conversations. That leaves room for a focused software/data company that turns large-load interconnection diligence into a repeatable, evidence-backed workflow.</w:t>
      </w:r>
    </w:p>
    <w:bookmarkEnd w:id="21"/>
    <w:bookmarkStart w:id="22" w:name="why-now"/>
    <w:p>
      <w:pPr>
        <w:pStyle w:val="Heading2"/>
      </w:pPr>
      <w:r>
        <w:t xml:space="preserve">Why Now</w:t>
      </w:r>
    </w:p>
    <w:p>
      <w:pPr>
        <w:pStyle w:val="FirstParagraph"/>
      </w:pPr>
      <w:r>
        <w:t xml:space="preserve">AI data-centre electricity demand is accelerating sharply. Global data-centre electricity consumption is projected to roughly double by 2030, and the most acute pressure is local rather than global: data centres concentrate load in specific regions, creating transmission, interconnection, reliability, and permitting bottlenecks.</w:t>
      </w:r>
    </w:p>
    <w:p>
      <w:pPr>
        <w:pStyle w:val="BodyText"/>
      </w:pPr>
      <w:r>
        <w:t xml:space="preserve">Texas is an early warning signal. ERCOT is tracking hundreds of gigawatts of large-load interconnection interest, the majority from data centres. At the same time, reliability concerns are rising because some large loads have failed voltage-disturbance tests or disconnected abruptly during grid events. This is forcing grid operators and regulators to tighten large-load interconnection and performance requirements.</w:t>
      </w:r>
    </w:p>
    <w:p>
      <w:pPr>
        <w:pStyle w:val="BodyText"/>
      </w:pPr>
      <w:r>
        <w:t xml:space="preserve">The market is therefore moving from</w:t>
      </w:r>
      <w:r>
        <w:t xml:space="preserve"> </w:t>
      </w:r>
      <w:r>
        <w:t xml:space="preserve">“Can we buy land and power?”</w:t>
      </w:r>
      <w:r>
        <w:t xml:space="preserve"> </w:t>
      </w:r>
      <w:r>
        <w:t xml:space="preserve">to:</w:t>
      </w:r>
    </w:p>
    <w:p>
      <w:pPr>
        <w:pStyle w:val="BodyText"/>
      </w:pPr>
      <w:r>
        <w:rPr>
          <w:b/>
          <w:bCs/>
        </w:rPr>
        <w:t xml:space="preserve">“Can we prove this AI data-centre load is grid-ready, financeable, and operationally acceptable?”</w:t>
      </w:r>
    </w:p>
    <w:p>
      <w:pPr>
        <w:pStyle w:val="BodyText"/>
      </w:pPr>
      <w:r>
        <w:t xml:space="preserve">That is the opening for GridReady AI.</w:t>
      </w:r>
    </w:p>
    <w:bookmarkEnd w:id="22"/>
    <w:bookmarkStart w:id="23" w:name="initial-product"/>
    <w:p>
      <w:pPr>
        <w:pStyle w:val="Heading2"/>
      </w:pPr>
      <w:r>
        <w:t xml:space="preserve">Initial Product</w:t>
      </w:r>
    </w:p>
    <w:p>
      <w:pPr>
        <w:pStyle w:val="FirstParagraph"/>
      </w:pPr>
      <w:r>
        <w:t xml:space="preserve">GridReady AI’s first product is a</w:t>
      </w:r>
      <w:r>
        <w:t xml:space="preserve"> </w:t>
      </w:r>
      <w:r>
        <w:rPr>
          <w:b/>
          <w:bCs/>
        </w:rPr>
        <w:t xml:space="preserve">Power Feasibility &amp; Interconnection Readiness Report</w:t>
      </w:r>
      <w:r>
        <w:t xml:space="preserve"> </w:t>
      </w:r>
      <w:r>
        <w:t xml:space="preserve">for AI data-centre and large-load sites.</w:t>
      </w:r>
    </w:p>
    <w:p>
      <w:pPr>
        <w:pStyle w:val="BodyText"/>
      </w:pPr>
      <w:r>
        <w:t xml:space="preserve">For any candidate site, GridReady AI provides:</w:t>
      </w:r>
    </w:p>
    <w:p>
      <w:pPr>
        <w:numPr>
          <w:ilvl w:val="0"/>
          <w:numId w:val="1002"/>
        </w:numPr>
      </w:pPr>
      <w:r>
        <w:rPr>
          <w:b/>
          <w:bCs/>
        </w:rPr>
        <w:t xml:space="preserve">Power Feasibility Score</w:t>
      </w:r>
      <w:r>
        <w:br/>
      </w:r>
      <w:r>
        <w:t xml:space="preserve">Assessment of nearby substations, transmission infrastructure, utility territory, likely point of interconnection, available power indicators, congestion risk, and time-to-power constraints.</w:t>
      </w:r>
    </w:p>
    <w:p>
      <w:pPr>
        <w:numPr>
          <w:ilvl w:val="0"/>
          <w:numId w:val="1002"/>
        </w:numPr>
      </w:pPr>
      <w:r>
        <w:rPr>
          <w:b/>
          <w:bCs/>
        </w:rPr>
        <w:t xml:space="preserve">Large-Load Interconnection Readiness Pack</w:t>
      </w:r>
      <w:r>
        <w:br/>
      </w:r>
      <w:r>
        <w:t xml:space="preserve">A structured checklist of required forms, studies, attestations, commissioning-plan requirements, project disclosures, financial-security considerations, and missing diligence items.</w:t>
      </w:r>
    </w:p>
    <w:p>
      <w:pPr>
        <w:numPr>
          <w:ilvl w:val="0"/>
          <w:numId w:val="1002"/>
        </w:numPr>
      </w:pPr>
      <w:r>
        <w:rPr>
          <w:b/>
          <w:bCs/>
        </w:rPr>
        <w:t xml:space="preserve">Grid Reliability Risk Assessment</w:t>
      </w:r>
      <w:r>
        <w:br/>
      </w:r>
      <w:r>
        <w:t xml:space="preserve">Review of voltage ride-through, frequency ride-through, protection settings, backup power assumptions, disturbance response, telemetry requirements, and potential reliability red flags.</w:t>
      </w:r>
    </w:p>
    <w:p>
      <w:pPr>
        <w:numPr>
          <w:ilvl w:val="0"/>
          <w:numId w:val="1002"/>
        </w:numPr>
      </w:pPr>
      <w:r>
        <w:rPr>
          <w:b/>
          <w:bCs/>
        </w:rPr>
        <w:t xml:space="preserve">Energy Economics &amp; Congestion View</w:t>
      </w:r>
      <w:r>
        <w:br/>
      </w:r>
      <w:r>
        <w:t xml:space="preserve">Power price zone, congestion exposure, nearby generation, potential behind-the-meter options, and indicative power-cost risk.</w:t>
      </w:r>
    </w:p>
    <w:p>
      <w:pPr>
        <w:numPr>
          <w:ilvl w:val="0"/>
          <w:numId w:val="1002"/>
        </w:numPr>
      </w:pPr>
      <w:r>
        <w:rPr>
          <w:b/>
          <w:bCs/>
        </w:rPr>
        <w:t xml:space="preserve">Flexibility &amp; Demand-Response Potential</w:t>
      </w:r>
      <w:r>
        <w:br/>
      </w:r>
      <w:r>
        <w:t xml:space="preserve">Assessment of whether the site could be positioned as a flexible large load through workload shifting, staged ramping, battery storage, backup generation, curtailment agreements, or demand-response participation.</w:t>
      </w:r>
    </w:p>
    <w:p>
      <w:pPr>
        <w:numPr>
          <w:ilvl w:val="0"/>
          <w:numId w:val="1002"/>
        </w:numPr>
      </w:pPr>
      <w:r>
        <w:rPr>
          <w:b/>
          <w:bCs/>
        </w:rPr>
        <w:t xml:space="preserve">Investor/Utility-Ready Memo</w:t>
      </w:r>
      <w:r>
        <w:br/>
      </w:r>
      <w:r>
        <w:t xml:space="preserve">Plain-English summary of the site’s strengths, weaknesses, unresolved risks, and recommended next steps for developers, investors, utilities, and power partners.</w:t>
      </w:r>
    </w:p>
    <w:p>
      <w:pPr>
        <w:pStyle w:val="FirstParagraph"/>
      </w:pPr>
      <w:r>
        <w:t xml:space="preserve">The first version can be delivered as a semi-automated report supported by software, GIS layers, public ISO/RTO data, regulatory documents, market data, and expert review. The product should begin services-heavy, then evolve into a SaaS platform as workflows repeat.</w:t>
      </w:r>
    </w:p>
    <w:bookmarkEnd w:id="23"/>
    <w:bookmarkStart w:id="24" w:name="target-customer"/>
    <w:p>
      <w:pPr>
        <w:pStyle w:val="Heading2"/>
      </w:pPr>
      <w:r>
        <w:t xml:space="preserve">Target Customer</w:t>
      </w:r>
    </w:p>
    <w:p>
      <w:pPr>
        <w:pStyle w:val="FirstParagraph"/>
      </w:pPr>
      <w:r>
        <w:t xml:space="preserve">GridReady AI should initially target serious but underserved infrastructure participants below the hyperscaler tier:</w:t>
      </w:r>
    </w:p>
    <w:p>
      <w:pPr>
        <w:pStyle w:val="Compact"/>
        <w:numPr>
          <w:ilvl w:val="0"/>
          <w:numId w:val="1003"/>
        </w:numPr>
      </w:pPr>
      <w:r>
        <w:t xml:space="preserve">AI data-centre developers;</w:t>
      </w:r>
    </w:p>
    <w:p>
      <w:pPr>
        <w:pStyle w:val="Compact"/>
        <w:numPr>
          <w:ilvl w:val="0"/>
          <w:numId w:val="1003"/>
        </w:numPr>
      </w:pPr>
      <w:r>
        <w:t xml:space="preserve">neocloud and GPU-cloud operators;</w:t>
      </w:r>
    </w:p>
    <w:p>
      <w:pPr>
        <w:pStyle w:val="Compact"/>
        <w:numPr>
          <w:ilvl w:val="0"/>
          <w:numId w:val="1003"/>
        </w:numPr>
      </w:pPr>
      <w:r>
        <w:t xml:space="preserve">infrastructure funds;</w:t>
      </w:r>
    </w:p>
    <w:p>
      <w:pPr>
        <w:pStyle w:val="Compact"/>
        <w:numPr>
          <w:ilvl w:val="0"/>
          <w:numId w:val="1003"/>
        </w:numPr>
      </w:pPr>
      <w:r>
        <w:t xml:space="preserve">energy developers seeking large-load offtakers;</w:t>
      </w:r>
    </w:p>
    <w:p>
      <w:pPr>
        <w:pStyle w:val="Compact"/>
        <w:numPr>
          <w:ilvl w:val="0"/>
          <w:numId w:val="1003"/>
        </w:numPr>
      </w:pPr>
      <w:r>
        <w:t xml:space="preserve">industrial landowners trying to market sites for data-centre use;</w:t>
      </w:r>
    </w:p>
    <w:p>
      <w:pPr>
        <w:pStyle w:val="Compact"/>
        <w:numPr>
          <w:ilvl w:val="0"/>
          <w:numId w:val="1003"/>
        </w:numPr>
      </w:pPr>
      <w:r>
        <w:t xml:space="preserve">engineering and interconnection consultants;</w:t>
      </w:r>
    </w:p>
    <w:p>
      <w:pPr>
        <w:pStyle w:val="Compact"/>
        <w:numPr>
          <w:ilvl w:val="0"/>
          <w:numId w:val="1003"/>
        </w:numPr>
      </w:pPr>
      <w:r>
        <w:t xml:space="preserve">utilities facing large-load request backlogs.</w:t>
      </w:r>
    </w:p>
    <w:p>
      <w:pPr>
        <w:pStyle w:val="FirstParagraph"/>
      </w:pPr>
      <w:r>
        <w:t xml:space="preserve">The first customer profile should be:</w:t>
      </w:r>
    </w:p>
    <w:p>
      <w:pPr>
        <w:pStyle w:val="BodyText"/>
      </w:pPr>
      <w:r>
        <w:rPr>
          <w:b/>
          <w:bCs/>
        </w:rPr>
        <w:t xml:space="preserve">A small-to-mid-sized data-centre developer, infrastructure investor, or energy developer evaluating multiple candidate sites and needing to avoid wasting capital on locations that cannot secure timely power.</w:t>
      </w:r>
    </w:p>
    <w:bookmarkEnd w:id="24"/>
    <w:bookmarkStart w:id="25" w:name="wedge"/>
    <w:p>
      <w:pPr>
        <w:pStyle w:val="Heading2"/>
      </w:pPr>
      <w:r>
        <w:t xml:space="preserve">Wedge</w:t>
      </w:r>
    </w:p>
    <w:p>
      <w:pPr>
        <w:pStyle w:val="FirstParagraph"/>
      </w:pPr>
      <w:r>
        <w:t xml:space="preserve">GridReady AI should not begin as a full</w:t>
      </w:r>
      <w:r>
        <w:t xml:space="preserve"> </w:t>
      </w:r>
      <w:r>
        <w:t xml:space="preserve">“AI energy operating system.”</w:t>
      </w:r>
      <w:r>
        <w:t xml:space="preserve"> </w:t>
      </w:r>
      <w:r>
        <w:t xml:space="preserve">That is too broad and requires deep operational access to live data-centre workloads.</w:t>
      </w:r>
    </w:p>
    <w:p>
      <w:pPr>
        <w:pStyle w:val="BodyText"/>
      </w:pPr>
      <w:r>
        <w:t xml:space="preserve">The correct wedge is:</w:t>
      </w:r>
    </w:p>
    <w:p>
      <w:pPr>
        <w:pStyle w:val="BodyText"/>
      </w:pPr>
      <w:r>
        <w:rPr>
          <w:b/>
          <w:bCs/>
        </w:rPr>
        <w:t xml:space="preserve">“Before you buy land, submit an interconnection request, or underwrite a data-centre project, GridReady AI tells you whether the site is power-feasible, interconnection-ready, and grid-credible.”</w:t>
      </w:r>
    </w:p>
    <w:p>
      <w:pPr>
        <w:pStyle w:val="BodyText"/>
      </w:pPr>
      <w:r>
        <w:t xml:space="preserve">This wedge is concrete, urgent, and monetisable. It does not require the company to control live GPUs on day one. It starts where customer pain already exists: early-stage site diligence and large-load interconnection risk.</w:t>
      </w:r>
    </w:p>
    <w:bookmarkEnd w:id="25"/>
    <w:bookmarkStart w:id="26" w:name="business-model"/>
    <w:p>
      <w:pPr>
        <w:pStyle w:val="Heading2"/>
      </w:pPr>
      <w:r>
        <w:t xml:space="preserve">Business Model</w:t>
      </w:r>
    </w:p>
    <w:p>
      <w:pPr>
        <w:pStyle w:val="FirstParagraph"/>
      </w:pPr>
      <w:r>
        <w:t xml:space="preserve">Initial monetisation should be project/report based:</w:t>
      </w:r>
    </w:p>
    <w:p>
      <w:pPr>
        <w:pStyle w:val="Compact"/>
        <w:numPr>
          <w:ilvl w:val="0"/>
          <w:numId w:val="1004"/>
        </w:numPr>
      </w:pPr>
      <w:r>
        <w:t xml:space="preserve">single-site feasibility report: $5,000–$15,000;</w:t>
      </w:r>
    </w:p>
    <w:p>
      <w:pPr>
        <w:pStyle w:val="Compact"/>
        <w:numPr>
          <w:ilvl w:val="0"/>
          <w:numId w:val="1004"/>
        </w:numPr>
      </w:pPr>
      <w:r>
        <w:t xml:space="preserve">multi-site screening pack: $25,000–$75,000;</w:t>
      </w:r>
    </w:p>
    <w:p>
      <w:pPr>
        <w:pStyle w:val="Compact"/>
        <w:numPr>
          <w:ilvl w:val="0"/>
          <w:numId w:val="1004"/>
        </w:numPr>
      </w:pPr>
      <w:r>
        <w:t xml:space="preserve">interconnection-readiness / investor underwriting pack: $25,000–$100,000+;</w:t>
      </w:r>
    </w:p>
    <w:p>
      <w:pPr>
        <w:pStyle w:val="Compact"/>
        <w:numPr>
          <w:ilvl w:val="0"/>
          <w:numId w:val="1004"/>
        </w:numPr>
      </w:pPr>
      <w:r>
        <w:t xml:space="preserve">strategic developer or fund retainer: $5,000–$25,000/month.</w:t>
      </w:r>
    </w:p>
    <w:p>
      <w:pPr>
        <w:pStyle w:val="FirstParagraph"/>
      </w:pPr>
      <w:r>
        <w:t xml:space="preserve">As the dataset and workflow mature, GridReady AI can convert into a subscription platform:</w:t>
      </w:r>
    </w:p>
    <w:p>
      <w:pPr>
        <w:pStyle w:val="Compact"/>
        <w:numPr>
          <w:ilvl w:val="0"/>
          <w:numId w:val="1005"/>
        </w:numPr>
      </w:pPr>
      <w:r>
        <w:t xml:space="preserve">SaaS licence for developers and investors;</w:t>
      </w:r>
    </w:p>
    <w:p>
      <w:pPr>
        <w:pStyle w:val="Compact"/>
        <w:numPr>
          <w:ilvl w:val="0"/>
          <w:numId w:val="1005"/>
        </w:numPr>
      </w:pPr>
      <w:r>
        <w:t xml:space="preserve">data/API access for infrastructure teams;</w:t>
      </w:r>
    </w:p>
    <w:p>
      <w:pPr>
        <w:pStyle w:val="Compact"/>
        <w:numPr>
          <w:ilvl w:val="0"/>
          <w:numId w:val="1005"/>
        </w:numPr>
      </w:pPr>
      <w:r>
        <w:t xml:space="preserve">premium modules for ISO/RTO markets;</w:t>
      </w:r>
    </w:p>
    <w:p>
      <w:pPr>
        <w:pStyle w:val="Compact"/>
        <w:numPr>
          <w:ilvl w:val="0"/>
          <w:numId w:val="1005"/>
        </w:numPr>
      </w:pPr>
      <w:r>
        <w:t xml:space="preserve">utility-facing large-load pipeline analytics;</w:t>
      </w:r>
    </w:p>
    <w:p>
      <w:pPr>
        <w:pStyle w:val="Compact"/>
        <w:numPr>
          <w:ilvl w:val="0"/>
          <w:numId w:val="1005"/>
        </w:numPr>
      </w:pPr>
      <w:r>
        <w:t xml:space="preserve">flexibility modelling and demand-response readiness;</w:t>
      </w:r>
    </w:p>
    <w:p>
      <w:pPr>
        <w:pStyle w:val="Compact"/>
        <w:numPr>
          <w:ilvl w:val="0"/>
          <w:numId w:val="1005"/>
        </w:numPr>
      </w:pPr>
      <w:r>
        <w:t xml:space="preserve">eventually, operational workload/power optimisation for live AI clusters.</w:t>
      </w:r>
    </w:p>
    <w:bookmarkEnd w:id="26"/>
    <w:bookmarkStart w:id="27" w:name="competitive-positioning"/>
    <w:p>
      <w:pPr>
        <w:pStyle w:val="Heading2"/>
      </w:pPr>
      <w:r>
        <w:t xml:space="preserve">Competitive Positioning</w:t>
      </w:r>
    </w:p>
    <w:p>
      <w:pPr>
        <w:pStyle w:val="FirstParagraph"/>
      </w:pPr>
      <w:r>
        <w:t xml:space="preserve">GridReady AI is not a generic GIS platform, not a traditional engineering consultant, and not a broad energy-market data terminal.</w:t>
      </w:r>
    </w:p>
    <w:p>
      <w:pPr>
        <w:pStyle w:val="BodyText"/>
      </w:pPr>
      <w:r>
        <w:t xml:space="preserve">The positioning is:</w:t>
      </w:r>
    </w:p>
    <w:p>
      <w:pPr>
        <w:pStyle w:val="BodyText"/>
      </w:pPr>
      <w:r>
        <w:rPr>
          <w:b/>
          <w:bCs/>
        </w:rPr>
        <w:t xml:space="preserve">“The interconnection-readiness and power-feasibility intelligence layer for AI data-centre and large-load development.”</w:t>
      </w:r>
    </w:p>
    <w:p>
      <w:pPr>
        <w:pStyle w:val="BodyText"/>
      </w:pPr>
      <w:r>
        <w:t xml:space="preserve">Existing alternatives are fragmented. Developers may use consultants, utility meetings, ISO/RTO filings, power-market tools, internal spreadsheets, and GIS overlays. GridReady AI’s opportunity is to integrate these into a focused workflow that speaks the language of AI infrastructure, large-load interconnection, grid reliability, and project finance.</w:t>
      </w:r>
    </w:p>
    <w:bookmarkEnd w:id="27"/>
    <w:bookmarkStart w:id="28" w:name="long-term-vision"/>
    <w:p>
      <w:pPr>
        <w:pStyle w:val="Heading2"/>
      </w:pPr>
      <w:r>
        <w:t xml:space="preserve">Long-Term Vision</w:t>
      </w:r>
    </w:p>
    <w:p>
      <w:pPr>
        <w:pStyle w:val="FirstParagraph"/>
      </w:pPr>
      <w:r>
        <w:t xml:space="preserve">The long-term opportunity is to become the</w:t>
      </w:r>
      <w:r>
        <w:t xml:space="preserve"> </w:t>
      </w:r>
      <w:r>
        <w:rPr>
          <w:b/>
          <w:bCs/>
        </w:rPr>
        <w:t xml:space="preserve">system of record for AI infrastructure power readiness</w:t>
      </w:r>
      <w:r>
        <w:t xml:space="preserve">.</w:t>
      </w:r>
    </w:p>
    <w:p>
      <w:pPr>
        <w:pStyle w:val="BodyText"/>
      </w:pPr>
      <w:r>
        <w:t xml:space="preserve">Starting with site feasibility and interconnection readiness, GridReady AI can expand into:</w:t>
      </w:r>
    </w:p>
    <w:p>
      <w:pPr>
        <w:pStyle w:val="Compact"/>
        <w:numPr>
          <w:ilvl w:val="0"/>
          <w:numId w:val="1006"/>
        </w:numPr>
      </w:pPr>
      <w:r>
        <w:t xml:space="preserve">market-wide large-load pipeline intelligence;</w:t>
      </w:r>
    </w:p>
    <w:p>
      <w:pPr>
        <w:pStyle w:val="Compact"/>
        <w:numPr>
          <w:ilvl w:val="0"/>
          <w:numId w:val="1006"/>
        </w:numPr>
      </w:pPr>
      <w:r>
        <w:t xml:space="preserve">site screening and ranking;</w:t>
      </w:r>
    </w:p>
    <w:p>
      <w:pPr>
        <w:pStyle w:val="Compact"/>
        <w:numPr>
          <w:ilvl w:val="0"/>
          <w:numId w:val="1006"/>
        </w:numPr>
      </w:pPr>
      <w:r>
        <w:t xml:space="preserve">utility and ISO/RTO submission workflow;</w:t>
      </w:r>
    </w:p>
    <w:p>
      <w:pPr>
        <w:pStyle w:val="Compact"/>
        <w:numPr>
          <w:ilvl w:val="0"/>
          <w:numId w:val="1006"/>
        </w:numPr>
      </w:pPr>
      <w:r>
        <w:t xml:space="preserve">grid-reliability compliance tracking;</w:t>
      </w:r>
    </w:p>
    <w:p>
      <w:pPr>
        <w:pStyle w:val="Compact"/>
        <w:numPr>
          <w:ilvl w:val="0"/>
          <w:numId w:val="1006"/>
        </w:numPr>
      </w:pPr>
      <w:r>
        <w:t xml:space="preserve">flexibility and curtailment modelling;</w:t>
      </w:r>
    </w:p>
    <w:p>
      <w:pPr>
        <w:pStyle w:val="Compact"/>
        <w:numPr>
          <w:ilvl w:val="0"/>
          <w:numId w:val="1006"/>
        </w:numPr>
      </w:pPr>
      <w:r>
        <w:t xml:space="preserve">power procurement and generation-matching;</w:t>
      </w:r>
    </w:p>
    <w:p>
      <w:pPr>
        <w:pStyle w:val="Compact"/>
        <w:numPr>
          <w:ilvl w:val="0"/>
          <w:numId w:val="1006"/>
        </w:numPr>
      </w:pPr>
      <w:r>
        <w:t xml:space="preserve">demand-response valuation;</w:t>
      </w:r>
    </w:p>
    <w:p>
      <w:pPr>
        <w:pStyle w:val="Compact"/>
        <w:numPr>
          <w:ilvl w:val="0"/>
          <w:numId w:val="1006"/>
        </w:numPr>
      </w:pPr>
      <w:r>
        <w:t xml:space="preserve">operational compute-energy optimisation.</w:t>
      </w:r>
    </w:p>
    <w:p>
      <w:pPr>
        <w:pStyle w:val="FirstParagraph"/>
      </w:pPr>
      <w:r>
        <w:t xml:space="preserve">The eventual vision is not just helping customers find sites. It is helping the market coordinate the growth of AI compute with the physical realities of the power grid.</w:t>
      </w:r>
    </w:p>
    <w:bookmarkEnd w:id="28"/>
    <w:bookmarkStart w:id="29" w:name="core-belief"/>
    <w:p>
      <w:pPr>
        <w:pStyle w:val="Heading2"/>
      </w:pPr>
      <w:r>
        <w:t xml:space="preserve">Core Belief</w:t>
      </w:r>
    </w:p>
    <w:p>
      <w:pPr>
        <w:pStyle w:val="FirstParagraph"/>
      </w:pPr>
      <w:r>
        <w:t xml:space="preserve">AI infrastructure will increasingly be won by the players who can secure power fastest, prove grid compatibility, and design flexible large-load operations. GridReady AI’s thesis is that</w:t>
      </w:r>
      <w:r>
        <w:t xml:space="preserve"> </w:t>
      </w:r>
      <w:r>
        <w:rPr>
          <w:b/>
          <w:bCs/>
        </w:rPr>
        <w:t xml:space="preserve">time-to-power will become one of the most valuable forms of intelligence in the AI infrastructure economy</w:t>
      </w:r>
      <w:r>
        <w:t xml:space="preserve">.</w:t>
      </w:r>
    </w:p>
    <w:p>
      <w:pPr>
        <w:pStyle w:val="BodyText"/>
      </w:pPr>
      <w:r>
        <w:t xml:space="preserve">GridReady AI will build the data, software, and workflow layer that makes that intelligence actionable.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2026-06-10T13:10:43Z</dcterms:created>
  <dcterms:modified xsi:type="dcterms:W3CDTF">2026-06-10T13:10:43Z</dcterms:modified>
</cp:coreProperties>
</file>

<file path=docProps/custom.xml><?xml version="1.0" encoding="utf-8"?>
<Properties xmlns="http://schemas.openxmlformats.org/officeDocument/2006/custom-properties" xmlns:vt="http://schemas.openxmlformats.org/officeDocument/2006/docPropsVTypes"/>
</file>