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423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368"/>
        <w:gridCol w:w="1800"/>
        <w:gridCol w:w="2790"/>
        <w:gridCol w:w="2880"/>
        <w:gridCol w:w="1890"/>
        <w:gridCol w:w="1980"/>
        <w:gridCol w:w="1530"/>
      </w:tblGrid>
      <w:tr w:rsidR="00754441" w:rsidRPr="008828DE" w:rsidTr="00A169CE">
        <w:trPr>
          <w:cnfStyle w:val="100000000000"/>
          <w:trHeight w:val="638"/>
        </w:trPr>
        <w:tc>
          <w:tcPr>
            <w:cnfStyle w:val="001000000000"/>
            <w:tcW w:w="14238" w:type="dxa"/>
            <w:gridSpan w:val="7"/>
            <w:shd w:val="clear" w:color="auto" w:fill="auto"/>
          </w:tcPr>
          <w:p w:rsidR="00754441" w:rsidRPr="00A169CE" w:rsidRDefault="00080DCE" w:rsidP="00704A5D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A169CE">
              <w:rPr>
                <w:rFonts w:ascii="Arial" w:hAnsi="Arial" w:cs="Arial"/>
                <w:color w:val="auto"/>
                <w:sz w:val="28"/>
                <w:szCs w:val="28"/>
              </w:rPr>
              <w:t xml:space="preserve">Store Management </w:t>
            </w:r>
            <w:r w:rsidR="00704A5D">
              <w:rPr>
                <w:rFonts w:ascii="Arial" w:hAnsi="Arial" w:cs="Arial"/>
                <w:color w:val="auto"/>
                <w:sz w:val="28"/>
                <w:szCs w:val="28"/>
              </w:rPr>
              <w:t xml:space="preserve">– Urban – </w:t>
            </w:r>
            <w:proofErr w:type="spellStart"/>
            <w:r w:rsidR="00754441" w:rsidRPr="00A169CE">
              <w:rPr>
                <w:rFonts w:ascii="Arial" w:hAnsi="Arial" w:cs="Arial"/>
                <w:color w:val="auto"/>
                <w:sz w:val="28"/>
                <w:szCs w:val="28"/>
              </w:rPr>
              <w:t>Elecssories</w:t>
            </w:r>
            <w:proofErr w:type="spellEnd"/>
          </w:p>
        </w:tc>
      </w:tr>
      <w:tr w:rsidR="004B4B12" w:rsidRPr="0066269D" w:rsidTr="002E3394">
        <w:trPr>
          <w:cnfStyle w:val="000000100000"/>
          <w:trHeight w:val="403"/>
        </w:trPr>
        <w:tc>
          <w:tcPr>
            <w:cnfStyle w:val="001000000000"/>
            <w:tcW w:w="10728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4B4B12" w:rsidRPr="002D430D" w:rsidRDefault="004B4B12" w:rsidP="009B463B">
            <w:pPr>
              <w:rPr>
                <w:rFonts w:ascii="Arial" w:hAnsi="Arial" w:cs="Arial"/>
                <w:b w:val="0"/>
                <w:bCs w:val="0"/>
                <w:color w:val="000000" w:themeColor="text1"/>
                <w:szCs w:val="21"/>
              </w:rPr>
            </w:pPr>
          </w:p>
        </w:tc>
        <w:tc>
          <w:tcPr>
            <w:tcW w:w="351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B4B12" w:rsidRDefault="004B4B12" w:rsidP="00F64FF5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Promotions</w:t>
            </w:r>
          </w:p>
        </w:tc>
      </w:tr>
      <w:tr w:rsidR="00820615" w:rsidRPr="0066269D" w:rsidTr="005D13AE">
        <w:trPr>
          <w:trHeight w:val="337"/>
        </w:trPr>
        <w:tc>
          <w:tcPr>
            <w:cnfStyle w:val="001000000000"/>
            <w:tcW w:w="3168" w:type="dxa"/>
            <w:gridSpan w:val="2"/>
            <w:shd w:val="clear" w:color="auto" w:fill="FFFFFF" w:themeFill="background1"/>
          </w:tcPr>
          <w:p w:rsidR="00820615" w:rsidRPr="004C6BDE" w:rsidRDefault="00820615" w:rsidP="005725EF">
            <w:pPr>
              <w:rPr>
                <w:rFonts w:ascii="Arial" w:hAnsi="Arial" w:cs="Arial"/>
                <w:b w:val="0"/>
                <w:bCs w:val="0"/>
                <w:szCs w:val="21"/>
              </w:rPr>
            </w:pPr>
            <w:r>
              <w:rPr>
                <w:rFonts w:ascii="Arial" w:hAnsi="Arial" w:cs="Arial"/>
                <w:szCs w:val="21"/>
              </w:rPr>
              <w:t>Brands</w:t>
            </w:r>
          </w:p>
        </w:tc>
        <w:tc>
          <w:tcPr>
            <w:tcW w:w="279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A1222">
              <w:rPr>
                <w:rFonts w:ascii="Arial" w:hAnsi="Arial" w:cs="Arial"/>
                <w:color w:val="000000" w:themeColor="text1"/>
                <w:szCs w:val="21"/>
              </w:rPr>
              <w:t>Order Volumes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(units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mln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>)</w:t>
            </w:r>
          </w:p>
        </w:tc>
        <w:tc>
          <w:tcPr>
            <w:tcW w:w="2880" w:type="dxa"/>
            <w:shd w:val="clear" w:color="auto" w:fill="FFFFFF" w:themeFill="background1"/>
          </w:tcPr>
          <w:p w:rsidR="00820615" w:rsidRPr="000C62EA" w:rsidRDefault="00820615" w:rsidP="005725EF">
            <w:pPr>
              <w:jc w:val="center"/>
              <w:cnfStyle w:val="000000000000"/>
              <w:rPr>
                <w:rFonts w:ascii="Arial" w:hAnsi="Arial" w:cs="Arial"/>
                <w:color w:val="000000" w:themeColor="text1"/>
                <w:szCs w:val="21"/>
              </w:rPr>
            </w:pPr>
            <w:r w:rsidRPr="000C62EA">
              <w:rPr>
                <w:rFonts w:ascii="Arial" w:hAnsi="Arial" w:cs="Arial"/>
                <w:color w:val="000000" w:themeColor="text1"/>
                <w:szCs w:val="21"/>
              </w:rPr>
              <w:t>Shelf Space Allocation (%)</w:t>
            </w:r>
          </w:p>
        </w:tc>
        <w:tc>
          <w:tcPr>
            <w:tcW w:w="189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Retail Prices ($)</w:t>
            </w:r>
          </w:p>
        </w:tc>
        <w:tc>
          <w:tcPr>
            <w:tcW w:w="198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Frequency (Days)</w:t>
            </w:r>
          </w:p>
        </w:tc>
        <w:tc>
          <w:tcPr>
            <w:tcW w:w="1530" w:type="dxa"/>
            <w:shd w:val="clear" w:color="auto" w:fill="FFFFFF" w:themeFill="background1"/>
          </w:tcPr>
          <w:p w:rsidR="00820615" w:rsidRPr="00200ECA" w:rsidRDefault="00820615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6735B1">
              <w:rPr>
                <w:rFonts w:ascii="Arial" w:hAnsi="Arial" w:cs="Arial"/>
                <w:color w:val="000000" w:themeColor="text1"/>
                <w:szCs w:val="21"/>
              </w:rPr>
              <w:t>Depth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 xml:space="preserve"> (%)</w:t>
            </w:r>
          </w:p>
        </w:tc>
      </w:tr>
      <w:tr w:rsidR="00810EBE" w:rsidRPr="00C14AA0" w:rsidTr="002E3394">
        <w:trPr>
          <w:cnfStyle w:val="000000100000"/>
          <w:trHeight w:val="337"/>
        </w:trPr>
        <w:tc>
          <w:tcPr>
            <w:cnfStyle w:val="001000000000"/>
            <w:tcW w:w="31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11B36" w:rsidRDefault="005725EF" w:rsidP="000167CD">
            <w:pPr>
              <w:jc w:val="right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5725EF" w:rsidRPr="0066269D" w:rsidRDefault="005725EF" w:rsidP="005725EF">
            <w:pPr>
              <w:jc w:val="left"/>
              <w:cnfStyle w:val="000000100000"/>
              <w:rPr>
                <w:rFonts w:ascii="Arial" w:hAnsi="Arial" w:cs="Arial"/>
                <w:b/>
                <w:bCs/>
                <w:color w:val="262626" w:themeColor="text1" w:themeTint="D9"/>
                <w:szCs w:val="21"/>
              </w:rPr>
            </w:pPr>
          </w:p>
        </w:tc>
      </w:tr>
      <w:tr w:rsidR="000C62EA" w:rsidRPr="00C14AA0" w:rsidTr="00810EBE">
        <w:trPr>
          <w:trHeight w:val="326"/>
        </w:trPr>
        <w:tc>
          <w:tcPr>
            <w:cnfStyle w:val="001000000000"/>
            <w:tcW w:w="1368" w:type="dxa"/>
            <w:shd w:val="clear" w:color="auto" w:fill="DFF0D8"/>
            <w:vAlign w:val="center"/>
          </w:tcPr>
          <w:p w:rsidR="005725EF" w:rsidRPr="006062B1" w:rsidRDefault="005725EF" w:rsidP="005725EF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shd w:val="clear" w:color="auto" w:fill="DFF0D8"/>
            <w:vAlign w:val="center"/>
          </w:tcPr>
          <w:p w:rsidR="005725EF" w:rsidRPr="002D430D" w:rsidRDefault="005725EF" w:rsidP="005725E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2790" w:type="dxa"/>
            <w:shd w:val="clear" w:color="auto" w:fill="DFF0D8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880" w:type="dxa"/>
            <w:shd w:val="clear" w:color="auto" w:fill="DFF0D8"/>
          </w:tcPr>
          <w:p w:rsidR="005725EF" w:rsidRPr="008B1185" w:rsidRDefault="00512B87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25</w:t>
            </w:r>
          </w:p>
        </w:tc>
        <w:tc>
          <w:tcPr>
            <w:tcW w:w="1890" w:type="dxa"/>
            <w:shd w:val="clear" w:color="auto" w:fill="DFF0D8"/>
          </w:tcPr>
          <w:p w:rsidR="005725EF" w:rsidRPr="00736656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11.0</w:t>
            </w:r>
          </w:p>
        </w:tc>
        <w:tc>
          <w:tcPr>
            <w:tcW w:w="1980" w:type="dxa"/>
            <w:shd w:val="clear" w:color="auto" w:fill="DFF0D8"/>
          </w:tcPr>
          <w:p w:rsidR="005725EF" w:rsidRPr="00736656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530" w:type="dxa"/>
            <w:shd w:val="clear" w:color="auto" w:fill="DFF0D8"/>
          </w:tcPr>
          <w:p w:rsidR="005725EF" w:rsidRPr="008B1185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</w:tr>
      <w:tr w:rsidR="000C62EA" w:rsidRPr="00C14AA0" w:rsidTr="002E3394">
        <w:trPr>
          <w:cnfStyle w:val="000000100000"/>
          <w:trHeight w:val="148"/>
        </w:trPr>
        <w:tc>
          <w:tcPr>
            <w:cnfStyle w:val="00100000000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2D430D" w:rsidRDefault="005725EF" w:rsidP="005725EF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2D430D" w:rsidRDefault="005725EF" w:rsidP="005725E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B5A69" w:rsidRDefault="005725EF" w:rsidP="000167C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0.4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B5A69" w:rsidRDefault="00512B87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20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8B1185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10.5</w:t>
            </w: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  <w:tr w:rsidR="00810EBE" w:rsidRPr="00C14AA0" w:rsidTr="00810EBE">
        <w:trPr>
          <w:trHeight w:val="326"/>
        </w:trPr>
        <w:tc>
          <w:tcPr>
            <w:cnfStyle w:val="001000000000"/>
            <w:tcW w:w="3168" w:type="dxa"/>
            <w:gridSpan w:val="2"/>
            <w:shd w:val="clear" w:color="auto" w:fill="DFF0D8"/>
            <w:vAlign w:val="center"/>
          </w:tcPr>
          <w:p w:rsidR="005725EF" w:rsidRPr="002D430D" w:rsidRDefault="005725EF" w:rsidP="005725EF">
            <w:pPr>
              <w:jc w:val="left"/>
              <w:rPr>
                <w:rFonts w:ascii="Arial" w:hAnsi="Arial" w:cs="Arial"/>
                <w:bCs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</w:t>
            </w:r>
            <w:r w:rsidR="00851E7B">
              <w:rPr>
                <w:rFonts w:ascii="Arial" w:hAnsi="Arial" w:cs="Arial"/>
                <w:color w:val="000000" w:themeColor="text1"/>
                <w:szCs w:val="21"/>
              </w:rPr>
              <w:t>2</w:t>
            </w:r>
          </w:p>
        </w:tc>
        <w:tc>
          <w:tcPr>
            <w:tcW w:w="2790" w:type="dxa"/>
            <w:shd w:val="clear" w:color="auto" w:fill="DFF0D8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</w:p>
        </w:tc>
        <w:tc>
          <w:tcPr>
            <w:tcW w:w="288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0C62EA" w:rsidRPr="00C14AA0" w:rsidTr="002E3394">
        <w:trPr>
          <w:cnfStyle w:val="000000100000"/>
          <w:trHeight w:val="326"/>
        </w:trPr>
        <w:tc>
          <w:tcPr>
            <w:cnfStyle w:val="00100000000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6062B1" w:rsidRDefault="005725EF" w:rsidP="005725EF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384D28" w:rsidRDefault="00851E7B" w:rsidP="005725E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EHAYA2</w:t>
            </w:r>
            <w:r w:rsidR="005725EF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512B87" w:rsidRDefault="005725EF" w:rsidP="000167CD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512B87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Default="00512B87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27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9.5</w:t>
            </w: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5725EF" w:rsidRPr="008B1185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0.5</w:t>
            </w:r>
          </w:p>
        </w:tc>
      </w:tr>
      <w:tr w:rsidR="000C62EA" w:rsidRPr="00C14AA0" w:rsidTr="00810EBE">
        <w:trPr>
          <w:trHeight w:val="148"/>
        </w:trPr>
        <w:tc>
          <w:tcPr>
            <w:cnfStyle w:val="001000000000"/>
            <w:tcW w:w="1368" w:type="dxa"/>
            <w:shd w:val="clear" w:color="auto" w:fill="DFF0D8"/>
            <w:vAlign w:val="center"/>
          </w:tcPr>
          <w:p w:rsidR="005725EF" w:rsidRPr="002D430D" w:rsidRDefault="005725EF" w:rsidP="005725EF">
            <w:pPr>
              <w:ind w:firstLineChars="200" w:firstLine="420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1800" w:type="dxa"/>
            <w:shd w:val="clear" w:color="auto" w:fill="DFF0D8"/>
            <w:vAlign w:val="center"/>
          </w:tcPr>
          <w:p w:rsidR="005725EF" w:rsidRPr="002D430D" w:rsidRDefault="00851E7B" w:rsidP="005725E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EHAYA2</w:t>
            </w:r>
            <w:r w:rsidR="005725EF"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2790" w:type="dxa"/>
            <w:shd w:val="clear" w:color="auto" w:fill="DFF0D8"/>
          </w:tcPr>
          <w:p w:rsidR="005725EF" w:rsidRPr="00DB5A69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0.7</w:t>
            </w:r>
          </w:p>
        </w:tc>
        <w:tc>
          <w:tcPr>
            <w:tcW w:w="2880" w:type="dxa"/>
            <w:shd w:val="clear" w:color="auto" w:fill="DFF0D8"/>
          </w:tcPr>
          <w:p w:rsidR="005725EF" w:rsidRPr="00DB5A69" w:rsidRDefault="00512B87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16</w:t>
            </w:r>
          </w:p>
        </w:tc>
        <w:tc>
          <w:tcPr>
            <w:tcW w:w="189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11.5</w:t>
            </w:r>
          </w:p>
        </w:tc>
        <w:tc>
          <w:tcPr>
            <w:tcW w:w="1980" w:type="dxa"/>
            <w:shd w:val="clear" w:color="auto" w:fill="DFF0D8"/>
          </w:tcPr>
          <w:p w:rsidR="005725EF" w:rsidRPr="008B1185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1530" w:type="dxa"/>
            <w:shd w:val="clear" w:color="auto" w:fill="DFF0D8"/>
          </w:tcPr>
          <w:p w:rsidR="005725EF" w:rsidRPr="00DB5A69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0.6</w:t>
            </w:r>
          </w:p>
        </w:tc>
      </w:tr>
      <w:tr w:rsidR="00810EBE" w:rsidRPr="00C14AA0" w:rsidTr="002E3394">
        <w:trPr>
          <w:cnfStyle w:val="000000100000"/>
          <w:trHeight w:val="326"/>
        </w:trPr>
        <w:tc>
          <w:tcPr>
            <w:cnfStyle w:val="001000000000"/>
            <w:tcW w:w="31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5725EF" w:rsidRPr="00BE7706" w:rsidRDefault="005725EF" w:rsidP="005725EF">
            <w:pPr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</w:t>
            </w:r>
            <w:r w:rsidR="00851E7B">
              <w:rPr>
                <w:rFonts w:ascii="Arial" w:hAnsi="Arial" w:cs="Arial"/>
                <w:color w:val="000000" w:themeColor="text1"/>
                <w:szCs w:val="21"/>
              </w:rPr>
              <w:t>3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Default="005725EF" w:rsidP="000167CD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</w:tr>
      <w:tr w:rsidR="000C62EA" w:rsidRPr="00C14AA0" w:rsidTr="00810EBE">
        <w:trPr>
          <w:trHeight w:val="326"/>
        </w:trPr>
        <w:tc>
          <w:tcPr>
            <w:cnfStyle w:val="001000000000"/>
            <w:tcW w:w="1368" w:type="dxa"/>
            <w:shd w:val="clear" w:color="auto" w:fill="DFF0D8"/>
            <w:vAlign w:val="center"/>
          </w:tcPr>
          <w:p w:rsidR="005725EF" w:rsidRPr="006062B1" w:rsidRDefault="005725EF" w:rsidP="005725EF">
            <w:pPr>
              <w:ind w:firstLineChars="200" w:firstLine="422"/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  <w:tc>
          <w:tcPr>
            <w:tcW w:w="1800" w:type="dxa"/>
            <w:shd w:val="clear" w:color="auto" w:fill="DFF0D8"/>
            <w:vAlign w:val="center"/>
          </w:tcPr>
          <w:p w:rsidR="005725EF" w:rsidRPr="00BE7706" w:rsidRDefault="00851E7B" w:rsidP="005725EF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ELABO3</w:t>
            </w:r>
            <w:r w:rsidR="005725EF"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2790" w:type="dxa"/>
            <w:shd w:val="clear" w:color="auto" w:fill="DFF0D8"/>
          </w:tcPr>
          <w:p w:rsidR="005725EF" w:rsidRPr="008B1185" w:rsidRDefault="005725EF" w:rsidP="000167CD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8B1185">
              <w:rPr>
                <w:rFonts w:ascii="Arial" w:hAnsi="Arial" w:cs="Arial"/>
                <w:color w:val="FF0000"/>
                <w:szCs w:val="21"/>
              </w:rPr>
              <w:t>0.6</w:t>
            </w:r>
          </w:p>
        </w:tc>
        <w:tc>
          <w:tcPr>
            <w:tcW w:w="2880" w:type="dxa"/>
            <w:shd w:val="clear" w:color="auto" w:fill="DFF0D8"/>
          </w:tcPr>
          <w:p w:rsidR="005725EF" w:rsidRPr="008B1185" w:rsidRDefault="00512B87" w:rsidP="005725EF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40</w:t>
            </w:r>
          </w:p>
        </w:tc>
        <w:tc>
          <w:tcPr>
            <w:tcW w:w="1890" w:type="dxa"/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8.5</w:t>
            </w:r>
          </w:p>
        </w:tc>
        <w:tc>
          <w:tcPr>
            <w:tcW w:w="1980" w:type="dxa"/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1530" w:type="dxa"/>
            <w:shd w:val="clear" w:color="auto" w:fill="DFF0D8"/>
          </w:tcPr>
          <w:p w:rsidR="005725EF" w:rsidRPr="003F6BA4" w:rsidRDefault="005725EF" w:rsidP="005725E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0.5</w:t>
            </w:r>
          </w:p>
        </w:tc>
      </w:tr>
    </w:tbl>
    <w:p w:rsidR="00707AD1" w:rsidRDefault="00743129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717.75pt;height:65.25pt;z-index:251658240;mso-position-horizontal-relative:text;mso-position-vertical-relative:text" strokecolor="#4bacc6">
            <v:textbox>
              <w:txbxContent>
                <w:p w:rsidR="00434639" w:rsidRPr="008E5A80" w:rsidRDefault="00E81BA1" w:rsidP="00434639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EC2DA3">
                    <w:rPr>
                      <w:rFonts w:ascii="Arial" w:hAnsi="Arial" w:cs="Arial"/>
                      <w:szCs w:val="21"/>
                    </w:rPr>
                    <w:t>retailer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 </w:t>
                  </w:r>
                  <w:r w:rsidR="00E109E0">
                    <w:rPr>
                      <w:rFonts w:ascii="Arial" w:hAnsi="Arial" w:cs="Arial"/>
                      <w:szCs w:val="21"/>
                    </w:rPr>
                    <w:t>manage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the </w:t>
                  </w:r>
                  <w:r w:rsidR="003723C5">
                    <w:rPr>
                      <w:rFonts w:ascii="Arial" w:hAnsi="Arial" w:cs="Arial"/>
                      <w:szCs w:val="21"/>
                    </w:rPr>
                    <w:t>online</w:t>
                  </w:r>
                  <w:r w:rsidR="00CD496E">
                    <w:rPr>
                      <w:rFonts w:ascii="Arial" w:hAnsi="Arial" w:cs="Arial"/>
                      <w:szCs w:val="21"/>
                    </w:rPr>
                    <w:t xml:space="preserve"> store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E109E0">
                    <w:rPr>
                      <w:rFonts w:ascii="Arial" w:hAnsi="Arial" w:cs="Arial"/>
                      <w:szCs w:val="21"/>
                    </w:rPr>
                    <w:t>planning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for each SKU in the </w:t>
                  </w:r>
                  <w:r w:rsidR="002757C2">
                    <w:rPr>
                      <w:rFonts w:ascii="Arial" w:hAnsi="Arial" w:cs="Arial"/>
                      <w:szCs w:val="21"/>
                    </w:rPr>
                    <w:t>retailer’s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proofErr w:type="spellStart"/>
                  <w:r w:rsidR="00DC31EB"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 w:rsidR="00DC31EB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1"/>
                    </w:rPr>
                    <w:t>portfolio</w:t>
                  </w:r>
                  <w:r w:rsidR="00CA10BC">
                    <w:rPr>
                      <w:rFonts w:ascii="Arial" w:hAnsi="Arial" w:cs="Arial"/>
                      <w:szCs w:val="21"/>
                    </w:rPr>
                    <w:t xml:space="preserve"> for urban market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.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The values from previous period are shown by default and the </w:t>
                  </w:r>
                  <w:r w:rsidR="007E5DC3">
                    <w:rPr>
                      <w:rFonts w:ascii="Arial" w:hAnsi="Arial" w:cs="Arial"/>
                      <w:szCs w:val="21"/>
                    </w:rPr>
                    <w:t>retailer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can change it. </w:t>
                  </w:r>
                  <w:r w:rsidR="00434639" w:rsidRPr="0055791A">
                    <w:rPr>
                      <w:rFonts w:ascii="Arial" w:hAnsi="Arial" w:cs="Arial"/>
                      <w:szCs w:val="21"/>
                    </w:rPr>
                    <w:t xml:space="preserve">All the 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changes are highlighted in red. 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70720B">
                    <w:rPr>
                      <w:rFonts w:ascii="Arial" w:hAnsi="Arial" w:cs="Arial"/>
                      <w:szCs w:val="21"/>
                    </w:rPr>
                    <w:t>within</w:t>
                  </w:r>
                  <w:r w:rsidR="00434639" w:rsidRPr="00A5292A">
                    <w:rPr>
                      <w:rFonts w:ascii="Arial" w:hAnsi="Arial" w:cs="Arial"/>
                      <w:szCs w:val="21"/>
                    </w:rPr>
                    <w:t xml:space="preserve"> the deadline, those from</w:t>
                  </w:r>
                  <w:r w:rsidR="00434639">
                    <w:rPr>
                      <w:rFonts w:ascii="Arial" w:hAnsi="Arial" w:cs="Arial"/>
                      <w:szCs w:val="21"/>
                    </w:rPr>
                    <w:t xml:space="preserve"> the previous period are submitted.</w:t>
                  </w:r>
                </w:p>
                <w:p w:rsidR="00434639" w:rsidRPr="00712733" w:rsidRDefault="00434639" w:rsidP="00434639"/>
                <w:p w:rsidR="00E81BA1" w:rsidRPr="00585465" w:rsidRDefault="00E81BA1" w:rsidP="00E81BA1"/>
                <w:p w:rsidR="00AA304F" w:rsidRPr="00E81BA1" w:rsidRDefault="00AA304F" w:rsidP="00E81BA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43129" w:rsidP="00707AD1">
      <w:pPr>
        <w:rPr>
          <w:szCs w:val="21"/>
        </w:rPr>
      </w:pPr>
      <w:r w:rsidRPr="00743129">
        <w:rPr>
          <w:rFonts w:ascii="Arial" w:hAnsi="Arial" w:cs="Arial"/>
          <w:noProof/>
          <w:sz w:val="28"/>
          <w:szCs w:val="28"/>
          <w:lang w:eastAsia="en-US"/>
        </w:rPr>
        <w:pict>
          <v:shape id="_x0000_s2059" type="#_x0000_t202" style="position:absolute;left:0;text-align:left;margin-left:667.25pt;margin-top:16.5pt;width:234.95pt;height:355.8pt;z-index:251659264" strokecolor="white [3212]">
            <v:textbox style="mso-next-textbox:#_x0000_s2059">
              <w:txbxContent>
                <w:p w:rsidR="007B68A7" w:rsidRPr="00FA0FCA" w:rsidRDefault="007B68A7" w:rsidP="007B68A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0C5682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7B68A7" w:rsidRPr="00AC7F40" w:rsidRDefault="00323982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7B68A7" w:rsidRDefault="007B68A7" w:rsidP="007B68A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1E4072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7B68A7" w:rsidRDefault="007D0FE0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7D0FE0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232A98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Store</w:t>
                  </w:r>
                  <w:r w:rsidR="007B68A7" w:rsidRPr="00885084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8B08BD" w:rsidRPr="008B08BD" w:rsidRDefault="008B08BD" w:rsidP="007D0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8B08BD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7B68A7" w:rsidRDefault="007B68A7" w:rsidP="007B68A7"/>
              </w:txbxContent>
            </v:textbox>
          </v:shape>
        </w:pict>
      </w: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Pr="00707AD1" w:rsidRDefault="00707AD1" w:rsidP="00707AD1">
      <w:pPr>
        <w:rPr>
          <w:szCs w:val="21"/>
        </w:rPr>
      </w:pPr>
    </w:p>
    <w:p w:rsidR="00707AD1" w:rsidRDefault="00707AD1" w:rsidP="00707AD1">
      <w:pPr>
        <w:rPr>
          <w:szCs w:val="21"/>
        </w:rPr>
      </w:pPr>
    </w:p>
    <w:p w:rsidR="002B3310" w:rsidRPr="00707AD1" w:rsidRDefault="002B3310" w:rsidP="00707AD1">
      <w:pPr>
        <w:ind w:firstLine="420"/>
        <w:rPr>
          <w:szCs w:val="21"/>
        </w:rPr>
      </w:pPr>
    </w:p>
    <w:sectPr w:rsidR="002B3310" w:rsidRPr="00707AD1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28B" w:rsidRDefault="0001628B" w:rsidP="002E3E39">
      <w:pPr>
        <w:spacing w:line="240" w:lineRule="auto"/>
      </w:pPr>
      <w:r>
        <w:separator/>
      </w:r>
    </w:p>
  </w:endnote>
  <w:endnote w:type="continuationSeparator" w:id="0">
    <w:p w:rsidR="0001628B" w:rsidRDefault="0001628B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28B" w:rsidRDefault="0001628B" w:rsidP="002E3E39">
      <w:pPr>
        <w:spacing w:line="240" w:lineRule="auto"/>
      </w:pPr>
      <w:r>
        <w:separator/>
      </w:r>
    </w:p>
  </w:footnote>
  <w:footnote w:type="continuationSeparator" w:id="0">
    <w:p w:rsidR="0001628B" w:rsidRDefault="0001628B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97E"/>
    <w:rsid w:val="00013590"/>
    <w:rsid w:val="000161A0"/>
    <w:rsid w:val="0001628B"/>
    <w:rsid w:val="000167CD"/>
    <w:rsid w:val="00016A23"/>
    <w:rsid w:val="0002269A"/>
    <w:rsid w:val="0002577B"/>
    <w:rsid w:val="000425D1"/>
    <w:rsid w:val="000428EA"/>
    <w:rsid w:val="00046AF9"/>
    <w:rsid w:val="00050EA7"/>
    <w:rsid w:val="00055134"/>
    <w:rsid w:val="00075289"/>
    <w:rsid w:val="00080DCE"/>
    <w:rsid w:val="000C07E6"/>
    <w:rsid w:val="000C15ED"/>
    <w:rsid w:val="000C5682"/>
    <w:rsid w:val="000C62EA"/>
    <w:rsid w:val="000D36BA"/>
    <w:rsid w:val="000D3C0F"/>
    <w:rsid w:val="000E3098"/>
    <w:rsid w:val="00100B91"/>
    <w:rsid w:val="001028E0"/>
    <w:rsid w:val="00133263"/>
    <w:rsid w:val="001332A2"/>
    <w:rsid w:val="001342ED"/>
    <w:rsid w:val="00150E1A"/>
    <w:rsid w:val="00160CDE"/>
    <w:rsid w:val="00165F9F"/>
    <w:rsid w:val="00167383"/>
    <w:rsid w:val="00171223"/>
    <w:rsid w:val="00177FD1"/>
    <w:rsid w:val="0018035A"/>
    <w:rsid w:val="001B18A3"/>
    <w:rsid w:val="001E4364"/>
    <w:rsid w:val="001E596F"/>
    <w:rsid w:val="00206805"/>
    <w:rsid w:val="00226861"/>
    <w:rsid w:val="00232989"/>
    <w:rsid w:val="00232A98"/>
    <w:rsid w:val="00244E61"/>
    <w:rsid w:val="00267118"/>
    <w:rsid w:val="0027489A"/>
    <w:rsid w:val="002757C2"/>
    <w:rsid w:val="002B3310"/>
    <w:rsid w:val="002B38F4"/>
    <w:rsid w:val="002B4030"/>
    <w:rsid w:val="002B6BCF"/>
    <w:rsid w:val="002D295B"/>
    <w:rsid w:val="002D3FCB"/>
    <w:rsid w:val="002E3394"/>
    <w:rsid w:val="002E3E39"/>
    <w:rsid w:val="002F1468"/>
    <w:rsid w:val="002F2C38"/>
    <w:rsid w:val="002F5537"/>
    <w:rsid w:val="00305F1A"/>
    <w:rsid w:val="003175DD"/>
    <w:rsid w:val="0032278B"/>
    <w:rsid w:val="00323982"/>
    <w:rsid w:val="0032517B"/>
    <w:rsid w:val="00325537"/>
    <w:rsid w:val="00335B56"/>
    <w:rsid w:val="003561A3"/>
    <w:rsid w:val="00357414"/>
    <w:rsid w:val="00363BAD"/>
    <w:rsid w:val="00366CB6"/>
    <w:rsid w:val="00370249"/>
    <w:rsid w:val="003723C5"/>
    <w:rsid w:val="00383B87"/>
    <w:rsid w:val="003B1A45"/>
    <w:rsid w:val="003B1ED0"/>
    <w:rsid w:val="003D7D76"/>
    <w:rsid w:val="0040216D"/>
    <w:rsid w:val="00417B53"/>
    <w:rsid w:val="0042410C"/>
    <w:rsid w:val="00426444"/>
    <w:rsid w:val="00434639"/>
    <w:rsid w:val="00465D4D"/>
    <w:rsid w:val="00475B6A"/>
    <w:rsid w:val="00494993"/>
    <w:rsid w:val="0049700C"/>
    <w:rsid w:val="004B1A7B"/>
    <w:rsid w:val="004B225A"/>
    <w:rsid w:val="004B4B12"/>
    <w:rsid w:val="004C070F"/>
    <w:rsid w:val="004C1FFF"/>
    <w:rsid w:val="004E1429"/>
    <w:rsid w:val="004E4336"/>
    <w:rsid w:val="00512B87"/>
    <w:rsid w:val="005321AF"/>
    <w:rsid w:val="005337AE"/>
    <w:rsid w:val="00545805"/>
    <w:rsid w:val="00546E32"/>
    <w:rsid w:val="00556AA2"/>
    <w:rsid w:val="00561C71"/>
    <w:rsid w:val="005645AD"/>
    <w:rsid w:val="005648FE"/>
    <w:rsid w:val="005725EF"/>
    <w:rsid w:val="0058175C"/>
    <w:rsid w:val="00586904"/>
    <w:rsid w:val="00595ABB"/>
    <w:rsid w:val="005A494A"/>
    <w:rsid w:val="005A55C1"/>
    <w:rsid w:val="005C6253"/>
    <w:rsid w:val="005D0F95"/>
    <w:rsid w:val="005D57A9"/>
    <w:rsid w:val="005D61CC"/>
    <w:rsid w:val="005D77C4"/>
    <w:rsid w:val="005E0424"/>
    <w:rsid w:val="005E0B30"/>
    <w:rsid w:val="005F0732"/>
    <w:rsid w:val="005F6862"/>
    <w:rsid w:val="006049B7"/>
    <w:rsid w:val="00631895"/>
    <w:rsid w:val="00631A69"/>
    <w:rsid w:val="00644CB0"/>
    <w:rsid w:val="006569CD"/>
    <w:rsid w:val="00661A17"/>
    <w:rsid w:val="006631EE"/>
    <w:rsid w:val="006735B1"/>
    <w:rsid w:val="00673C83"/>
    <w:rsid w:val="00680F5E"/>
    <w:rsid w:val="00685478"/>
    <w:rsid w:val="0069291D"/>
    <w:rsid w:val="00696F42"/>
    <w:rsid w:val="006A1A09"/>
    <w:rsid w:val="006A7B96"/>
    <w:rsid w:val="006B57AA"/>
    <w:rsid w:val="006B736A"/>
    <w:rsid w:val="006C055B"/>
    <w:rsid w:val="006C38CA"/>
    <w:rsid w:val="006F1527"/>
    <w:rsid w:val="006F32B6"/>
    <w:rsid w:val="00700121"/>
    <w:rsid w:val="00702EE2"/>
    <w:rsid w:val="00704A5D"/>
    <w:rsid w:val="0070720B"/>
    <w:rsid w:val="00707AD1"/>
    <w:rsid w:val="00720E5B"/>
    <w:rsid w:val="0073355F"/>
    <w:rsid w:val="00743129"/>
    <w:rsid w:val="00745077"/>
    <w:rsid w:val="00754441"/>
    <w:rsid w:val="00762FDE"/>
    <w:rsid w:val="00765745"/>
    <w:rsid w:val="0077178A"/>
    <w:rsid w:val="00771E68"/>
    <w:rsid w:val="007726D0"/>
    <w:rsid w:val="007836B7"/>
    <w:rsid w:val="00786282"/>
    <w:rsid w:val="007B4305"/>
    <w:rsid w:val="007B58CB"/>
    <w:rsid w:val="007B68A7"/>
    <w:rsid w:val="007C4279"/>
    <w:rsid w:val="007D0FE0"/>
    <w:rsid w:val="007D448E"/>
    <w:rsid w:val="007E4C85"/>
    <w:rsid w:val="007E5DC3"/>
    <w:rsid w:val="007E7A53"/>
    <w:rsid w:val="00810EBE"/>
    <w:rsid w:val="00810ED1"/>
    <w:rsid w:val="00820615"/>
    <w:rsid w:val="008248D5"/>
    <w:rsid w:val="008275C5"/>
    <w:rsid w:val="00851E7B"/>
    <w:rsid w:val="0085745C"/>
    <w:rsid w:val="008638AF"/>
    <w:rsid w:val="00874F53"/>
    <w:rsid w:val="0088312A"/>
    <w:rsid w:val="00885084"/>
    <w:rsid w:val="00890535"/>
    <w:rsid w:val="008969EE"/>
    <w:rsid w:val="008A77F7"/>
    <w:rsid w:val="008B08BD"/>
    <w:rsid w:val="008B1185"/>
    <w:rsid w:val="008B34FB"/>
    <w:rsid w:val="008D5263"/>
    <w:rsid w:val="008E6994"/>
    <w:rsid w:val="00901181"/>
    <w:rsid w:val="00912330"/>
    <w:rsid w:val="0091593C"/>
    <w:rsid w:val="00915BEE"/>
    <w:rsid w:val="00934A2E"/>
    <w:rsid w:val="009457DE"/>
    <w:rsid w:val="00960893"/>
    <w:rsid w:val="00963234"/>
    <w:rsid w:val="009769EA"/>
    <w:rsid w:val="009921A9"/>
    <w:rsid w:val="0099269B"/>
    <w:rsid w:val="009A306A"/>
    <w:rsid w:val="009B3E7A"/>
    <w:rsid w:val="009B463B"/>
    <w:rsid w:val="009C5137"/>
    <w:rsid w:val="009F14FC"/>
    <w:rsid w:val="00A10648"/>
    <w:rsid w:val="00A169CE"/>
    <w:rsid w:val="00A270DA"/>
    <w:rsid w:val="00A2728A"/>
    <w:rsid w:val="00A42C9A"/>
    <w:rsid w:val="00AA304F"/>
    <w:rsid w:val="00AB2931"/>
    <w:rsid w:val="00AB347C"/>
    <w:rsid w:val="00AC48DB"/>
    <w:rsid w:val="00AC7F40"/>
    <w:rsid w:val="00AE05EE"/>
    <w:rsid w:val="00AF5703"/>
    <w:rsid w:val="00B00A86"/>
    <w:rsid w:val="00B023E4"/>
    <w:rsid w:val="00B06B4F"/>
    <w:rsid w:val="00B31522"/>
    <w:rsid w:val="00B31735"/>
    <w:rsid w:val="00B37587"/>
    <w:rsid w:val="00B51142"/>
    <w:rsid w:val="00B804DE"/>
    <w:rsid w:val="00B81AE5"/>
    <w:rsid w:val="00B820A4"/>
    <w:rsid w:val="00B93E43"/>
    <w:rsid w:val="00BA0FB3"/>
    <w:rsid w:val="00BA1222"/>
    <w:rsid w:val="00BB51FB"/>
    <w:rsid w:val="00BC5792"/>
    <w:rsid w:val="00BC5D0B"/>
    <w:rsid w:val="00BC7F00"/>
    <w:rsid w:val="00BD57B1"/>
    <w:rsid w:val="00BF0436"/>
    <w:rsid w:val="00BF4F5E"/>
    <w:rsid w:val="00C028B2"/>
    <w:rsid w:val="00C034A0"/>
    <w:rsid w:val="00C07DCC"/>
    <w:rsid w:val="00C128DE"/>
    <w:rsid w:val="00C23971"/>
    <w:rsid w:val="00C30464"/>
    <w:rsid w:val="00C46960"/>
    <w:rsid w:val="00C47735"/>
    <w:rsid w:val="00C55F0F"/>
    <w:rsid w:val="00C564A8"/>
    <w:rsid w:val="00C70139"/>
    <w:rsid w:val="00C76E8A"/>
    <w:rsid w:val="00C777E0"/>
    <w:rsid w:val="00C81FF9"/>
    <w:rsid w:val="00C82E4E"/>
    <w:rsid w:val="00C85BA8"/>
    <w:rsid w:val="00CA10BC"/>
    <w:rsid w:val="00CC0CF3"/>
    <w:rsid w:val="00CC1CF0"/>
    <w:rsid w:val="00CC629F"/>
    <w:rsid w:val="00CD0662"/>
    <w:rsid w:val="00CD2B2C"/>
    <w:rsid w:val="00CD496E"/>
    <w:rsid w:val="00CF5C5E"/>
    <w:rsid w:val="00CF6324"/>
    <w:rsid w:val="00CF6464"/>
    <w:rsid w:val="00D07D17"/>
    <w:rsid w:val="00D11B36"/>
    <w:rsid w:val="00D20D04"/>
    <w:rsid w:val="00D322C4"/>
    <w:rsid w:val="00D37827"/>
    <w:rsid w:val="00D37F59"/>
    <w:rsid w:val="00D445E5"/>
    <w:rsid w:val="00D54506"/>
    <w:rsid w:val="00D567A4"/>
    <w:rsid w:val="00D753D8"/>
    <w:rsid w:val="00D76231"/>
    <w:rsid w:val="00D8783E"/>
    <w:rsid w:val="00D974EA"/>
    <w:rsid w:val="00DA121A"/>
    <w:rsid w:val="00DA65BC"/>
    <w:rsid w:val="00DA704D"/>
    <w:rsid w:val="00DB23F6"/>
    <w:rsid w:val="00DC31EB"/>
    <w:rsid w:val="00DC54EA"/>
    <w:rsid w:val="00DC56B9"/>
    <w:rsid w:val="00DD0FA5"/>
    <w:rsid w:val="00DD443B"/>
    <w:rsid w:val="00DE4BEC"/>
    <w:rsid w:val="00E02402"/>
    <w:rsid w:val="00E109E0"/>
    <w:rsid w:val="00E156B5"/>
    <w:rsid w:val="00E30936"/>
    <w:rsid w:val="00E3315F"/>
    <w:rsid w:val="00E35284"/>
    <w:rsid w:val="00E37DBB"/>
    <w:rsid w:val="00E42B6A"/>
    <w:rsid w:val="00E479CF"/>
    <w:rsid w:val="00E54A51"/>
    <w:rsid w:val="00E649B0"/>
    <w:rsid w:val="00E674E4"/>
    <w:rsid w:val="00E67961"/>
    <w:rsid w:val="00E81BA1"/>
    <w:rsid w:val="00E90132"/>
    <w:rsid w:val="00E9213F"/>
    <w:rsid w:val="00EB2C52"/>
    <w:rsid w:val="00EC2DA3"/>
    <w:rsid w:val="00EC3915"/>
    <w:rsid w:val="00EC4CB9"/>
    <w:rsid w:val="00EF66EA"/>
    <w:rsid w:val="00F05D53"/>
    <w:rsid w:val="00F06133"/>
    <w:rsid w:val="00F251AB"/>
    <w:rsid w:val="00F30836"/>
    <w:rsid w:val="00F453AA"/>
    <w:rsid w:val="00F64FF5"/>
    <w:rsid w:val="00F66D48"/>
    <w:rsid w:val="00F70C65"/>
    <w:rsid w:val="00F77544"/>
    <w:rsid w:val="00F92431"/>
    <w:rsid w:val="00FC0F91"/>
    <w:rsid w:val="00FC3BB9"/>
    <w:rsid w:val="00FC6E7D"/>
    <w:rsid w:val="00FD1988"/>
    <w:rsid w:val="00FF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207</cp:revision>
  <cp:lastPrinted>2014-04-07T10:56:00Z</cp:lastPrinted>
  <dcterms:created xsi:type="dcterms:W3CDTF">2014-02-26T02:20:00Z</dcterms:created>
  <dcterms:modified xsi:type="dcterms:W3CDTF">2014-04-10T13:19:00Z</dcterms:modified>
</cp:coreProperties>
</file>