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32502D" w:rsidRPr="008828DE" w:rsidTr="0032502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32502D" w:rsidRPr="004363F1" w:rsidRDefault="0032502D" w:rsidP="006A547F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4363F1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4363F1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32502D" w:rsidRPr="0066269D" w:rsidTr="00426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4C6BDE" w:rsidRDefault="0032502D" w:rsidP="006A547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32502D" w:rsidRPr="00C14AA0" w:rsidTr="0032502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32502D" w:rsidRPr="0066269D" w:rsidRDefault="0032502D" w:rsidP="006A547F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6062B1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32502D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736656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32502D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2D430D" w:rsidRDefault="0032502D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32502D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32502D" w:rsidRPr="002D430D" w:rsidRDefault="0032502D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32502D" w:rsidRPr="002D430D" w:rsidRDefault="0032502D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32502D" w:rsidRPr="00DB5A69" w:rsidRDefault="0032502D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32502D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3F6BA4" w:rsidRDefault="0032502D" w:rsidP="006A547F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32502D" w:rsidRPr="00BE7706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32502D" w:rsidRPr="003F6BA4" w:rsidRDefault="0032502D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2B3310" w:rsidRPr="00745077" w:rsidRDefault="0066680F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20.25pt;height:156pt;z-index:251658240;mso-position-horizontal-relative:text;mso-position-vertical-relative:text" strokecolor="#4bacc6">
            <v:textbox>
              <w:txbxContent>
                <w:p w:rsidR="007D6765" w:rsidRDefault="00363BAD" w:rsidP="00363BA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This decision form allows supplier to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manage their product portfolio. More specifically, supplier can </w:t>
                  </w:r>
                  <w:r>
                    <w:rPr>
                      <w:rFonts w:ascii="Arial" w:hAnsi="Arial" w:cs="Arial"/>
                      <w:szCs w:val="21"/>
                    </w:rPr>
                    <w:t>decide to discontinue specific SKUs</w:t>
                  </w:r>
                  <w:r w:rsidR="00AD24A9">
                    <w:rPr>
                      <w:rFonts w:ascii="Arial" w:hAnsi="Arial" w:cs="Arial"/>
                      <w:szCs w:val="21"/>
                    </w:rPr>
                    <w:t>, add new brands/variants, add new variants under existing brands</w:t>
                  </w:r>
                  <w:r w:rsidR="00583CB1">
                    <w:rPr>
                      <w:rFonts w:ascii="Arial" w:hAnsi="Arial" w:cs="Arial"/>
                      <w:szCs w:val="21"/>
                    </w:rPr>
                    <w:t xml:space="preserve"> and modify the specifications of variants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in supplier’s</w:t>
                  </w:r>
                  <w:r w:rsidR="00771E6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proofErr w:type="spellStart"/>
                  <w:r w:rsidR="00771E68">
                    <w:rPr>
                      <w:rFonts w:ascii="Arial" w:hAnsi="Arial" w:cs="Arial"/>
                      <w:szCs w:val="21"/>
                    </w:rPr>
                    <w:t>Elec</w:t>
                  </w:r>
                  <w:r w:rsidR="002D295B">
                    <w:rPr>
                      <w:rFonts w:ascii="Arial" w:hAnsi="Arial" w:cs="Arial"/>
                      <w:szCs w:val="21"/>
                    </w:rPr>
                    <w:t>ssories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</w:t>
                  </w:r>
                  <w:r w:rsidR="00E9213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6F6DEC">
                    <w:rPr>
                      <w:rFonts w:ascii="Arial" w:hAnsi="Arial" w:cs="Arial"/>
                      <w:szCs w:val="21"/>
                    </w:rPr>
                    <w:t>The product portfolio from the last period appear</w:t>
                  </w:r>
                  <w:r w:rsidR="00941352">
                    <w:rPr>
                      <w:rFonts w:ascii="Arial" w:hAnsi="Arial" w:cs="Arial"/>
                      <w:szCs w:val="21"/>
                    </w:rPr>
                    <w:t>s</w:t>
                  </w:r>
                  <w:r w:rsidR="006F6DEC">
                    <w:rPr>
                      <w:rFonts w:ascii="Arial" w:hAnsi="Arial" w:cs="Arial"/>
                      <w:szCs w:val="21"/>
                    </w:rPr>
                    <w:t xml:space="preserve"> by default.</w:t>
                  </w:r>
                  <w:r w:rsidR="00941352">
                    <w:rPr>
                      <w:rFonts w:ascii="Arial" w:hAnsi="Arial" w:cs="Arial"/>
                      <w:szCs w:val="21"/>
                    </w:rPr>
                    <w:t xml:space="preserve"> </w:t>
                  </w:r>
                </w:p>
                <w:p w:rsidR="00AA304F" w:rsidRPr="007D6765" w:rsidRDefault="00E9213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</w:t>
                  </w:r>
                  <w:r w:rsidR="0042410C" w:rsidRPr="007D6765">
                    <w:rPr>
                      <w:rFonts w:ascii="Arial" w:hAnsi="Arial" w:cs="Arial"/>
                      <w:szCs w:val="21"/>
                    </w:rPr>
                    <w:t>n existing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SKU, </w:t>
                  </w:r>
                  <w:r w:rsidR="0088312A" w:rsidRPr="007D6765">
                    <w:rPr>
                      <w:rFonts w:ascii="Arial" w:hAnsi="Arial" w:cs="Arial"/>
                      <w:szCs w:val="21"/>
                    </w:rPr>
                    <w:t>click on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7D6765" w:rsidRPr="007D6765">
                    <w:rPr>
                      <w:rFonts w:ascii="Arial" w:hAnsi="Arial" w:cs="Arial"/>
                      <w:szCs w:val="21"/>
                    </w:rPr>
                    <w:t>the SKU name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0E5F85" w:rsidRPr="00363BAD" w:rsidRDefault="000E5F85" w:rsidP="000E5F8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7D6765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B540EF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4C5B6C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5643EA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3240C7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B540EF" w:rsidRPr="00363BAD" w:rsidRDefault="00B540EF" w:rsidP="00B540EF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Pr="00B540EF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If the portfolio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 (either of the categories or both)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is not validated by the end of deadlin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e (illustrated by the time-bar), </w:t>
                  </w:r>
                  <w:r w:rsidR="00D82A4B">
                    <w:rPr>
                      <w:rFonts w:ascii="Arial" w:hAnsi="Arial" w:cs="Arial"/>
                      <w:szCs w:val="21"/>
                    </w:rPr>
                    <w:t>the portfolio from previous period will be used by default.</w:t>
                  </w:r>
                </w:p>
                <w:p w:rsidR="00B540EF" w:rsidRPr="00363BAD" w:rsidRDefault="00B540EF" w:rsidP="00B540EF"/>
              </w:txbxContent>
            </v:textbox>
          </v:shape>
        </w:pict>
      </w:r>
      <w:r w:rsidRPr="0066680F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35.1pt;margin-top:191.5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25F" w:rsidRDefault="00A6025F" w:rsidP="002E3E39">
      <w:pPr>
        <w:spacing w:line="240" w:lineRule="auto"/>
      </w:pPr>
      <w:r>
        <w:separator/>
      </w:r>
    </w:p>
  </w:endnote>
  <w:endnote w:type="continuationSeparator" w:id="0">
    <w:p w:rsidR="00A6025F" w:rsidRDefault="00A6025F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25F" w:rsidRDefault="00A6025F" w:rsidP="002E3E39">
      <w:pPr>
        <w:spacing w:line="240" w:lineRule="auto"/>
      </w:pPr>
      <w:r>
        <w:separator/>
      </w:r>
    </w:p>
  </w:footnote>
  <w:footnote w:type="continuationSeparator" w:id="0">
    <w:p w:rsidR="00A6025F" w:rsidRDefault="00A6025F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18BB"/>
    <w:rsid w:val="0002269A"/>
    <w:rsid w:val="0002577B"/>
    <w:rsid w:val="000428EA"/>
    <w:rsid w:val="00046AF9"/>
    <w:rsid w:val="00055134"/>
    <w:rsid w:val="00075289"/>
    <w:rsid w:val="00094D8F"/>
    <w:rsid w:val="000C07E6"/>
    <w:rsid w:val="000D3C0F"/>
    <w:rsid w:val="000E5F85"/>
    <w:rsid w:val="001028E0"/>
    <w:rsid w:val="00133263"/>
    <w:rsid w:val="001332A2"/>
    <w:rsid w:val="00150E1A"/>
    <w:rsid w:val="00160CDE"/>
    <w:rsid w:val="00167383"/>
    <w:rsid w:val="00177FD1"/>
    <w:rsid w:val="0018035A"/>
    <w:rsid w:val="001B18A3"/>
    <w:rsid w:val="001E0A0E"/>
    <w:rsid w:val="001E4364"/>
    <w:rsid w:val="001E596F"/>
    <w:rsid w:val="00206805"/>
    <w:rsid w:val="00226861"/>
    <w:rsid w:val="00232989"/>
    <w:rsid w:val="0023503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2278B"/>
    <w:rsid w:val="003240C7"/>
    <w:rsid w:val="0032502D"/>
    <w:rsid w:val="0032517B"/>
    <w:rsid w:val="00335B56"/>
    <w:rsid w:val="003561A3"/>
    <w:rsid w:val="00357414"/>
    <w:rsid w:val="00363BAD"/>
    <w:rsid w:val="00383B87"/>
    <w:rsid w:val="003B1A45"/>
    <w:rsid w:val="003B1ED0"/>
    <w:rsid w:val="0040216D"/>
    <w:rsid w:val="0042410C"/>
    <w:rsid w:val="00426B2B"/>
    <w:rsid w:val="004363F1"/>
    <w:rsid w:val="00454EE0"/>
    <w:rsid w:val="00465D4D"/>
    <w:rsid w:val="00475B6A"/>
    <w:rsid w:val="0049700C"/>
    <w:rsid w:val="004B225A"/>
    <w:rsid w:val="004C070F"/>
    <w:rsid w:val="004C5B6C"/>
    <w:rsid w:val="004E4336"/>
    <w:rsid w:val="00545805"/>
    <w:rsid w:val="00556AA2"/>
    <w:rsid w:val="005643EA"/>
    <w:rsid w:val="005645AD"/>
    <w:rsid w:val="005648FE"/>
    <w:rsid w:val="00583CB1"/>
    <w:rsid w:val="00595ABB"/>
    <w:rsid w:val="005A55C1"/>
    <w:rsid w:val="005A7EE8"/>
    <w:rsid w:val="005D61CC"/>
    <w:rsid w:val="005E0424"/>
    <w:rsid w:val="005E0B30"/>
    <w:rsid w:val="005F6862"/>
    <w:rsid w:val="006049B7"/>
    <w:rsid w:val="00661A17"/>
    <w:rsid w:val="006631EE"/>
    <w:rsid w:val="0066680F"/>
    <w:rsid w:val="00673C83"/>
    <w:rsid w:val="00685478"/>
    <w:rsid w:val="0069291D"/>
    <w:rsid w:val="006A547F"/>
    <w:rsid w:val="006C38CA"/>
    <w:rsid w:val="006F32B6"/>
    <w:rsid w:val="006F6DEC"/>
    <w:rsid w:val="00702EE2"/>
    <w:rsid w:val="0073355F"/>
    <w:rsid w:val="00745077"/>
    <w:rsid w:val="00765745"/>
    <w:rsid w:val="00771E68"/>
    <w:rsid w:val="007836B7"/>
    <w:rsid w:val="0078532B"/>
    <w:rsid w:val="007B4305"/>
    <w:rsid w:val="007B58CB"/>
    <w:rsid w:val="007C4279"/>
    <w:rsid w:val="007D6765"/>
    <w:rsid w:val="007E4C85"/>
    <w:rsid w:val="008074C6"/>
    <w:rsid w:val="0085745C"/>
    <w:rsid w:val="00874F53"/>
    <w:rsid w:val="0088312A"/>
    <w:rsid w:val="00890535"/>
    <w:rsid w:val="008969EE"/>
    <w:rsid w:val="008B34FB"/>
    <w:rsid w:val="009114B2"/>
    <w:rsid w:val="0091593C"/>
    <w:rsid w:val="00915BEE"/>
    <w:rsid w:val="00934A2E"/>
    <w:rsid w:val="00941352"/>
    <w:rsid w:val="009457DE"/>
    <w:rsid w:val="00963234"/>
    <w:rsid w:val="009769EA"/>
    <w:rsid w:val="009774C2"/>
    <w:rsid w:val="009921A9"/>
    <w:rsid w:val="009A306A"/>
    <w:rsid w:val="009C5137"/>
    <w:rsid w:val="009F14FC"/>
    <w:rsid w:val="00A10648"/>
    <w:rsid w:val="00A42C9A"/>
    <w:rsid w:val="00A6025F"/>
    <w:rsid w:val="00A93326"/>
    <w:rsid w:val="00A954CC"/>
    <w:rsid w:val="00AA304F"/>
    <w:rsid w:val="00AB2931"/>
    <w:rsid w:val="00AB347C"/>
    <w:rsid w:val="00AD24A9"/>
    <w:rsid w:val="00AE05EE"/>
    <w:rsid w:val="00AF1670"/>
    <w:rsid w:val="00AF5703"/>
    <w:rsid w:val="00B023E4"/>
    <w:rsid w:val="00B06B4F"/>
    <w:rsid w:val="00B31522"/>
    <w:rsid w:val="00B37587"/>
    <w:rsid w:val="00B540EF"/>
    <w:rsid w:val="00B804DE"/>
    <w:rsid w:val="00B820A4"/>
    <w:rsid w:val="00B93E43"/>
    <w:rsid w:val="00BB51FB"/>
    <w:rsid w:val="00BC7F00"/>
    <w:rsid w:val="00BF4F5E"/>
    <w:rsid w:val="00C034A0"/>
    <w:rsid w:val="00C07DCC"/>
    <w:rsid w:val="00C128DE"/>
    <w:rsid w:val="00C47735"/>
    <w:rsid w:val="00C55F0F"/>
    <w:rsid w:val="00C564A8"/>
    <w:rsid w:val="00C76E8A"/>
    <w:rsid w:val="00C777E0"/>
    <w:rsid w:val="00C82E4E"/>
    <w:rsid w:val="00C85BA8"/>
    <w:rsid w:val="00CA1A91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2A4B"/>
    <w:rsid w:val="00D8783E"/>
    <w:rsid w:val="00D974EA"/>
    <w:rsid w:val="00DD443B"/>
    <w:rsid w:val="00DF7EDD"/>
    <w:rsid w:val="00E156B5"/>
    <w:rsid w:val="00E23D3B"/>
    <w:rsid w:val="00E30936"/>
    <w:rsid w:val="00E3315F"/>
    <w:rsid w:val="00E35284"/>
    <w:rsid w:val="00E37DBB"/>
    <w:rsid w:val="00E42B6A"/>
    <w:rsid w:val="00E479CF"/>
    <w:rsid w:val="00E55A43"/>
    <w:rsid w:val="00E649B0"/>
    <w:rsid w:val="00E67961"/>
    <w:rsid w:val="00E742A3"/>
    <w:rsid w:val="00E90132"/>
    <w:rsid w:val="00E9213F"/>
    <w:rsid w:val="00EA3722"/>
    <w:rsid w:val="00EC3915"/>
    <w:rsid w:val="00EC4CB9"/>
    <w:rsid w:val="00EF66EA"/>
    <w:rsid w:val="00F06133"/>
    <w:rsid w:val="00F251AB"/>
    <w:rsid w:val="00F30836"/>
    <w:rsid w:val="00F453AA"/>
    <w:rsid w:val="00F66D48"/>
    <w:rsid w:val="00F70C65"/>
    <w:rsid w:val="00F7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102</cp:revision>
  <cp:lastPrinted>2014-04-09T01:16:00Z</cp:lastPrinted>
  <dcterms:created xsi:type="dcterms:W3CDTF">2014-02-26T02:20:00Z</dcterms:created>
  <dcterms:modified xsi:type="dcterms:W3CDTF">2014-04-10T00:47:00Z</dcterms:modified>
</cp:coreProperties>
</file>