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493" w:tblpY="2536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shd w:val="clear" w:color="auto" w:fill="FFFFFF" w:themeFill="background1"/>
        <w:tblLayout w:type="fixed"/>
        <w:tblLook w:val="04A0"/>
      </w:tblPr>
      <w:tblGrid>
        <w:gridCol w:w="6899"/>
        <w:gridCol w:w="1147"/>
        <w:gridCol w:w="1418"/>
        <w:gridCol w:w="1701"/>
        <w:gridCol w:w="1134"/>
        <w:gridCol w:w="1701"/>
        <w:gridCol w:w="1701"/>
      </w:tblGrid>
      <w:tr w:rsidR="00B93E43" w:rsidRPr="00745077" w:rsidTr="00F70C65">
        <w:trPr>
          <w:trHeight w:val="300"/>
        </w:trPr>
        <w:tc>
          <w:tcPr>
            <w:tcW w:w="15701" w:type="dxa"/>
            <w:gridSpan w:val="7"/>
            <w:shd w:val="clear" w:color="auto" w:fill="008000"/>
          </w:tcPr>
          <w:p w:rsidR="00B93E43" w:rsidRPr="00702EE2" w:rsidRDefault="00B804DE" w:rsidP="0040216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Financial Result</w:t>
            </w:r>
            <w:r w:rsidR="00226861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s</w:t>
            </w:r>
            <w:r w:rsidR="009769EA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9769EA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–</w:t>
            </w:r>
            <w:r w:rsidR="009769EA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>Consolidated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 xml:space="preserve"> Profit</w:t>
            </w:r>
            <w:r w:rsidR="00B93E43"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&amp;</w:t>
            </w:r>
            <w:r w:rsidR="00B93E43" w:rsidRPr="002E3E39">
              <w:rPr>
                <w:rFonts w:ascii="Arial" w:hAnsi="Arial" w:cs="Arial" w:hint="eastAsia"/>
                <w:b/>
                <w:color w:val="FFFFFF" w:themeColor="background1"/>
                <w:sz w:val="30"/>
                <w:szCs w:val="30"/>
              </w:rPr>
              <w:t xml:space="preserve"> </w:t>
            </w:r>
            <w:r w:rsidR="00B93E43" w:rsidRPr="002E3E39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Loss Statement</w:t>
            </w:r>
          </w:p>
        </w:tc>
      </w:tr>
      <w:tr w:rsidR="00F70C65" w:rsidRPr="00745077" w:rsidTr="00F70C65">
        <w:trPr>
          <w:trHeight w:val="300"/>
        </w:trPr>
        <w:tc>
          <w:tcPr>
            <w:tcW w:w="6899" w:type="dxa"/>
            <w:shd w:val="clear" w:color="auto" w:fill="FFFFFF" w:themeFill="background1"/>
            <w:vAlign w:val="bottom"/>
            <w:hideMark/>
          </w:tcPr>
          <w:p w:rsidR="00F70C65" w:rsidRPr="00745077" w:rsidRDefault="00F70C65" w:rsidP="0040216D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4266" w:type="dxa"/>
            <w:gridSpan w:val="3"/>
            <w:shd w:val="clear" w:color="auto" w:fill="FFFFFF" w:themeFill="background1"/>
          </w:tcPr>
          <w:p w:rsidR="00F70C65" w:rsidRPr="00F70C65" w:rsidRDefault="00F70C65" w:rsidP="0040216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F70C65">
              <w:rPr>
                <w:rFonts w:ascii="Arial" w:hAnsi="Arial" w:cs="Arial"/>
                <w:b/>
              </w:rPr>
              <w:t>B&amp;M Business</w:t>
            </w:r>
          </w:p>
        </w:tc>
        <w:tc>
          <w:tcPr>
            <w:tcW w:w="4536" w:type="dxa"/>
            <w:gridSpan w:val="3"/>
            <w:shd w:val="clear" w:color="auto" w:fill="FFFFFF" w:themeFill="background1"/>
            <w:vAlign w:val="bottom"/>
            <w:hideMark/>
          </w:tcPr>
          <w:p w:rsidR="00F70C65" w:rsidRPr="00F70C65" w:rsidRDefault="00F70C65" w:rsidP="0040216D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F70C65">
              <w:rPr>
                <w:rFonts w:ascii="Arial" w:hAnsi="Arial" w:cs="Arial"/>
                <w:b/>
              </w:rPr>
              <w:t>Online Business</w:t>
            </w:r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FFFFFF" w:themeFill="background1"/>
            <w:vAlign w:val="bottom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1147" w:type="dxa"/>
            <w:shd w:val="clear" w:color="auto" w:fill="FFFFFF" w:themeFill="background1"/>
            <w:vAlign w:val="center"/>
          </w:tcPr>
          <w:p w:rsidR="000D3C0F" w:rsidRPr="00F70C65" w:rsidRDefault="000D3C0F" w:rsidP="00E90132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F70C65">
              <w:rPr>
                <w:rFonts w:ascii="Arial" w:hAnsi="Arial" w:cs="Arial" w:hint="eastAsia"/>
                <w:bCs/>
                <w:kern w:val="0"/>
                <w:szCs w:val="21"/>
              </w:rPr>
              <w:t>T</w:t>
            </w:r>
            <w:r w:rsidR="00E90132">
              <w:rPr>
                <w:rFonts w:ascii="Arial" w:hAnsi="Arial" w:cs="Arial" w:hint="eastAsia"/>
                <w:bCs/>
                <w:kern w:val="0"/>
                <w:szCs w:val="21"/>
              </w:rPr>
              <w:t>otal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:rsidR="000D3C0F" w:rsidRPr="00F70C65" w:rsidRDefault="00F70C65" w:rsidP="00F70C65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F70C65">
              <w:rPr>
                <w:rFonts w:ascii="Arial" w:hAnsi="Arial" w:cs="Arial" w:hint="eastAsia"/>
                <w:bCs/>
                <w:kern w:val="0"/>
                <w:szCs w:val="21"/>
              </w:rPr>
              <w:t>Elecssories</w:t>
            </w:r>
          </w:p>
        </w:tc>
        <w:tc>
          <w:tcPr>
            <w:tcW w:w="1701" w:type="dxa"/>
            <w:shd w:val="clear" w:color="auto" w:fill="FFFFFF" w:themeFill="background1"/>
            <w:vAlign w:val="center"/>
            <w:hideMark/>
          </w:tcPr>
          <w:p w:rsidR="000D3C0F" w:rsidRPr="00F70C65" w:rsidRDefault="00F70C65" w:rsidP="00F70C65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F70C65">
              <w:rPr>
                <w:rFonts w:ascii="Arial" w:hAnsi="Arial" w:cs="Arial" w:hint="eastAsia"/>
                <w:bCs/>
                <w:kern w:val="0"/>
                <w:szCs w:val="21"/>
              </w:rPr>
              <w:t>HealthBeauties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0D3C0F" w:rsidRPr="00F70C65" w:rsidRDefault="00E90132" w:rsidP="00F70C65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Total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D3C0F" w:rsidRPr="00F70C65" w:rsidRDefault="00F70C65" w:rsidP="00F70C65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Elecssories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D3C0F" w:rsidRPr="00F70C65" w:rsidRDefault="00F70C65" w:rsidP="00F70C65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>
              <w:rPr>
                <w:rFonts w:ascii="Arial" w:hAnsi="Arial" w:cs="Arial" w:hint="eastAsia"/>
                <w:bCs/>
                <w:kern w:val="0"/>
                <w:szCs w:val="21"/>
              </w:rPr>
              <w:t>HealthBeauties</w:t>
            </w:r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Sales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F70C65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F70C65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F70C65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F70C65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F70C65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F70C65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F70C65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F70C65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F70C65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- </w:t>
            </w:r>
            <w:r w:rsidRPr="00C45A82">
              <w:rPr>
                <w:rFonts w:ascii="Arial" w:hAnsi="Arial" w:cs="Arial"/>
              </w:rPr>
              <w:t>Material Costs 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(1) Cost of Goods Sold 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(2) Discontinued Goods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(3) Inventory Holding Cost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D106B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4D106B" w:rsidRPr="004D106B" w:rsidRDefault="004D106B" w:rsidP="000D3C0F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 xml:space="preserve">      (4) eMall Commission 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4D106B" w:rsidRPr="00745077" w:rsidRDefault="004D106B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4D106B" w:rsidRPr="00745077" w:rsidRDefault="004D106B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D106B" w:rsidRPr="00745077" w:rsidRDefault="004D106B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4D106B" w:rsidRPr="00745077" w:rsidRDefault="004D106B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D106B" w:rsidRPr="00745077" w:rsidRDefault="004D106B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D106B" w:rsidRPr="00745077" w:rsidRDefault="004D106B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4D106B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4D106B" w:rsidRDefault="004D106B" w:rsidP="000D3C0F">
            <w:pPr>
              <w:widowControl/>
              <w:spacing w:line="240" w:lineRule="auto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 xml:space="preserve">      (5) Service Cost 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4D106B" w:rsidRPr="00745077" w:rsidRDefault="004D106B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4D106B" w:rsidRPr="00745077" w:rsidRDefault="004D106B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  <w:hideMark/>
          </w:tcPr>
          <w:p w:rsidR="004D106B" w:rsidRPr="00745077" w:rsidRDefault="004D106B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4D106B" w:rsidRPr="00745077" w:rsidRDefault="004D106B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D106B" w:rsidRPr="00745077" w:rsidRDefault="004D106B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D106B" w:rsidRPr="00745077" w:rsidRDefault="004D106B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1028E0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Gross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1028E0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1028E0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1028E0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1028E0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1028E0"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1028E0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1028E0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Gross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335B56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Trade and Marketing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 </w:t>
            </w:r>
            <w:r w:rsidRPr="00C45A82">
              <w:rPr>
                <w:rFonts w:ascii="Arial" w:hAnsi="Arial" w:cs="Arial"/>
              </w:rPr>
              <w:t>Trade and Marketing Expenses (as % of sales)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General Expenses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Amortisation 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Operating Profit ($mln)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Operating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- Interest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Taxes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>- Exceptional Costs/Profits</w:t>
            </w:r>
            <w:r w:rsidRPr="00745077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Net Profit</w:t>
            </w:r>
            <w:r w:rsidRPr="00745077">
              <w:rPr>
                <w:rFonts w:ascii="Arial" w:hAnsi="Arial" w:cs="Arial" w:hint="eastAsia"/>
                <w:b/>
                <w:bCs/>
                <w:kern w:val="0"/>
                <w:szCs w:val="21"/>
              </w:rPr>
              <w:t xml:space="preserve"> 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($mln)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285"/>
        </w:trPr>
        <w:tc>
          <w:tcPr>
            <w:tcW w:w="6899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                   </w:t>
            </w:r>
            <w:r w:rsidRPr="00C45A82">
              <w:rPr>
                <w:rFonts w:ascii="Arial" w:hAnsi="Arial" w:cs="Arial"/>
              </w:rPr>
              <w:t>Change from Previous Period (%)</w:t>
            </w:r>
          </w:p>
        </w:tc>
        <w:tc>
          <w:tcPr>
            <w:tcW w:w="1147" w:type="dxa"/>
            <w:shd w:val="clear" w:color="auto" w:fill="C6D9F1" w:themeFill="text2" w:themeFillTint="33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C6D9F1" w:themeFill="text2" w:themeFillTint="33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D3C0F" w:rsidRPr="00745077" w:rsidTr="00F70C65">
        <w:trPr>
          <w:trHeight w:val="300"/>
        </w:trPr>
        <w:tc>
          <w:tcPr>
            <w:tcW w:w="6899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kern w:val="0"/>
                <w:szCs w:val="21"/>
              </w:rPr>
              <w:t xml:space="preserve">Net Profit </w:t>
            </w:r>
            <w:r>
              <w:rPr>
                <w:rFonts w:ascii="Arial" w:hAnsi="Arial" w:cs="Arial" w:hint="eastAsia"/>
                <w:b/>
                <w:bCs/>
                <w:kern w:val="0"/>
                <w:szCs w:val="21"/>
              </w:rPr>
              <w:t>M</w:t>
            </w:r>
            <w:r w:rsidRPr="00745077">
              <w:rPr>
                <w:rFonts w:ascii="Arial" w:hAnsi="Arial" w:cs="Arial"/>
                <w:b/>
                <w:bCs/>
                <w:kern w:val="0"/>
                <w:szCs w:val="21"/>
              </w:rPr>
              <w:t>argin (%)</w:t>
            </w:r>
          </w:p>
        </w:tc>
        <w:tc>
          <w:tcPr>
            <w:tcW w:w="1147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418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shd w:val="clear" w:color="auto" w:fill="17365D" w:themeFill="text2" w:themeFillShade="BF"/>
            <w:hideMark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745077">
              <w:rPr>
                <w:rFonts w:ascii="Arial" w:hAnsi="Arial" w:cs="Arial"/>
                <w:kern w:val="0"/>
                <w:szCs w:val="21"/>
              </w:rPr>
              <w:t xml:space="preserve">　</w:t>
            </w: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701" w:type="dxa"/>
            <w:shd w:val="clear" w:color="auto" w:fill="17365D" w:themeFill="text2" w:themeFillShade="BF"/>
          </w:tcPr>
          <w:p w:rsidR="000D3C0F" w:rsidRPr="00745077" w:rsidRDefault="000D3C0F" w:rsidP="000D3C0F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2B3310" w:rsidRPr="00745077" w:rsidRDefault="00A97F54" w:rsidP="00016A23">
      <w:pPr>
        <w:ind w:left="-1260" w:hanging="90"/>
        <w:rPr>
          <w:szCs w:val="21"/>
        </w:rPr>
      </w:pPr>
      <w:r w:rsidRPr="00A97F54">
        <w:rPr>
          <w:noProof/>
          <w:szCs w:val="21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739.65pt;margin-top:46.5pt;width:280.3pt;height:532.65pt;z-index:251664384;mso-position-horizontal-relative:text;mso-position-vertical-relative:text" o:regroupid="1" stroked="f">
            <v:textbox style="mso-next-textbox:#_x0000_s2051">
              <w:txbxContent>
                <w:p w:rsidR="00AA304F" w:rsidRPr="00C564A8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A304F" w:rsidRDefault="00AA304F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E479CF" w:rsidRPr="00E479CF" w:rsidRDefault="00E35284" w:rsidP="00E479C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6F32B6">
                    <w:rPr>
                      <w:rFonts w:ascii="Arial" w:hAnsi="Arial" w:cs="Arial"/>
                      <w:b/>
                      <w:color w:val="00800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479CF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E479CF" w:rsidRDefault="00E35284" w:rsidP="00E3528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6F32B6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465D4D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465D4D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E479CF" w:rsidRPr="00A42C9A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E479CF" w:rsidRPr="00A42C9A" w:rsidRDefault="00075289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B&amp;M Business</w:t>
                  </w:r>
                  <w:r w:rsidRPr="00A42C9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 w:rsidRPr="00A42C9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 w:rsidRPr="00A42C9A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A42C9A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075289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Online Business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E479C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E479CF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E479CF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E479CF" w:rsidRPr="00491272" w:rsidRDefault="00E479CF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Profitability by Channel</w:t>
                  </w:r>
                </w:p>
                <w:p w:rsidR="00E479CF" w:rsidRDefault="00E479CF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C034A0" w:rsidRPr="00491272" w:rsidRDefault="00C034A0" w:rsidP="00465D4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56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Market Research </w:t>
                  </w:r>
                  <w:r w:rsidR="005A55C1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Purchases</w:t>
                  </w:r>
                </w:p>
                <w:p w:rsidR="00E479CF" w:rsidRDefault="00133263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Elecssories </w:t>
                  </w:r>
                  <w:r w:rsidR="00E479CF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 w:rsidR="00AF57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133263" w:rsidRDefault="00133263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E479CF" w:rsidRDefault="00E479CF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5E0424" w:rsidRDefault="005E0424" w:rsidP="006F32B6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AA304F" w:rsidRDefault="00AA304F" w:rsidP="005E042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  <w:r w:rsidRPr="00A97F54">
        <w:rPr>
          <w:noProof/>
          <w:szCs w:val="21"/>
        </w:rPr>
        <w:pict>
          <v:shape id="_x0000_s2050" type="#_x0000_t202" style="position:absolute;left:0;text-align:left;margin-left:-69.6pt;margin-top:1.5pt;width:782.25pt;height:32.25pt;z-index:251658240;mso-position-horizontal-relative:text;mso-position-vertical-relative:text" strokecolor="#4bacc6">
            <v:textbox>
              <w:txbxContent>
                <w:p w:rsidR="00AA304F" w:rsidRPr="00C85BA8" w:rsidRDefault="00C85BA8" w:rsidP="00AA304F">
                  <w:pPr>
                    <w:rPr>
                      <w:rFonts w:ascii="Arial" w:hAnsi="Arial" w:cs="Arial"/>
                      <w:color w:val="404040" w:themeColor="text1" w:themeTint="BF"/>
                    </w:rPr>
                  </w:pPr>
                  <w:r w:rsidRPr="00C85BA8">
                    <w:rPr>
                      <w:rFonts w:ascii="Arial" w:hAnsi="Arial" w:cs="Arial"/>
                      <w:color w:val="404040" w:themeColor="text1" w:themeTint="BF"/>
                    </w:rPr>
                    <w:t>This table gives a consolidated Profit</w:t>
                  </w:r>
                  <w:r w:rsidR="00160CDE">
                    <w:rPr>
                      <w:rFonts w:ascii="Arial" w:hAnsi="Arial" w:cs="Arial" w:hint="eastAsia"/>
                      <w:color w:val="404040" w:themeColor="text1" w:themeTint="BF"/>
                    </w:rPr>
                    <w:t xml:space="preserve"> </w:t>
                  </w:r>
                  <w:r w:rsidRPr="00C85BA8">
                    <w:rPr>
                      <w:rFonts w:ascii="Arial" w:hAnsi="Arial" w:cs="Arial"/>
                      <w:color w:val="404040" w:themeColor="text1" w:themeTint="BF"/>
                    </w:rPr>
                    <w:t>&amp;</w:t>
                  </w:r>
                  <w:r w:rsidR="00160CDE">
                    <w:rPr>
                      <w:rFonts w:ascii="Arial" w:hAnsi="Arial" w:cs="Arial" w:hint="eastAsia"/>
                      <w:color w:val="404040" w:themeColor="text1" w:themeTint="BF"/>
                    </w:rPr>
                    <w:t xml:space="preserve"> </w:t>
                  </w:r>
                  <w:r w:rsidRPr="00C85BA8">
                    <w:rPr>
                      <w:rFonts w:ascii="Arial" w:hAnsi="Arial" w:cs="Arial"/>
                      <w:color w:val="404040" w:themeColor="text1" w:themeTint="BF"/>
                    </w:rPr>
                    <w:t>Loss statement by category in each channel.</w:t>
                  </w:r>
                  <w:r w:rsidR="00AA304F" w:rsidRPr="00C85BA8">
                    <w:rPr>
                      <w:rFonts w:ascii="Arial" w:hAnsi="Arial" w:cs="Arial"/>
                      <w:color w:val="404040" w:themeColor="text1" w:themeTint="BF"/>
                    </w:rPr>
                    <w:t xml:space="preserve"> </w:t>
                  </w:r>
                </w:p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0EB" w:rsidRDefault="000E00EB" w:rsidP="002E3E39">
      <w:pPr>
        <w:spacing w:line="240" w:lineRule="auto"/>
      </w:pPr>
      <w:r>
        <w:separator/>
      </w:r>
    </w:p>
  </w:endnote>
  <w:endnote w:type="continuationSeparator" w:id="1">
    <w:p w:rsidR="000E00EB" w:rsidRDefault="000E00EB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0EB" w:rsidRDefault="000E00EB" w:rsidP="002E3E39">
      <w:pPr>
        <w:spacing w:line="240" w:lineRule="auto"/>
      </w:pPr>
      <w:r>
        <w:separator/>
      </w:r>
    </w:p>
  </w:footnote>
  <w:footnote w:type="continuationSeparator" w:id="1">
    <w:p w:rsidR="000E00EB" w:rsidRDefault="000E00EB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>
      <o:colormru v:ext="edit" colors="green"/>
      <o:colormenu v:ext="edit" strokecolor="green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577B"/>
    <w:rsid w:val="000428EA"/>
    <w:rsid w:val="00046AF9"/>
    <w:rsid w:val="00055134"/>
    <w:rsid w:val="00075289"/>
    <w:rsid w:val="000C07E6"/>
    <w:rsid w:val="000D3C0F"/>
    <w:rsid w:val="000E00EB"/>
    <w:rsid w:val="001028E0"/>
    <w:rsid w:val="00133263"/>
    <w:rsid w:val="001332A2"/>
    <w:rsid w:val="00150E1A"/>
    <w:rsid w:val="00160CDE"/>
    <w:rsid w:val="00167383"/>
    <w:rsid w:val="001B18A3"/>
    <w:rsid w:val="001E4364"/>
    <w:rsid w:val="001E596F"/>
    <w:rsid w:val="00226861"/>
    <w:rsid w:val="00232989"/>
    <w:rsid w:val="00244E61"/>
    <w:rsid w:val="0027489A"/>
    <w:rsid w:val="002B3310"/>
    <w:rsid w:val="002B38F4"/>
    <w:rsid w:val="002B4030"/>
    <w:rsid w:val="002B6BCF"/>
    <w:rsid w:val="002E3E39"/>
    <w:rsid w:val="002F5537"/>
    <w:rsid w:val="0032517B"/>
    <w:rsid w:val="00335B56"/>
    <w:rsid w:val="00357414"/>
    <w:rsid w:val="00383B87"/>
    <w:rsid w:val="003B1A45"/>
    <w:rsid w:val="003B1ED0"/>
    <w:rsid w:val="0040216D"/>
    <w:rsid w:val="00465D4D"/>
    <w:rsid w:val="00475B6A"/>
    <w:rsid w:val="0049700C"/>
    <w:rsid w:val="004C070F"/>
    <w:rsid w:val="004D106B"/>
    <w:rsid w:val="004E4336"/>
    <w:rsid w:val="00545805"/>
    <w:rsid w:val="00556AA2"/>
    <w:rsid w:val="005645AD"/>
    <w:rsid w:val="005648FE"/>
    <w:rsid w:val="00595ABB"/>
    <w:rsid w:val="005A55C1"/>
    <w:rsid w:val="005D61CC"/>
    <w:rsid w:val="005E0424"/>
    <w:rsid w:val="005E0B30"/>
    <w:rsid w:val="005F6862"/>
    <w:rsid w:val="006049B7"/>
    <w:rsid w:val="00661A17"/>
    <w:rsid w:val="006631EE"/>
    <w:rsid w:val="00673C83"/>
    <w:rsid w:val="00685478"/>
    <w:rsid w:val="006C38CA"/>
    <w:rsid w:val="006F32B6"/>
    <w:rsid w:val="00702EE2"/>
    <w:rsid w:val="00745077"/>
    <w:rsid w:val="00765745"/>
    <w:rsid w:val="007836B7"/>
    <w:rsid w:val="007B4305"/>
    <w:rsid w:val="007B58CB"/>
    <w:rsid w:val="007E4C85"/>
    <w:rsid w:val="00890535"/>
    <w:rsid w:val="008969EE"/>
    <w:rsid w:val="0091593C"/>
    <w:rsid w:val="00934A2E"/>
    <w:rsid w:val="009769EA"/>
    <w:rsid w:val="009A306A"/>
    <w:rsid w:val="009F14FC"/>
    <w:rsid w:val="00A10648"/>
    <w:rsid w:val="00A42C9A"/>
    <w:rsid w:val="00A97F54"/>
    <w:rsid w:val="00AA304F"/>
    <w:rsid w:val="00AB2931"/>
    <w:rsid w:val="00AB347C"/>
    <w:rsid w:val="00AE05EE"/>
    <w:rsid w:val="00AF5703"/>
    <w:rsid w:val="00B023E4"/>
    <w:rsid w:val="00B06B4F"/>
    <w:rsid w:val="00B31522"/>
    <w:rsid w:val="00B37587"/>
    <w:rsid w:val="00B804DE"/>
    <w:rsid w:val="00B820A4"/>
    <w:rsid w:val="00B93E43"/>
    <w:rsid w:val="00BB51FB"/>
    <w:rsid w:val="00BC7F00"/>
    <w:rsid w:val="00C034A0"/>
    <w:rsid w:val="00C47735"/>
    <w:rsid w:val="00C55F0F"/>
    <w:rsid w:val="00C564A8"/>
    <w:rsid w:val="00C777E0"/>
    <w:rsid w:val="00C82E4E"/>
    <w:rsid w:val="00C85BA8"/>
    <w:rsid w:val="00CC1CF0"/>
    <w:rsid w:val="00CD2B2C"/>
    <w:rsid w:val="00CF5C5E"/>
    <w:rsid w:val="00CF6324"/>
    <w:rsid w:val="00D07D17"/>
    <w:rsid w:val="00D37F59"/>
    <w:rsid w:val="00D445E5"/>
    <w:rsid w:val="00D54506"/>
    <w:rsid w:val="00D567A4"/>
    <w:rsid w:val="00D753D8"/>
    <w:rsid w:val="00D76231"/>
    <w:rsid w:val="00D8783E"/>
    <w:rsid w:val="00D974EA"/>
    <w:rsid w:val="00DD443B"/>
    <w:rsid w:val="00E30936"/>
    <w:rsid w:val="00E3315F"/>
    <w:rsid w:val="00E35284"/>
    <w:rsid w:val="00E37DBB"/>
    <w:rsid w:val="00E42B6A"/>
    <w:rsid w:val="00E479CF"/>
    <w:rsid w:val="00E90132"/>
    <w:rsid w:val="00EC3915"/>
    <w:rsid w:val="00F06133"/>
    <w:rsid w:val="00F251AB"/>
    <w:rsid w:val="00F453AA"/>
    <w:rsid w:val="00F66D48"/>
    <w:rsid w:val="00F70C65"/>
    <w:rsid w:val="00F77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ru v:ext="edit" colors="green"/>
      <o:colormenu v:ext="edit" strokecolor="green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51</cp:revision>
  <cp:lastPrinted>2014-04-04T06:56:00Z</cp:lastPrinted>
  <dcterms:created xsi:type="dcterms:W3CDTF">2014-02-26T02:20:00Z</dcterms:created>
  <dcterms:modified xsi:type="dcterms:W3CDTF">2014-12-08T02:49:00Z</dcterms:modified>
</cp:coreProperties>
</file>