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rawings/drawing3.xml" ContentType="application/vnd.openxmlformats-officedocument.drawingml.chartshapes+xml"/>
  <Override PartName="/word/drawings/drawing4.xml" ContentType="application/vnd.openxmlformats-officedocument.drawingml.chartshap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833" w:rsidRPr="000A3759" w:rsidRDefault="00EC05C1" w:rsidP="00BE1833">
      <w:pPr>
        <w:widowControl/>
        <w:rPr>
          <w:rFonts w:ascii="Arial" w:hAnsi="Arial" w:cs="Arial"/>
        </w:rPr>
      </w:pPr>
      <w:r w:rsidRPr="00EC05C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-30.8pt;margin-top:-30pt;width:649.7pt;height:43.95pt;z-index:251671552" strokecolor="#4bacc6">
            <v:textbox style="mso-next-textbox:#_x0000_s2056;mso-fit-shape-to-text:t">
              <w:txbxContent>
                <w:p w:rsidR="000A3759" w:rsidRPr="00501FB4" w:rsidRDefault="00501FB4" w:rsidP="00501FB4">
                  <w:r w:rsidRPr="00BB2C5E">
                    <w:rPr>
                      <w:rFonts w:ascii="Arial" w:hAnsi="Arial" w:cs="Arial"/>
                      <w:szCs w:val="21"/>
                    </w:rPr>
                    <w:t>These graphs show the consumer market shares for suppliers and retailers (private lab</w:t>
                  </w:r>
                  <w:r w:rsidR="00B709A7">
                    <w:rPr>
                      <w:rFonts w:ascii="Arial" w:hAnsi="Arial" w:cs="Arial"/>
                      <w:szCs w:val="21"/>
                    </w:rPr>
                    <w:t>el) by market, consumer segment</w:t>
                  </w:r>
                  <w:r w:rsidRPr="00BB2C5E">
                    <w:rPr>
                      <w:rFonts w:ascii="Arial" w:hAnsi="Arial" w:cs="Arial"/>
                      <w:szCs w:val="21"/>
                    </w:rPr>
                    <w:t xml:space="preserve"> and shopper segment. More detailed information can be obtained by moving the cursor over the colors in the bar charts.</w:t>
                  </w:r>
                </w:p>
              </w:txbxContent>
            </v:textbox>
            <w10:wrap type="square"/>
          </v:shape>
        </w:pict>
      </w:r>
    </w:p>
    <w:p w:rsidR="00BE1833" w:rsidRPr="000A3759" w:rsidRDefault="00BE1833" w:rsidP="00265843">
      <w:pPr>
        <w:widowControl/>
      </w:pPr>
    </w:p>
    <w:p w:rsidR="00BE1833" w:rsidRDefault="00EC05C1" w:rsidP="00265843">
      <w:pPr>
        <w:widowControl/>
      </w:pPr>
      <w:r>
        <w:rPr>
          <w:noProof/>
        </w:rPr>
        <w:pict>
          <v:shape id="_x0000_s2053" type="#_x0000_t202" style="position:absolute;left:0;text-align:left;margin-left:-30.8pt;margin-top:14.9pt;width:649.7pt;height:49.25pt;z-index:251662336" fillcolor="#428bca">
            <v:textbox style="mso-next-textbox:#_x0000_s2053">
              <w:txbxContent>
                <w:p w:rsidR="00BE1833" w:rsidRPr="00BE1833" w:rsidRDefault="006A19B7" w:rsidP="00BE1833">
                  <w:pPr>
                    <w:adjustRightInd w:val="0"/>
                    <w:snapToGrid w:val="0"/>
                    <w:spacing w:line="240" w:lineRule="auto"/>
                    <w:jc w:val="center"/>
                    <w:rPr>
                      <w:rFonts w:ascii="Arial" w:hAnsi="Arial" w:cs="Arial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</w:pPr>
                  <w:r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Market Shares </w:t>
                  </w:r>
                </w:p>
              </w:txbxContent>
            </v:textbox>
          </v:shape>
        </w:pict>
      </w:r>
    </w:p>
    <w:p w:rsidR="00BE1833" w:rsidRDefault="00BE1833" w:rsidP="00265843">
      <w:pPr>
        <w:widowControl/>
      </w:pPr>
    </w:p>
    <w:p w:rsidR="00BE1833" w:rsidRDefault="00EC05C1" w:rsidP="00265843">
      <w:pPr>
        <w:widowControl/>
      </w:pPr>
      <w:r>
        <w:rPr>
          <w:noProof/>
        </w:rPr>
        <w:pict>
          <v:shape id="_x0000_s2054" type="#_x0000_t202" style="position:absolute;left:0;text-align:left;margin-left:688.6pt;margin-top:11.8pt;width:202.35pt;height:453.2pt;z-index:251669504" strokecolor="white [3212]">
            <v:textbox style="mso-next-textbox:#_x0000_s2054">
              <w:txbxContent>
                <w:p w:rsidR="00492977" w:rsidRDefault="00492977" w:rsidP="0049297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B9149C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492977" w:rsidRPr="00492977" w:rsidRDefault="00492977" w:rsidP="0049297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492977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492977" w:rsidRDefault="00492977" w:rsidP="0049297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492977" w:rsidRDefault="00492977" w:rsidP="0049297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492977" w:rsidRPr="00492977" w:rsidRDefault="00492977" w:rsidP="0049297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492977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492977" w:rsidRDefault="00492977" w:rsidP="0049297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492977" w:rsidRDefault="00492977" w:rsidP="0049297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777C27" w:rsidRDefault="00777C27" w:rsidP="00777C2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116300" w:rsidRDefault="00116300" w:rsidP="00116300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116300" w:rsidRDefault="00116300" w:rsidP="00116300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777C27" w:rsidRDefault="00777C27" w:rsidP="00777C2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777C27" w:rsidRDefault="00777C27" w:rsidP="00777C2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777C27" w:rsidRPr="00E2365A" w:rsidRDefault="00777C27" w:rsidP="00777C2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E2365A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Pr="00E2365A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777C27" w:rsidRPr="00633812" w:rsidRDefault="00777C27" w:rsidP="00777C2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Perceptions</w:t>
                  </w:r>
                </w:p>
                <w:p w:rsidR="00777C27" w:rsidRPr="003F242F" w:rsidRDefault="00777C27" w:rsidP="00777C2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777C27" w:rsidRDefault="00777C27" w:rsidP="00777C2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777C27" w:rsidRDefault="00777C27" w:rsidP="00777C2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777C27" w:rsidRDefault="00777C27" w:rsidP="00777C2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777C27" w:rsidRDefault="00777C27" w:rsidP="00777C2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777C27" w:rsidRDefault="00777C27" w:rsidP="00777C2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777C27" w:rsidRDefault="00777C27" w:rsidP="00777C2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777C27" w:rsidRDefault="00777C27" w:rsidP="00777C2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777C27" w:rsidRDefault="00777C27" w:rsidP="00777C2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777C27" w:rsidRDefault="00777C27" w:rsidP="00777C27"/>
                <w:p w:rsidR="00492977" w:rsidRDefault="00492977" w:rsidP="00777C2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</w:p>
    <w:p w:rsidR="00BE1833" w:rsidRDefault="00BE1833" w:rsidP="00265843">
      <w:pPr>
        <w:widowControl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-381635</wp:posOffset>
            </wp:positionH>
            <wp:positionV relativeFrom="paragraph">
              <wp:posOffset>109855</wp:posOffset>
            </wp:positionV>
            <wp:extent cx="8199120" cy="4020185"/>
            <wp:effectExtent l="19050" t="0" r="11430" b="0"/>
            <wp:wrapThrough wrapText="bothSides">
              <wp:wrapPolygon edited="0">
                <wp:start x="-50" y="0"/>
                <wp:lineTo x="-50" y="21597"/>
                <wp:lineTo x="21630" y="21597"/>
                <wp:lineTo x="21630" y="0"/>
                <wp:lineTo x="-50" y="0"/>
              </wp:wrapPolygon>
            </wp:wrapThrough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BE1833" w:rsidRDefault="00EC05C1" w:rsidP="00265843">
      <w:pPr>
        <w:widowControl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left:0;text-align:left;margin-left:50.5pt;margin-top:.75pt;width:0;height:20.25pt;z-index:251670528" o:connectortype="straight" strokecolor="#002060" strokeweight="1.5pt"/>
        </w:pict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EC05C1" w:rsidP="00265843">
      <w:pPr>
        <w:widowControl/>
      </w:pPr>
      <w:r>
        <w:rPr>
          <w:noProof/>
        </w:rPr>
        <w:pict>
          <v:shape id="_x0000_s2057" type="#_x0000_t202" style="position:absolute;left:0;text-align:left;margin-left:-587.75pt;margin-top:14.25pt;width:136.5pt;height:51.75pt;z-index:251672576">
            <v:textbox>
              <w:txbxContent>
                <w:p w:rsidR="003F66D2" w:rsidRPr="00330E70" w:rsidRDefault="003F66D2" w:rsidP="003F66D2">
                  <w:pPr>
                    <w:adjustRightInd w:val="0"/>
                    <w:snapToGrid w:val="0"/>
                    <w:spacing w:line="300" w:lineRule="exac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b/>
                      <w:sz w:val="15"/>
                      <w:szCs w:val="15"/>
                    </w:rPr>
                    <w:t xml:space="preserve">Supplier </w:t>
                  </w:r>
                  <w:r>
                    <w:rPr>
                      <w:rFonts w:ascii="Arial" w:hAnsi="Arial" w:cs="Arial" w:hint="eastAsia"/>
                      <w:b/>
                      <w:sz w:val="15"/>
                      <w:szCs w:val="15"/>
                    </w:rPr>
                    <w:t>3</w:t>
                  </w:r>
                </w:p>
                <w:p w:rsidR="003F66D2" w:rsidRPr="00330E70" w:rsidRDefault="000B25A4" w:rsidP="003F66D2">
                  <w:pPr>
                    <w:adjustRightInd w:val="0"/>
                    <w:snapToGrid w:val="0"/>
                    <w:spacing w:line="300" w:lineRule="exact"/>
                    <w:rPr>
                      <w:rFonts w:ascii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hAnsi="Arial" w:cs="Arial" w:hint="eastAsia"/>
                      <w:sz w:val="15"/>
                      <w:szCs w:val="15"/>
                    </w:rPr>
                    <w:t>Volume Market Share</w:t>
                  </w:r>
                  <w:r w:rsidR="003F66D2">
                    <w:rPr>
                      <w:rFonts w:ascii="Arial" w:hAnsi="Arial" w:cs="Arial"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sz w:val="15"/>
                      <w:szCs w:val="15"/>
                    </w:rPr>
                    <w:t>15%</w:t>
                  </w:r>
                </w:p>
                <w:p w:rsidR="003F66D2" w:rsidRPr="00330E70" w:rsidRDefault="003F66D2" w:rsidP="003F66D2">
                  <w:pPr>
                    <w:adjustRightInd w:val="0"/>
                    <w:snapToGrid w:val="0"/>
                    <w:spacing w:line="300" w:lineRule="exact"/>
                    <w:rPr>
                      <w:rFonts w:ascii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hAnsi="Arial" w:cs="Arial" w:hint="eastAsia"/>
                      <w:sz w:val="15"/>
                      <w:szCs w:val="15"/>
                    </w:rPr>
                    <w:t>+ 3</w:t>
                  </w:r>
                  <w:r w:rsidRPr="00330E70">
                    <w:rPr>
                      <w:rFonts w:ascii="Arial" w:hAnsi="Arial" w:cs="Arial" w:hint="eastAsia"/>
                      <w:sz w:val="15"/>
                      <w:szCs w:val="15"/>
                    </w:rPr>
                    <w:t>% over previous period</w:t>
                  </w:r>
                </w:p>
              </w:txbxContent>
            </v:textbox>
          </v:shape>
        </w:pict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492977" w:rsidP="00302A61">
      <w:pPr>
        <w:widowControl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-8321675</wp:posOffset>
            </wp:positionH>
            <wp:positionV relativeFrom="paragraph">
              <wp:posOffset>19050</wp:posOffset>
            </wp:positionV>
            <wp:extent cx="8199120" cy="4257675"/>
            <wp:effectExtent l="19050" t="0" r="11430" b="0"/>
            <wp:wrapThrough wrapText="bothSides">
              <wp:wrapPolygon edited="0">
                <wp:start x="-50" y="0"/>
                <wp:lineTo x="-50" y="21552"/>
                <wp:lineTo x="21630" y="21552"/>
                <wp:lineTo x="21630" y="0"/>
                <wp:lineTo x="-50" y="0"/>
              </wp:wrapPolygon>
            </wp:wrapThrough>
            <wp:docPr id="10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492977" w:rsidP="00302A61">
      <w:pPr>
        <w:widowControl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-8343265</wp:posOffset>
            </wp:positionH>
            <wp:positionV relativeFrom="paragraph">
              <wp:posOffset>142240</wp:posOffset>
            </wp:positionV>
            <wp:extent cx="8199120" cy="3830955"/>
            <wp:effectExtent l="19050" t="0" r="11430" b="0"/>
            <wp:wrapThrough wrapText="bothSides">
              <wp:wrapPolygon edited="0">
                <wp:start x="-50" y="0"/>
                <wp:lineTo x="-50" y="21589"/>
                <wp:lineTo x="21630" y="21589"/>
                <wp:lineTo x="21630" y="0"/>
                <wp:lineTo x="-50" y="0"/>
              </wp:wrapPolygon>
            </wp:wrapThrough>
            <wp:docPr id="1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492977" w:rsidP="00302A61">
      <w:pPr>
        <w:widowControl/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-8329930</wp:posOffset>
            </wp:positionH>
            <wp:positionV relativeFrom="paragraph">
              <wp:posOffset>86360</wp:posOffset>
            </wp:positionV>
            <wp:extent cx="8199120" cy="3830955"/>
            <wp:effectExtent l="19050" t="0" r="11430" b="0"/>
            <wp:wrapThrough wrapText="bothSides">
              <wp:wrapPolygon edited="0">
                <wp:start x="-50" y="0"/>
                <wp:lineTo x="-50" y="21589"/>
                <wp:lineTo x="21630" y="21589"/>
                <wp:lineTo x="21630" y="0"/>
                <wp:lineTo x="-50" y="0"/>
              </wp:wrapPolygon>
            </wp:wrapThrough>
            <wp:docPr id="1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265843" w:rsidRDefault="00265843" w:rsidP="00302A61">
      <w:pPr>
        <w:widowControl/>
      </w:pPr>
    </w:p>
    <w:sectPr w:rsidR="00265843" w:rsidSect="006A19B7">
      <w:pgSz w:w="19845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310" w:rsidRDefault="005C2310" w:rsidP="00265843">
      <w:pPr>
        <w:spacing w:line="240" w:lineRule="auto"/>
      </w:pPr>
      <w:r>
        <w:separator/>
      </w:r>
    </w:p>
  </w:endnote>
  <w:endnote w:type="continuationSeparator" w:id="0">
    <w:p w:rsidR="005C2310" w:rsidRDefault="005C2310" w:rsidP="00265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310" w:rsidRDefault="005C2310" w:rsidP="00265843">
      <w:pPr>
        <w:spacing w:line="240" w:lineRule="auto"/>
      </w:pPr>
      <w:r>
        <w:separator/>
      </w:r>
    </w:p>
  </w:footnote>
  <w:footnote w:type="continuationSeparator" w:id="0">
    <w:p w:rsidR="005C2310" w:rsidRDefault="005C2310" w:rsidP="002658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strokecolor="#00206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843"/>
    <w:rsid w:val="0000056F"/>
    <w:rsid w:val="00080066"/>
    <w:rsid w:val="000A3759"/>
    <w:rsid w:val="000B25A4"/>
    <w:rsid w:val="000C1AB4"/>
    <w:rsid w:val="000F1A3A"/>
    <w:rsid w:val="00116300"/>
    <w:rsid w:val="0012794B"/>
    <w:rsid w:val="00265843"/>
    <w:rsid w:val="002B2A43"/>
    <w:rsid w:val="002B3310"/>
    <w:rsid w:val="002D2C0F"/>
    <w:rsid w:val="00302A61"/>
    <w:rsid w:val="0036685B"/>
    <w:rsid w:val="003A49BB"/>
    <w:rsid w:val="003B09C4"/>
    <w:rsid w:val="003D32FE"/>
    <w:rsid w:val="003F5225"/>
    <w:rsid w:val="003F66D2"/>
    <w:rsid w:val="00461BAA"/>
    <w:rsid w:val="00492977"/>
    <w:rsid w:val="00501FB4"/>
    <w:rsid w:val="005537E4"/>
    <w:rsid w:val="005645AD"/>
    <w:rsid w:val="005C2310"/>
    <w:rsid w:val="005F1C80"/>
    <w:rsid w:val="00617239"/>
    <w:rsid w:val="006578B5"/>
    <w:rsid w:val="006A19B7"/>
    <w:rsid w:val="00777C27"/>
    <w:rsid w:val="00784131"/>
    <w:rsid w:val="007965E1"/>
    <w:rsid w:val="007B2666"/>
    <w:rsid w:val="00880378"/>
    <w:rsid w:val="00971A36"/>
    <w:rsid w:val="009B2D61"/>
    <w:rsid w:val="009E18C9"/>
    <w:rsid w:val="009E3F44"/>
    <w:rsid w:val="00AE131D"/>
    <w:rsid w:val="00AF5C6D"/>
    <w:rsid w:val="00B709A7"/>
    <w:rsid w:val="00B75BAB"/>
    <w:rsid w:val="00B9149C"/>
    <w:rsid w:val="00BD7519"/>
    <w:rsid w:val="00BE1833"/>
    <w:rsid w:val="00C93007"/>
    <w:rsid w:val="00CA3FFD"/>
    <w:rsid w:val="00D36A61"/>
    <w:rsid w:val="00DE30CD"/>
    <w:rsid w:val="00E03E41"/>
    <w:rsid w:val="00E34DA1"/>
    <w:rsid w:val="00E96B99"/>
    <w:rsid w:val="00EC05C1"/>
    <w:rsid w:val="00EC3172"/>
    <w:rsid w:val="00F6676F"/>
    <w:rsid w:val="00FB28B1"/>
    <w:rsid w:val="00FD5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#002060"/>
    </o:shapedefaults>
    <o:shapelayout v:ext="edit">
      <o:idmap v:ext="edit" data="2"/>
      <o:rules v:ext="edit">
        <o:r id="V:Rule2" type="connector" idref="#_x0000_s2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843"/>
    <w:pPr>
      <w:widowControl w:val="0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645AD"/>
    <w:pPr>
      <w:keepNext/>
      <w:jc w:val="right"/>
      <w:outlineLvl w:val="1"/>
    </w:pPr>
    <w:rPr>
      <w:rFonts w:ascii="宋体" w:hAnsi="宋体"/>
      <w:b/>
      <w:szCs w:val="18"/>
    </w:rPr>
  </w:style>
  <w:style w:type="paragraph" w:styleId="4">
    <w:name w:val="heading 4"/>
    <w:aliases w:val="TSBFOUR"/>
    <w:basedOn w:val="a"/>
    <w:next w:val="a"/>
    <w:link w:val="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645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645AD"/>
    <w:rPr>
      <w:rFonts w:ascii="宋体" w:hAnsi="宋体"/>
      <w:b/>
      <w:kern w:val="2"/>
      <w:sz w:val="21"/>
      <w:szCs w:val="18"/>
    </w:rPr>
  </w:style>
  <w:style w:type="character" w:customStyle="1" w:styleId="4Char">
    <w:name w:val="标题 4 Char"/>
    <w:aliases w:val="TSBFOUR Char"/>
    <w:basedOn w:val="a0"/>
    <w:link w:val="4"/>
    <w:rsid w:val="005645AD"/>
    <w:rPr>
      <w:noProof/>
      <w:kern w:val="2"/>
      <w:sz w:val="24"/>
      <w:lang w:eastAsia="zh-TW"/>
    </w:rPr>
  </w:style>
  <w:style w:type="paragraph" w:styleId="a3">
    <w:name w:val="List Paragraph"/>
    <w:basedOn w:val="a"/>
    <w:uiPriority w:val="34"/>
    <w:qFormat/>
    <w:rsid w:val="005645A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6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65843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6584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65843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E183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1833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49297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E:\HCD%20EA%20job\0000%202%20eTales\2014-02-12%20eTalesReportFormat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E:\HCD%20EA%20job\0000%202%20eTales\2014-02-12%20eTalesReportFormat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E:\HCD%20EA%20job\0000%202%20eTales\2014-02-12%20eTalesReportFormat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E:\HCD%20EA%20job\0000%202%20eTales\2014-02-12%20eTalesReportForm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 algn="l">
              <a:defRPr sz="2400">
                <a:latin typeface="Arial" pitchFamily="34" charset="0"/>
                <a:cs typeface="Arial" pitchFamily="34" charset="0"/>
              </a:defRPr>
            </a:pPr>
            <a:r>
              <a:rPr lang="en-US" altLang="zh-CN" sz="1800" b="1" i="0" baseline="0"/>
              <a:t>Elecssories - Volume Market Share</a:t>
            </a:r>
            <a:endParaRPr lang="zh-CN" altLang="zh-CN" sz="1800"/>
          </a:p>
          <a:p>
            <a:pPr algn="l">
              <a:defRPr sz="2400">
                <a:latin typeface="Arial" pitchFamily="34" charset="0"/>
                <a:cs typeface="Arial" pitchFamily="34" charset="0"/>
              </a:defRPr>
            </a:pPr>
            <a:endParaRPr lang="en-US" altLang="zh-CN" sz="2400" b="1" i="0" baseline="0">
              <a:latin typeface="Arial" pitchFamily="34" charset="0"/>
              <a:cs typeface="Arial" pitchFamily="34" charset="0"/>
            </a:endParaRPr>
          </a:p>
        </c:rich>
      </c:tx>
      <c:layout>
        <c:manualLayout>
          <c:xMode val="edge"/>
          <c:yMode val="edge"/>
          <c:x val="0.2376141869222875"/>
          <c:y val="2.9226428019497187E-2"/>
        </c:manualLayout>
      </c:layout>
    </c:title>
    <c:plotArea>
      <c:layout>
        <c:manualLayout>
          <c:layoutTarget val="inner"/>
          <c:xMode val="edge"/>
          <c:yMode val="edge"/>
          <c:x val="6.9803816895769491E-2"/>
          <c:y val="0.13292345934107871"/>
          <c:w val="0.82760094109298854"/>
          <c:h val="0.67057390103464787"/>
        </c:manualLayout>
      </c:layout>
      <c:barChart>
        <c:barDir val="col"/>
        <c:grouping val="stacked"/>
        <c:ser>
          <c:idx val="0"/>
          <c:order val="0"/>
          <c:tx>
            <c:strRef>
              <c:f>'1.1 Market Share'!$B$4</c:f>
              <c:strCache>
                <c:ptCount val="1"/>
                <c:pt idx="0">
                  <c:v>Supplier 1</c:v>
                </c:pt>
              </c:strCache>
            </c:strRef>
          </c:tx>
          <c:spPr>
            <a:solidFill>
              <a:srgbClr val="3257A7"/>
            </a:solidFill>
          </c:spPr>
          <c:cat>
            <c:strRef>
              <c:f>'1.1 Market Share'!$C$3:$O$3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Fashion</c:v>
                </c:pt>
                <c:pt idx="8">
                  <c:v>Freaks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Share'!$C$4:$O$4</c:f>
              <c:numCache>
                <c:formatCode>General</c:formatCode>
                <c:ptCount val="13"/>
                <c:pt idx="0" formatCode="0%">
                  <c:v>0.24000000000000021</c:v>
                </c:pt>
                <c:pt idx="2" formatCode="0%">
                  <c:v>0.21000000000000021</c:v>
                </c:pt>
                <c:pt idx="3" formatCode="0%">
                  <c:v>0.25</c:v>
                </c:pt>
                <c:pt idx="5" formatCode="0%">
                  <c:v>0.23</c:v>
                </c:pt>
                <c:pt idx="6" formatCode="0%">
                  <c:v>0.39000000000000107</c:v>
                </c:pt>
                <c:pt idx="7" formatCode="0%">
                  <c:v>0.42000000000000032</c:v>
                </c:pt>
                <c:pt idx="8" formatCode="0%">
                  <c:v>0.13</c:v>
                </c:pt>
                <c:pt idx="10" formatCode="0%">
                  <c:v>0.23</c:v>
                </c:pt>
                <c:pt idx="11" formatCode="0%">
                  <c:v>0.38000000000000106</c:v>
                </c:pt>
                <c:pt idx="12" formatCode="0%">
                  <c:v>0.23</c:v>
                </c:pt>
              </c:numCache>
            </c:numRef>
          </c:val>
        </c:ser>
        <c:ser>
          <c:idx val="1"/>
          <c:order val="1"/>
          <c:tx>
            <c:strRef>
              <c:f>'1.1 Market Share'!$B$5</c:f>
              <c:strCache>
                <c:ptCount val="1"/>
                <c:pt idx="0">
                  <c:v>Supplier 2</c:v>
                </c:pt>
              </c:strCache>
            </c:strRef>
          </c:tx>
          <c:spPr>
            <a:solidFill>
              <a:srgbClr val="B11E22"/>
            </a:solidFill>
          </c:spPr>
          <c:cat>
            <c:strRef>
              <c:f>'1.1 Market Share'!$C$3:$O$3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Fashion</c:v>
                </c:pt>
                <c:pt idx="8">
                  <c:v>Freaks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Share'!$C$5:$O$5</c:f>
              <c:numCache>
                <c:formatCode>General</c:formatCode>
                <c:ptCount val="13"/>
                <c:pt idx="0" formatCode="0%">
                  <c:v>0.15000000000000024</c:v>
                </c:pt>
                <c:pt idx="2" formatCode="0%">
                  <c:v>0.17</c:v>
                </c:pt>
                <c:pt idx="3" formatCode="0%">
                  <c:v>0.13</c:v>
                </c:pt>
                <c:pt idx="5" formatCode="0%">
                  <c:v>0.22000000000000006</c:v>
                </c:pt>
                <c:pt idx="6" formatCode="0%">
                  <c:v>0.12000000000000002</c:v>
                </c:pt>
                <c:pt idx="7" formatCode="0%">
                  <c:v>0.21000000000000021</c:v>
                </c:pt>
                <c:pt idx="8" formatCode="0%">
                  <c:v>0.27</c:v>
                </c:pt>
                <c:pt idx="10" formatCode="0%">
                  <c:v>0.15000000000000024</c:v>
                </c:pt>
                <c:pt idx="11" formatCode="0%">
                  <c:v>0.24000000000000021</c:v>
                </c:pt>
                <c:pt idx="12" formatCode="0%">
                  <c:v>0.32000000000000106</c:v>
                </c:pt>
              </c:numCache>
            </c:numRef>
          </c:val>
        </c:ser>
        <c:ser>
          <c:idx val="2"/>
          <c:order val="2"/>
          <c:tx>
            <c:strRef>
              <c:f>'1.1 Market Share'!$B$6</c:f>
              <c:strCache>
                <c:ptCount val="1"/>
                <c:pt idx="0">
                  <c:v>Supplier 3</c:v>
                </c:pt>
              </c:strCache>
            </c:strRef>
          </c:tx>
          <c:spPr>
            <a:solidFill>
              <a:srgbClr val="F6B920"/>
            </a:solidFill>
          </c:spPr>
          <c:cat>
            <c:strRef>
              <c:f>'1.1 Market Share'!$C$3:$O$3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Fashion</c:v>
                </c:pt>
                <c:pt idx="8">
                  <c:v>Freaks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Share'!$C$6:$O$6</c:f>
              <c:numCache>
                <c:formatCode>General</c:formatCode>
                <c:ptCount val="13"/>
                <c:pt idx="0" formatCode="0%">
                  <c:v>0.19000000000000006</c:v>
                </c:pt>
                <c:pt idx="2" formatCode="0%">
                  <c:v>0.14000000000000001</c:v>
                </c:pt>
                <c:pt idx="3" formatCode="0%">
                  <c:v>0.19000000000000006</c:v>
                </c:pt>
                <c:pt idx="5" formatCode="0%">
                  <c:v>0.13</c:v>
                </c:pt>
                <c:pt idx="6" formatCode="0%">
                  <c:v>0.23</c:v>
                </c:pt>
                <c:pt idx="7" formatCode="0%">
                  <c:v>8.0000000000000057E-2</c:v>
                </c:pt>
                <c:pt idx="8" formatCode="0%">
                  <c:v>0.24000000000000021</c:v>
                </c:pt>
                <c:pt idx="10" formatCode="0%">
                  <c:v>0.21000000000000021</c:v>
                </c:pt>
                <c:pt idx="11" formatCode="0%">
                  <c:v>0.18000000000000024</c:v>
                </c:pt>
                <c:pt idx="12" formatCode="0%">
                  <c:v>0.18000000000000024</c:v>
                </c:pt>
              </c:numCache>
            </c:numRef>
          </c:val>
        </c:ser>
        <c:ser>
          <c:idx val="3"/>
          <c:order val="3"/>
          <c:tx>
            <c:strRef>
              <c:f>'1.1 Market Share'!$B$7</c:f>
              <c:strCache>
                <c:ptCount val="1"/>
                <c:pt idx="0">
                  <c:v>Supplier 4</c:v>
                </c:pt>
              </c:strCache>
            </c:strRef>
          </c:tx>
          <c:spPr>
            <a:solidFill>
              <a:srgbClr val="329444"/>
            </a:solidFill>
          </c:spPr>
          <c:cat>
            <c:strRef>
              <c:f>'1.1 Market Share'!$C$3:$O$3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Fashion</c:v>
                </c:pt>
                <c:pt idx="8">
                  <c:v>Freaks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Share'!$C$7:$O$7</c:f>
              <c:numCache>
                <c:formatCode>General</c:formatCode>
                <c:ptCount val="13"/>
                <c:pt idx="0" formatCode="0%">
                  <c:v>0.14000000000000001</c:v>
                </c:pt>
                <c:pt idx="2" formatCode="0%">
                  <c:v>0.21000000000000021</c:v>
                </c:pt>
                <c:pt idx="3" formatCode="0%">
                  <c:v>0.18000000000000024</c:v>
                </c:pt>
                <c:pt idx="5" formatCode="0%">
                  <c:v>0.21000000000000021</c:v>
                </c:pt>
                <c:pt idx="6" formatCode="0%">
                  <c:v>5.0000000000000031E-2</c:v>
                </c:pt>
                <c:pt idx="7" formatCode="0%">
                  <c:v>0.13</c:v>
                </c:pt>
                <c:pt idx="8" formatCode="0%">
                  <c:v>0.13</c:v>
                </c:pt>
                <c:pt idx="10" formatCode="0%">
                  <c:v>0.14000000000000001</c:v>
                </c:pt>
                <c:pt idx="11" formatCode="0%">
                  <c:v>0.2</c:v>
                </c:pt>
                <c:pt idx="12" formatCode="0%">
                  <c:v>0.17</c:v>
                </c:pt>
              </c:numCache>
            </c:numRef>
          </c:val>
        </c:ser>
        <c:ser>
          <c:idx val="4"/>
          <c:order val="4"/>
          <c:tx>
            <c:strRef>
              <c:f>'1.1 Market Share'!$B$8</c:f>
              <c:strCache>
                <c:ptCount val="1"/>
                <c:pt idx="0">
                  <c:v>Retailer 1</c:v>
                </c:pt>
              </c:strCache>
            </c:strRef>
          </c:tx>
          <c:spPr>
            <a:solidFill>
              <a:srgbClr val="8B288B"/>
            </a:solidFill>
          </c:spPr>
          <c:cat>
            <c:strRef>
              <c:f>'1.1 Market Share'!$C$3:$O$3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Fashion</c:v>
                </c:pt>
                <c:pt idx="8">
                  <c:v>Freaks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Share'!$C$8:$O$8</c:f>
              <c:numCache>
                <c:formatCode>General</c:formatCode>
                <c:ptCount val="13"/>
                <c:pt idx="0" formatCode="0%">
                  <c:v>0.19000000000000006</c:v>
                </c:pt>
                <c:pt idx="2" formatCode="0%">
                  <c:v>0.13</c:v>
                </c:pt>
                <c:pt idx="3" formatCode="0%">
                  <c:v>0.14000000000000001</c:v>
                </c:pt>
                <c:pt idx="5" formatCode="0%">
                  <c:v>0.14000000000000001</c:v>
                </c:pt>
                <c:pt idx="6" formatCode="0%">
                  <c:v>0.13</c:v>
                </c:pt>
                <c:pt idx="7" formatCode="0%">
                  <c:v>2.0000000000000014E-2</c:v>
                </c:pt>
                <c:pt idx="8" formatCode="0%">
                  <c:v>0.13</c:v>
                </c:pt>
                <c:pt idx="10" formatCode="0%">
                  <c:v>0.13</c:v>
                </c:pt>
                <c:pt idx="11" formatCode="0%">
                  <c:v>0</c:v>
                </c:pt>
                <c:pt idx="12" formatCode="0%">
                  <c:v>4.0000000000000029E-2</c:v>
                </c:pt>
              </c:numCache>
            </c:numRef>
          </c:val>
        </c:ser>
        <c:ser>
          <c:idx val="5"/>
          <c:order val="5"/>
          <c:tx>
            <c:strRef>
              <c:f>'1.1 Market Share'!$B$9</c:f>
              <c:strCache>
                <c:ptCount val="1"/>
                <c:pt idx="0">
                  <c:v>Retailer 2</c:v>
                </c:pt>
              </c:strCache>
            </c:strRef>
          </c:tx>
          <c:spPr>
            <a:solidFill>
              <a:srgbClr val="F05422"/>
            </a:solidFill>
          </c:spPr>
          <c:cat>
            <c:strRef>
              <c:f>'1.1 Market Share'!$C$3:$O$3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Fashion</c:v>
                </c:pt>
                <c:pt idx="8">
                  <c:v>Freaks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Share'!$C$9:$O$9</c:f>
              <c:numCache>
                <c:formatCode>General</c:formatCode>
                <c:ptCount val="13"/>
                <c:pt idx="0" formatCode="0%">
                  <c:v>9.0000000000000066E-2</c:v>
                </c:pt>
                <c:pt idx="2" formatCode="0%">
                  <c:v>0.14000000000000001</c:v>
                </c:pt>
                <c:pt idx="3" formatCode="0%">
                  <c:v>0.11000000000000003</c:v>
                </c:pt>
                <c:pt idx="5" formatCode="0%">
                  <c:v>7.0000000000000034E-2</c:v>
                </c:pt>
                <c:pt idx="6" formatCode="0%">
                  <c:v>8.0000000000000057E-2</c:v>
                </c:pt>
                <c:pt idx="7" formatCode="0%">
                  <c:v>0.14000000000000001</c:v>
                </c:pt>
                <c:pt idx="8" formatCode="0%">
                  <c:v>0.1</c:v>
                </c:pt>
                <c:pt idx="10" formatCode="0%">
                  <c:v>0.14000000000000001</c:v>
                </c:pt>
                <c:pt idx="11" formatCode="0%">
                  <c:v>0</c:v>
                </c:pt>
                <c:pt idx="12" formatCode="0%">
                  <c:v>6.0000000000000039E-2</c:v>
                </c:pt>
              </c:numCache>
            </c:numRef>
          </c:val>
        </c:ser>
        <c:gapWidth val="55"/>
        <c:overlap val="100"/>
        <c:axId val="42732928"/>
        <c:axId val="42738816"/>
      </c:barChart>
      <c:catAx>
        <c:axId val="42732928"/>
        <c:scaling>
          <c:orientation val="minMax"/>
        </c:scaling>
        <c:axPos val="b"/>
        <c:numFmt formatCode="General" sourceLinked="1"/>
        <c:majorTickMark val="none"/>
        <c:tickLblPos val="nextTo"/>
        <c:crossAx val="42738816"/>
        <c:crosses val="autoZero"/>
        <c:auto val="1"/>
        <c:lblAlgn val="ctr"/>
        <c:lblOffset val="100"/>
      </c:catAx>
      <c:valAx>
        <c:axId val="42738816"/>
        <c:scaling>
          <c:orientation val="minMax"/>
          <c:max val="1"/>
        </c:scaling>
        <c:axPos val="l"/>
        <c:majorGridlines/>
        <c:numFmt formatCode="0%" sourceLinked="1"/>
        <c:majorTickMark val="none"/>
        <c:tickLblPos val="nextTo"/>
        <c:crossAx val="42732928"/>
        <c:crosses val="autoZero"/>
        <c:crossBetween val="between"/>
      </c:valAx>
    </c:plotArea>
    <c:legend>
      <c:legendPos val="r"/>
    </c:legend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 algn="l">
              <a:defRPr sz="2400">
                <a:latin typeface="Arial" pitchFamily="34" charset="0"/>
                <a:cs typeface="Arial" pitchFamily="34" charset="0"/>
              </a:defRPr>
            </a:pPr>
            <a:r>
              <a:rPr lang="en-US" altLang="zh-CN" sz="1800" b="1" i="0" baseline="0"/>
              <a:t>Elecssories - Value Market Share</a:t>
            </a:r>
            <a:endParaRPr lang="zh-CN" altLang="zh-CN" sz="1800"/>
          </a:p>
          <a:p>
            <a:pPr algn="l">
              <a:defRPr sz="2400">
                <a:latin typeface="Arial" pitchFamily="34" charset="0"/>
                <a:cs typeface="Arial" pitchFamily="34" charset="0"/>
              </a:defRPr>
            </a:pPr>
            <a:endParaRPr lang="en-US" altLang="zh-CN" sz="2400" b="1" i="0" baseline="0">
              <a:latin typeface="Arial" pitchFamily="34" charset="0"/>
              <a:cs typeface="Arial" pitchFamily="34" charset="0"/>
            </a:endParaRPr>
          </a:p>
        </c:rich>
      </c:tx>
      <c:layout>
        <c:manualLayout>
          <c:xMode val="edge"/>
          <c:yMode val="edge"/>
          <c:x val="0.23761418692228786"/>
          <c:y val="2.9226428019497187E-2"/>
        </c:manualLayout>
      </c:layout>
    </c:title>
    <c:plotArea>
      <c:layout>
        <c:manualLayout>
          <c:layoutTarget val="inner"/>
          <c:xMode val="edge"/>
          <c:yMode val="edge"/>
          <c:x val="6.9803816895769394E-2"/>
          <c:y val="0.13292345934107871"/>
          <c:w val="0.82760094109298854"/>
          <c:h val="0.67057390103464787"/>
        </c:manualLayout>
      </c:layout>
      <c:barChart>
        <c:barDir val="col"/>
        <c:grouping val="stacked"/>
        <c:ser>
          <c:idx val="0"/>
          <c:order val="0"/>
          <c:tx>
            <c:strRef>
              <c:f>'1.1 Market Share'!$B$4</c:f>
              <c:strCache>
                <c:ptCount val="1"/>
                <c:pt idx="0">
                  <c:v>Supplier 1</c:v>
                </c:pt>
              </c:strCache>
            </c:strRef>
          </c:tx>
          <c:spPr>
            <a:solidFill>
              <a:srgbClr val="3257A7"/>
            </a:solidFill>
          </c:spPr>
          <c:cat>
            <c:strRef>
              <c:f>'1.1 Market Share'!$C$3:$O$3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Fashion</c:v>
                </c:pt>
                <c:pt idx="8">
                  <c:v>Freaks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Share'!$C$4:$O$4</c:f>
              <c:numCache>
                <c:formatCode>General</c:formatCode>
                <c:ptCount val="13"/>
                <c:pt idx="0" formatCode="0%">
                  <c:v>0.24000000000000021</c:v>
                </c:pt>
                <c:pt idx="2" formatCode="0%">
                  <c:v>0.21000000000000021</c:v>
                </c:pt>
                <c:pt idx="3" formatCode="0%">
                  <c:v>0.25</c:v>
                </c:pt>
                <c:pt idx="5" formatCode="0%">
                  <c:v>0.23</c:v>
                </c:pt>
                <c:pt idx="6" formatCode="0%">
                  <c:v>0.39000000000000107</c:v>
                </c:pt>
                <c:pt idx="7" formatCode="0%">
                  <c:v>0.42000000000000032</c:v>
                </c:pt>
                <c:pt idx="8" formatCode="0%">
                  <c:v>0.13</c:v>
                </c:pt>
                <c:pt idx="10" formatCode="0%">
                  <c:v>0.23</c:v>
                </c:pt>
                <c:pt idx="11" formatCode="0%">
                  <c:v>0.38000000000000106</c:v>
                </c:pt>
                <c:pt idx="12" formatCode="0%">
                  <c:v>0.23</c:v>
                </c:pt>
              </c:numCache>
            </c:numRef>
          </c:val>
        </c:ser>
        <c:ser>
          <c:idx val="1"/>
          <c:order val="1"/>
          <c:tx>
            <c:strRef>
              <c:f>'1.1 Market Share'!$B$5</c:f>
              <c:strCache>
                <c:ptCount val="1"/>
                <c:pt idx="0">
                  <c:v>Supplier 2</c:v>
                </c:pt>
              </c:strCache>
            </c:strRef>
          </c:tx>
          <c:spPr>
            <a:solidFill>
              <a:srgbClr val="B11E22"/>
            </a:solidFill>
          </c:spPr>
          <c:cat>
            <c:strRef>
              <c:f>'1.1 Market Share'!$C$3:$O$3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Fashion</c:v>
                </c:pt>
                <c:pt idx="8">
                  <c:v>Freaks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Share'!$C$5:$O$5</c:f>
              <c:numCache>
                <c:formatCode>General</c:formatCode>
                <c:ptCount val="13"/>
                <c:pt idx="0" formatCode="0%">
                  <c:v>0.15000000000000024</c:v>
                </c:pt>
                <c:pt idx="2" formatCode="0%">
                  <c:v>0.17</c:v>
                </c:pt>
                <c:pt idx="3" formatCode="0%">
                  <c:v>0.13</c:v>
                </c:pt>
                <c:pt idx="5" formatCode="0%">
                  <c:v>0.22</c:v>
                </c:pt>
                <c:pt idx="6" formatCode="0%">
                  <c:v>0.12000000000000002</c:v>
                </c:pt>
                <c:pt idx="7" formatCode="0%">
                  <c:v>0.21000000000000021</c:v>
                </c:pt>
                <c:pt idx="8" formatCode="0%">
                  <c:v>0.27</c:v>
                </c:pt>
                <c:pt idx="10" formatCode="0%">
                  <c:v>0.15000000000000024</c:v>
                </c:pt>
                <c:pt idx="11" formatCode="0%">
                  <c:v>0.24000000000000021</c:v>
                </c:pt>
                <c:pt idx="12" formatCode="0%">
                  <c:v>0.32000000000000106</c:v>
                </c:pt>
              </c:numCache>
            </c:numRef>
          </c:val>
        </c:ser>
        <c:ser>
          <c:idx val="2"/>
          <c:order val="2"/>
          <c:tx>
            <c:strRef>
              <c:f>'1.1 Market Share'!$B$6</c:f>
              <c:strCache>
                <c:ptCount val="1"/>
                <c:pt idx="0">
                  <c:v>Supplier 3</c:v>
                </c:pt>
              </c:strCache>
            </c:strRef>
          </c:tx>
          <c:spPr>
            <a:solidFill>
              <a:srgbClr val="F6B920"/>
            </a:solidFill>
          </c:spPr>
          <c:cat>
            <c:strRef>
              <c:f>'1.1 Market Share'!$C$3:$O$3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Fashion</c:v>
                </c:pt>
                <c:pt idx="8">
                  <c:v>Freaks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Share'!$C$6:$O$6</c:f>
              <c:numCache>
                <c:formatCode>General</c:formatCode>
                <c:ptCount val="13"/>
                <c:pt idx="0" formatCode="0%">
                  <c:v>0.19</c:v>
                </c:pt>
                <c:pt idx="2" formatCode="0%">
                  <c:v>0.14000000000000001</c:v>
                </c:pt>
                <c:pt idx="3" formatCode="0%">
                  <c:v>0.19</c:v>
                </c:pt>
                <c:pt idx="5" formatCode="0%">
                  <c:v>0.13</c:v>
                </c:pt>
                <c:pt idx="6" formatCode="0%">
                  <c:v>0.23</c:v>
                </c:pt>
                <c:pt idx="7" formatCode="0%">
                  <c:v>8.0000000000000043E-2</c:v>
                </c:pt>
                <c:pt idx="8" formatCode="0%">
                  <c:v>0.24000000000000021</c:v>
                </c:pt>
                <c:pt idx="10" formatCode="0%">
                  <c:v>0.21000000000000021</c:v>
                </c:pt>
                <c:pt idx="11" formatCode="0%">
                  <c:v>0.18000000000000024</c:v>
                </c:pt>
                <c:pt idx="12" formatCode="0%">
                  <c:v>0.18000000000000024</c:v>
                </c:pt>
              </c:numCache>
            </c:numRef>
          </c:val>
        </c:ser>
        <c:ser>
          <c:idx val="3"/>
          <c:order val="3"/>
          <c:tx>
            <c:strRef>
              <c:f>'1.1 Market Share'!$B$7</c:f>
              <c:strCache>
                <c:ptCount val="1"/>
                <c:pt idx="0">
                  <c:v>Supplier 4</c:v>
                </c:pt>
              </c:strCache>
            </c:strRef>
          </c:tx>
          <c:spPr>
            <a:solidFill>
              <a:srgbClr val="329444"/>
            </a:solidFill>
          </c:spPr>
          <c:cat>
            <c:strRef>
              <c:f>'1.1 Market Share'!$C$3:$O$3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Fashion</c:v>
                </c:pt>
                <c:pt idx="8">
                  <c:v>Freaks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Share'!$C$7:$O$7</c:f>
              <c:numCache>
                <c:formatCode>General</c:formatCode>
                <c:ptCount val="13"/>
                <c:pt idx="0" formatCode="0%">
                  <c:v>0.14000000000000001</c:v>
                </c:pt>
                <c:pt idx="2" formatCode="0%">
                  <c:v>0.21000000000000021</c:v>
                </c:pt>
                <c:pt idx="3" formatCode="0%">
                  <c:v>0.18000000000000024</c:v>
                </c:pt>
                <c:pt idx="5" formatCode="0%">
                  <c:v>0.21000000000000021</c:v>
                </c:pt>
                <c:pt idx="6" formatCode="0%">
                  <c:v>0.05</c:v>
                </c:pt>
                <c:pt idx="7" formatCode="0%">
                  <c:v>0.13</c:v>
                </c:pt>
                <c:pt idx="8" formatCode="0%">
                  <c:v>0.13</c:v>
                </c:pt>
                <c:pt idx="10" formatCode="0%">
                  <c:v>0.14000000000000001</c:v>
                </c:pt>
                <c:pt idx="11" formatCode="0%">
                  <c:v>0.2</c:v>
                </c:pt>
                <c:pt idx="12" formatCode="0%">
                  <c:v>0.17</c:v>
                </c:pt>
              </c:numCache>
            </c:numRef>
          </c:val>
        </c:ser>
        <c:ser>
          <c:idx val="4"/>
          <c:order val="4"/>
          <c:tx>
            <c:strRef>
              <c:f>'1.1 Market Share'!$B$8</c:f>
              <c:strCache>
                <c:ptCount val="1"/>
                <c:pt idx="0">
                  <c:v>Retailer 1</c:v>
                </c:pt>
              </c:strCache>
            </c:strRef>
          </c:tx>
          <c:spPr>
            <a:solidFill>
              <a:srgbClr val="8B288B"/>
            </a:solidFill>
          </c:spPr>
          <c:cat>
            <c:strRef>
              <c:f>'1.1 Market Share'!$C$3:$O$3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Fashion</c:v>
                </c:pt>
                <c:pt idx="8">
                  <c:v>Freaks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Share'!$C$8:$O$8</c:f>
              <c:numCache>
                <c:formatCode>General</c:formatCode>
                <c:ptCount val="13"/>
                <c:pt idx="0" formatCode="0%">
                  <c:v>0.19</c:v>
                </c:pt>
                <c:pt idx="2" formatCode="0%">
                  <c:v>0.13</c:v>
                </c:pt>
                <c:pt idx="3" formatCode="0%">
                  <c:v>0.14000000000000001</c:v>
                </c:pt>
                <c:pt idx="5" formatCode="0%">
                  <c:v>0.14000000000000001</c:v>
                </c:pt>
                <c:pt idx="6" formatCode="0%">
                  <c:v>0.13</c:v>
                </c:pt>
                <c:pt idx="7" formatCode="0%">
                  <c:v>2.0000000000000011E-2</c:v>
                </c:pt>
                <c:pt idx="8" formatCode="0%">
                  <c:v>0.13</c:v>
                </c:pt>
                <c:pt idx="10" formatCode="0%">
                  <c:v>0.13</c:v>
                </c:pt>
                <c:pt idx="11" formatCode="0%">
                  <c:v>0</c:v>
                </c:pt>
                <c:pt idx="12" formatCode="0%">
                  <c:v>4.0000000000000022E-2</c:v>
                </c:pt>
              </c:numCache>
            </c:numRef>
          </c:val>
        </c:ser>
        <c:ser>
          <c:idx val="5"/>
          <c:order val="5"/>
          <c:tx>
            <c:strRef>
              <c:f>'1.1 Market Share'!$B$9</c:f>
              <c:strCache>
                <c:ptCount val="1"/>
                <c:pt idx="0">
                  <c:v>Retailer 2</c:v>
                </c:pt>
              </c:strCache>
            </c:strRef>
          </c:tx>
          <c:spPr>
            <a:solidFill>
              <a:srgbClr val="F05422"/>
            </a:solidFill>
          </c:spPr>
          <c:cat>
            <c:strRef>
              <c:f>'1.1 Market Share'!$C$3:$O$3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Fashion</c:v>
                </c:pt>
                <c:pt idx="8">
                  <c:v>Freaks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Share'!$C$9:$O$9</c:f>
              <c:numCache>
                <c:formatCode>General</c:formatCode>
                <c:ptCount val="13"/>
                <c:pt idx="0" formatCode="0%">
                  <c:v>9.0000000000000024E-2</c:v>
                </c:pt>
                <c:pt idx="2" formatCode="0%">
                  <c:v>0.14000000000000001</c:v>
                </c:pt>
                <c:pt idx="3" formatCode="0%">
                  <c:v>0.11</c:v>
                </c:pt>
                <c:pt idx="5" formatCode="0%">
                  <c:v>7.0000000000000021E-2</c:v>
                </c:pt>
                <c:pt idx="6" formatCode="0%">
                  <c:v>8.0000000000000043E-2</c:v>
                </c:pt>
                <c:pt idx="7" formatCode="0%">
                  <c:v>0.14000000000000001</c:v>
                </c:pt>
                <c:pt idx="8" formatCode="0%">
                  <c:v>0.1</c:v>
                </c:pt>
                <c:pt idx="10" formatCode="0%">
                  <c:v>0.14000000000000001</c:v>
                </c:pt>
                <c:pt idx="11" formatCode="0%">
                  <c:v>0</c:v>
                </c:pt>
                <c:pt idx="12" formatCode="0%">
                  <c:v>6.0000000000000032E-2</c:v>
                </c:pt>
              </c:numCache>
            </c:numRef>
          </c:val>
        </c:ser>
        <c:gapWidth val="55"/>
        <c:overlap val="100"/>
        <c:axId val="88716032"/>
        <c:axId val="88717568"/>
      </c:barChart>
      <c:catAx>
        <c:axId val="88716032"/>
        <c:scaling>
          <c:orientation val="minMax"/>
        </c:scaling>
        <c:axPos val="b"/>
        <c:majorTickMark val="none"/>
        <c:tickLblPos val="nextTo"/>
        <c:crossAx val="88717568"/>
        <c:crosses val="autoZero"/>
        <c:auto val="1"/>
        <c:lblAlgn val="ctr"/>
        <c:lblOffset val="100"/>
      </c:catAx>
      <c:valAx>
        <c:axId val="88717568"/>
        <c:scaling>
          <c:orientation val="minMax"/>
          <c:max val="1"/>
        </c:scaling>
        <c:axPos val="l"/>
        <c:majorGridlines/>
        <c:numFmt formatCode="0%" sourceLinked="1"/>
        <c:majorTickMark val="none"/>
        <c:tickLblPos val="nextTo"/>
        <c:crossAx val="88716032"/>
        <c:crosses val="autoZero"/>
        <c:crossBetween val="between"/>
      </c:valAx>
    </c:plotArea>
    <c:legend>
      <c:legendPos val="r"/>
    </c:legend>
    <c:plotVisOnly val="1"/>
  </c:chart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 algn="l">
              <a:defRPr sz="2400">
                <a:latin typeface="Arial" pitchFamily="34" charset="0"/>
                <a:cs typeface="Arial" pitchFamily="34" charset="0"/>
              </a:defRPr>
            </a:pPr>
            <a:r>
              <a:rPr lang="en-US" altLang="zh-CN" sz="1800" b="1" i="0" baseline="0"/>
              <a:t>HealthBeauties - Volume Market Share</a:t>
            </a:r>
            <a:endParaRPr lang="zh-CN" altLang="zh-CN" sz="1800"/>
          </a:p>
          <a:p>
            <a:pPr algn="l">
              <a:defRPr sz="2400">
                <a:latin typeface="Arial" pitchFamily="34" charset="0"/>
                <a:cs typeface="Arial" pitchFamily="34" charset="0"/>
              </a:defRPr>
            </a:pPr>
            <a:endParaRPr lang="en-US" altLang="zh-CN" sz="2400" b="1" i="0" baseline="0">
              <a:latin typeface="Arial" pitchFamily="34" charset="0"/>
              <a:cs typeface="Arial" pitchFamily="34" charset="0"/>
            </a:endParaRPr>
          </a:p>
        </c:rich>
      </c:tx>
      <c:layout>
        <c:manualLayout>
          <c:xMode val="edge"/>
          <c:yMode val="edge"/>
          <c:x val="0.23761418692228792"/>
          <c:y val="2.9226428019497187E-2"/>
        </c:manualLayout>
      </c:layout>
    </c:title>
    <c:plotArea>
      <c:layout>
        <c:manualLayout>
          <c:layoutTarget val="inner"/>
          <c:xMode val="edge"/>
          <c:yMode val="edge"/>
          <c:x val="6.9803816895769394E-2"/>
          <c:y val="0.13292345934107871"/>
          <c:w val="0.82760094109298854"/>
          <c:h val="0.67057390103464787"/>
        </c:manualLayout>
      </c:layout>
      <c:barChart>
        <c:barDir val="col"/>
        <c:grouping val="stacked"/>
        <c:ser>
          <c:idx val="0"/>
          <c:order val="0"/>
          <c:tx>
            <c:strRef>
              <c:f>'1.1 Market Share'!$B$23</c:f>
              <c:strCache>
                <c:ptCount val="1"/>
                <c:pt idx="0">
                  <c:v>Supplier 1</c:v>
                </c:pt>
              </c:strCache>
            </c:strRef>
          </c:tx>
          <c:spPr>
            <a:solidFill>
              <a:srgbClr val="3257A7"/>
            </a:solidFill>
          </c:spPr>
          <c:cat>
            <c:strRef>
              <c:f>'1.1 Market Share'!$C$22:$O$22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Health Conscious</c:v>
                </c:pt>
                <c:pt idx="8">
                  <c:v>Impatient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Share'!$C$23:$O$23</c:f>
              <c:numCache>
                <c:formatCode>General</c:formatCode>
                <c:ptCount val="13"/>
                <c:pt idx="0" formatCode="0%">
                  <c:v>0.24000000000000021</c:v>
                </c:pt>
                <c:pt idx="2" formatCode="0%">
                  <c:v>0.21000000000000021</c:v>
                </c:pt>
                <c:pt idx="3" formatCode="0%">
                  <c:v>0.25</c:v>
                </c:pt>
                <c:pt idx="5" formatCode="0%">
                  <c:v>0.23</c:v>
                </c:pt>
                <c:pt idx="6" formatCode="0%">
                  <c:v>0.39000000000000107</c:v>
                </c:pt>
                <c:pt idx="7" formatCode="0%">
                  <c:v>0.42000000000000032</c:v>
                </c:pt>
                <c:pt idx="8" formatCode="0%">
                  <c:v>0.13</c:v>
                </c:pt>
                <c:pt idx="10" formatCode="0%">
                  <c:v>0.23</c:v>
                </c:pt>
                <c:pt idx="11" formatCode="0%">
                  <c:v>0.38000000000000106</c:v>
                </c:pt>
                <c:pt idx="12" formatCode="0%">
                  <c:v>0.23</c:v>
                </c:pt>
              </c:numCache>
            </c:numRef>
          </c:val>
        </c:ser>
        <c:ser>
          <c:idx val="1"/>
          <c:order val="1"/>
          <c:tx>
            <c:strRef>
              <c:f>'1.1 Market Share'!$B$24</c:f>
              <c:strCache>
                <c:ptCount val="1"/>
                <c:pt idx="0">
                  <c:v>Supplier 2</c:v>
                </c:pt>
              </c:strCache>
            </c:strRef>
          </c:tx>
          <c:spPr>
            <a:solidFill>
              <a:srgbClr val="B11E22"/>
            </a:solidFill>
          </c:spPr>
          <c:cat>
            <c:strRef>
              <c:f>'1.1 Market Share'!$C$22:$O$22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Health Conscious</c:v>
                </c:pt>
                <c:pt idx="8">
                  <c:v>Impatient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Share'!$C$24:$O$24</c:f>
              <c:numCache>
                <c:formatCode>General</c:formatCode>
                <c:ptCount val="13"/>
                <c:pt idx="0" formatCode="0%">
                  <c:v>0.15000000000000024</c:v>
                </c:pt>
                <c:pt idx="2" formatCode="0%">
                  <c:v>0.17</c:v>
                </c:pt>
                <c:pt idx="3" formatCode="0%">
                  <c:v>0.13</c:v>
                </c:pt>
                <c:pt idx="5" formatCode="0%">
                  <c:v>0.22</c:v>
                </c:pt>
                <c:pt idx="6" formatCode="0%">
                  <c:v>0.12000000000000002</c:v>
                </c:pt>
                <c:pt idx="7" formatCode="0%">
                  <c:v>0.21000000000000021</c:v>
                </c:pt>
                <c:pt idx="8" formatCode="0%">
                  <c:v>0.27</c:v>
                </c:pt>
                <c:pt idx="10" formatCode="0%">
                  <c:v>0.15000000000000024</c:v>
                </c:pt>
                <c:pt idx="11" formatCode="0%">
                  <c:v>0.24000000000000021</c:v>
                </c:pt>
                <c:pt idx="12" formatCode="0%">
                  <c:v>0.32000000000000106</c:v>
                </c:pt>
              </c:numCache>
            </c:numRef>
          </c:val>
        </c:ser>
        <c:ser>
          <c:idx val="2"/>
          <c:order val="2"/>
          <c:tx>
            <c:strRef>
              <c:f>'1.1 Market Share'!$B$25</c:f>
              <c:strCache>
                <c:ptCount val="1"/>
                <c:pt idx="0">
                  <c:v>Supplier 3</c:v>
                </c:pt>
              </c:strCache>
            </c:strRef>
          </c:tx>
          <c:spPr>
            <a:solidFill>
              <a:srgbClr val="F6B920"/>
            </a:solidFill>
          </c:spPr>
          <c:cat>
            <c:strRef>
              <c:f>'1.1 Market Share'!$C$22:$O$22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Health Conscious</c:v>
                </c:pt>
                <c:pt idx="8">
                  <c:v>Impatient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Share'!$C$25:$O$25</c:f>
              <c:numCache>
                <c:formatCode>General</c:formatCode>
                <c:ptCount val="13"/>
                <c:pt idx="0" formatCode="0%">
                  <c:v>0.19</c:v>
                </c:pt>
                <c:pt idx="2" formatCode="0%">
                  <c:v>0.14000000000000001</c:v>
                </c:pt>
                <c:pt idx="3" formatCode="0%">
                  <c:v>0.19</c:v>
                </c:pt>
                <c:pt idx="5" formatCode="0%">
                  <c:v>0.13</c:v>
                </c:pt>
                <c:pt idx="6" formatCode="0%">
                  <c:v>0.23</c:v>
                </c:pt>
                <c:pt idx="7" formatCode="0%">
                  <c:v>8.0000000000000043E-2</c:v>
                </c:pt>
                <c:pt idx="8" formatCode="0%">
                  <c:v>0.24000000000000021</c:v>
                </c:pt>
                <c:pt idx="10" formatCode="0%">
                  <c:v>0.21000000000000021</c:v>
                </c:pt>
                <c:pt idx="11" formatCode="0%">
                  <c:v>0.18000000000000024</c:v>
                </c:pt>
                <c:pt idx="12" formatCode="0%">
                  <c:v>0.18000000000000024</c:v>
                </c:pt>
              </c:numCache>
            </c:numRef>
          </c:val>
        </c:ser>
        <c:ser>
          <c:idx val="3"/>
          <c:order val="3"/>
          <c:tx>
            <c:strRef>
              <c:f>'1.1 Market Share'!$B$26</c:f>
              <c:strCache>
                <c:ptCount val="1"/>
                <c:pt idx="0">
                  <c:v>Supplier 4</c:v>
                </c:pt>
              </c:strCache>
            </c:strRef>
          </c:tx>
          <c:spPr>
            <a:solidFill>
              <a:srgbClr val="329444"/>
            </a:solidFill>
          </c:spPr>
          <c:cat>
            <c:strRef>
              <c:f>'1.1 Market Share'!$C$22:$O$22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Health Conscious</c:v>
                </c:pt>
                <c:pt idx="8">
                  <c:v>Impatient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Share'!$C$26:$O$26</c:f>
              <c:numCache>
                <c:formatCode>General</c:formatCode>
                <c:ptCount val="13"/>
                <c:pt idx="0" formatCode="0%">
                  <c:v>0.14000000000000001</c:v>
                </c:pt>
                <c:pt idx="2" formatCode="0%">
                  <c:v>0.21000000000000021</c:v>
                </c:pt>
                <c:pt idx="3" formatCode="0%">
                  <c:v>0.18000000000000024</c:v>
                </c:pt>
                <c:pt idx="5" formatCode="0%">
                  <c:v>0.21000000000000021</c:v>
                </c:pt>
                <c:pt idx="6" formatCode="0%">
                  <c:v>0.05</c:v>
                </c:pt>
                <c:pt idx="7" formatCode="0%">
                  <c:v>0.13</c:v>
                </c:pt>
                <c:pt idx="8" formatCode="0%">
                  <c:v>0.13</c:v>
                </c:pt>
                <c:pt idx="10" formatCode="0%">
                  <c:v>0.14000000000000001</c:v>
                </c:pt>
                <c:pt idx="11" formatCode="0%">
                  <c:v>0.2</c:v>
                </c:pt>
                <c:pt idx="12" formatCode="0%">
                  <c:v>0.17</c:v>
                </c:pt>
              </c:numCache>
            </c:numRef>
          </c:val>
        </c:ser>
        <c:ser>
          <c:idx val="4"/>
          <c:order val="4"/>
          <c:tx>
            <c:strRef>
              <c:f>'1.1 Market Share'!$B$27</c:f>
              <c:strCache>
                <c:ptCount val="1"/>
                <c:pt idx="0">
                  <c:v>Retailer 1</c:v>
                </c:pt>
              </c:strCache>
            </c:strRef>
          </c:tx>
          <c:spPr>
            <a:solidFill>
              <a:srgbClr val="8B288B"/>
            </a:solidFill>
          </c:spPr>
          <c:cat>
            <c:strRef>
              <c:f>'1.1 Market Share'!$C$22:$O$22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Health Conscious</c:v>
                </c:pt>
                <c:pt idx="8">
                  <c:v>Impatient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Share'!$C$27:$O$27</c:f>
              <c:numCache>
                <c:formatCode>General</c:formatCode>
                <c:ptCount val="13"/>
                <c:pt idx="0" formatCode="0%">
                  <c:v>0.19</c:v>
                </c:pt>
                <c:pt idx="2" formatCode="0%">
                  <c:v>0.13</c:v>
                </c:pt>
                <c:pt idx="3" formatCode="0%">
                  <c:v>0.14000000000000001</c:v>
                </c:pt>
                <c:pt idx="5" formatCode="0%">
                  <c:v>0.14000000000000001</c:v>
                </c:pt>
                <c:pt idx="6" formatCode="0%">
                  <c:v>0.13</c:v>
                </c:pt>
                <c:pt idx="7" formatCode="0%">
                  <c:v>2.0000000000000011E-2</c:v>
                </c:pt>
                <c:pt idx="8" formatCode="0%">
                  <c:v>0.13</c:v>
                </c:pt>
                <c:pt idx="10" formatCode="0%">
                  <c:v>0.13</c:v>
                </c:pt>
                <c:pt idx="11" formatCode="0%">
                  <c:v>0</c:v>
                </c:pt>
                <c:pt idx="12" formatCode="0%">
                  <c:v>4.0000000000000022E-2</c:v>
                </c:pt>
              </c:numCache>
            </c:numRef>
          </c:val>
        </c:ser>
        <c:ser>
          <c:idx val="5"/>
          <c:order val="5"/>
          <c:tx>
            <c:strRef>
              <c:f>'1.1 Market Share'!$B$28</c:f>
              <c:strCache>
                <c:ptCount val="1"/>
                <c:pt idx="0">
                  <c:v>Retailer 2</c:v>
                </c:pt>
              </c:strCache>
            </c:strRef>
          </c:tx>
          <c:spPr>
            <a:solidFill>
              <a:srgbClr val="F05422"/>
            </a:solidFill>
          </c:spPr>
          <c:cat>
            <c:strRef>
              <c:f>'1.1 Market Share'!$C$22:$O$22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Health Conscious</c:v>
                </c:pt>
                <c:pt idx="8">
                  <c:v>Impatient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Share'!$C$28:$O$28</c:f>
              <c:numCache>
                <c:formatCode>General</c:formatCode>
                <c:ptCount val="13"/>
                <c:pt idx="0" formatCode="0%">
                  <c:v>9.0000000000000024E-2</c:v>
                </c:pt>
                <c:pt idx="2" formatCode="0%">
                  <c:v>0.14000000000000001</c:v>
                </c:pt>
                <c:pt idx="3" formatCode="0%">
                  <c:v>0.11</c:v>
                </c:pt>
                <c:pt idx="5" formatCode="0%">
                  <c:v>7.0000000000000021E-2</c:v>
                </c:pt>
                <c:pt idx="6" formatCode="0%">
                  <c:v>8.0000000000000043E-2</c:v>
                </c:pt>
                <c:pt idx="7" formatCode="0%">
                  <c:v>0.14000000000000001</c:v>
                </c:pt>
                <c:pt idx="8" formatCode="0%">
                  <c:v>0.1</c:v>
                </c:pt>
                <c:pt idx="10" formatCode="0%">
                  <c:v>0.14000000000000001</c:v>
                </c:pt>
                <c:pt idx="11" formatCode="0%">
                  <c:v>0</c:v>
                </c:pt>
                <c:pt idx="12" formatCode="0%">
                  <c:v>6.0000000000000032E-2</c:v>
                </c:pt>
              </c:numCache>
            </c:numRef>
          </c:val>
        </c:ser>
        <c:gapWidth val="55"/>
        <c:overlap val="100"/>
        <c:axId val="110495616"/>
        <c:axId val="110497152"/>
      </c:barChart>
      <c:catAx>
        <c:axId val="110495616"/>
        <c:scaling>
          <c:orientation val="minMax"/>
        </c:scaling>
        <c:axPos val="b"/>
        <c:majorTickMark val="none"/>
        <c:tickLblPos val="nextTo"/>
        <c:crossAx val="110497152"/>
        <c:crosses val="autoZero"/>
        <c:auto val="1"/>
        <c:lblAlgn val="ctr"/>
        <c:lblOffset val="100"/>
      </c:catAx>
      <c:valAx>
        <c:axId val="110497152"/>
        <c:scaling>
          <c:orientation val="minMax"/>
          <c:max val="1"/>
        </c:scaling>
        <c:axPos val="l"/>
        <c:majorGridlines/>
        <c:numFmt formatCode="0%" sourceLinked="1"/>
        <c:majorTickMark val="none"/>
        <c:tickLblPos val="nextTo"/>
        <c:crossAx val="110495616"/>
        <c:crosses val="autoZero"/>
        <c:crossBetween val="between"/>
      </c:valAx>
    </c:plotArea>
    <c:legend>
      <c:legendPos val="r"/>
    </c:legend>
    <c:plotVisOnly val="1"/>
  </c:chart>
  <c:externalData r:id="rId1"/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 algn="l">
              <a:defRPr sz="2400">
                <a:latin typeface="Arial" pitchFamily="34" charset="0"/>
                <a:cs typeface="Arial" pitchFamily="34" charset="0"/>
              </a:defRPr>
            </a:pPr>
            <a:r>
              <a:rPr lang="en-US" altLang="zh-CN" sz="1800" b="1" i="0" baseline="0"/>
              <a:t>HealthBeauties - Value Market Share</a:t>
            </a:r>
            <a:endParaRPr lang="zh-CN" altLang="zh-CN" sz="1800"/>
          </a:p>
          <a:p>
            <a:pPr algn="l">
              <a:defRPr sz="2400">
                <a:latin typeface="Arial" pitchFamily="34" charset="0"/>
                <a:cs typeface="Arial" pitchFamily="34" charset="0"/>
              </a:defRPr>
            </a:pPr>
            <a:endParaRPr lang="en-US" altLang="zh-CN" sz="2400" b="1" i="0" baseline="0">
              <a:latin typeface="Arial" pitchFamily="34" charset="0"/>
              <a:cs typeface="Arial" pitchFamily="34" charset="0"/>
            </a:endParaRPr>
          </a:p>
        </c:rich>
      </c:tx>
      <c:layout>
        <c:manualLayout>
          <c:xMode val="edge"/>
          <c:yMode val="edge"/>
          <c:x val="0.23761418692228797"/>
          <c:y val="2.9226428019497187E-2"/>
        </c:manualLayout>
      </c:layout>
    </c:title>
    <c:plotArea>
      <c:layout>
        <c:manualLayout>
          <c:layoutTarget val="inner"/>
          <c:xMode val="edge"/>
          <c:yMode val="edge"/>
          <c:x val="6.9803816895769394E-2"/>
          <c:y val="0.13292345934107871"/>
          <c:w val="0.82760094109298854"/>
          <c:h val="0.67057390103464787"/>
        </c:manualLayout>
      </c:layout>
      <c:barChart>
        <c:barDir val="col"/>
        <c:grouping val="stacked"/>
        <c:ser>
          <c:idx val="0"/>
          <c:order val="0"/>
          <c:tx>
            <c:strRef>
              <c:f>'1.1 Market Share'!$B$23</c:f>
              <c:strCache>
                <c:ptCount val="1"/>
                <c:pt idx="0">
                  <c:v>Supplier 1</c:v>
                </c:pt>
              </c:strCache>
            </c:strRef>
          </c:tx>
          <c:spPr>
            <a:solidFill>
              <a:srgbClr val="3257A7"/>
            </a:solidFill>
          </c:spPr>
          <c:cat>
            <c:strRef>
              <c:f>'1.1 Market Share'!$C$22:$O$22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Health Conscious</c:v>
                </c:pt>
                <c:pt idx="8">
                  <c:v>Impatient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Share'!$C$23:$O$23</c:f>
              <c:numCache>
                <c:formatCode>General</c:formatCode>
                <c:ptCount val="13"/>
                <c:pt idx="0" formatCode="0%">
                  <c:v>0.24000000000000021</c:v>
                </c:pt>
                <c:pt idx="2" formatCode="0%">
                  <c:v>0.21000000000000021</c:v>
                </c:pt>
                <c:pt idx="3" formatCode="0%">
                  <c:v>0.25</c:v>
                </c:pt>
                <c:pt idx="5" formatCode="0%">
                  <c:v>0.23</c:v>
                </c:pt>
                <c:pt idx="6" formatCode="0%">
                  <c:v>0.39000000000000107</c:v>
                </c:pt>
                <c:pt idx="7" formatCode="0%">
                  <c:v>0.42000000000000032</c:v>
                </c:pt>
                <c:pt idx="8" formatCode="0%">
                  <c:v>0.13</c:v>
                </c:pt>
                <c:pt idx="10" formatCode="0%">
                  <c:v>0.23</c:v>
                </c:pt>
                <c:pt idx="11" formatCode="0%">
                  <c:v>0.38000000000000106</c:v>
                </c:pt>
                <c:pt idx="12" formatCode="0%">
                  <c:v>0.23</c:v>
                </c:pt>
              </c:numCache>
            </c:numRef>
          </c:val>
        </c:ser>
        <c:ser>
          <c:idx val="1"/>
          <c:order val="1"/>
          <c:tx>
            <c:strRef>
              <c:f>'1.1 Market Share'!$B$24</c:f>
              <c:strCache>
                <c:ptCount val="1"/>
                <c:pt idx="0">
                  <c:v>Supplier 2</c:v>
                </c:pt>
              </c:strCache>
            </c:strRef>
          </c:tx>
          <c:spPr>
            <a:solidFill>
              <a:srgbClr val="B11E22"/>
            </a:solidFill>
          </c:spPr>
          <c:cat>
            <c:strRef>
              <c:f>'1.1 Market Share'!$C$22:$O$22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Health Conscious</c:v>
                </c:pt>
                <c:pt idx="8">
                  <c:v>Impatient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Share'!$C$24:$O$24</c:f>
              <c:numCache>
                <c:formatCode>General</c:formatCode>
                <c:ptCount val="13"/>
                <c:pt idx="0" formatCode="0%">
                  <c:v>0.15000000000000024</c:v>
                </c:pt>
                <c:pt idx="2" formatCode="0%">
                  <c:v>0.17</c:v>
                </c:pt>
                <c:pt idx="3" formatCode="0%">
                  <c:v>0.13</c:v>
                </c:pt>
                <c:pt idx="5" formatCode="0%">
                  <c:v>0.22</c:v>
                </c:pt>
                <c:pt idx="6" formatCode="0%">
                  <c:v>0.12000000000000002</c:v>
                </c:pt>
                <c:pt idx="7" formatCode="0%">
                  <c:v>0.21000000000000021</c:v>
                </c:pt>
                <c:pt idx="8" formatCode="0%">
                  <c:v>0.27</c:v>
                </c:pt>
                <c:pt idx="10" formatCode="0%">
                  <c:v>0.15000000000000024</c:v>
                </c:pt>
                <c:pt idx="11" formatCode="0%">
                  <c:v>0.24000000000000021</c:v>
                </c:pt>
                <c:pt idx="12" formatCode="0%">
                  <c:v>0.32000000000000106</c:v>
                </c:pt>
              </c:numCache>
            </c:numRef>
          </c:val>
        </c:ser>
        <c:ser>
          <c:idx val="2"/>
          <c:order val="2"/>
          <c:tx>
            <c:strRef>
              <c:f>'1.1 Market Share'!$B$25</c:f>
              <c:strCache>
                <c:ptCount val="1"/>
                <c:pt idx="0">
                  <c:v>Supplier 3</c:v>
                </c:pt>
              </c:strCache>
            </c:strRef>
          </c:tx>
          <c:spPr>
            <a:solidFill>
              <a:srgbClr val="F6B920"/>
            </a:solidFill>
          </c:spPr>
          <c:cat>
            <c:strRef>
              <c:f>'1.1 Market Share'!$C$22:$O$22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Health Conscious</c:v>
                </c:pt>
                <c:pt idx="8">
                  <c:v>Impatient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Share'!$C$25:$O$25</c:f>
              <c:numCache>
                <c:formatCode>General</c:formatCode>
                <c:ptCount val="13"/>
                <c:pt idx="0" formatCode="0%">
                  <c:v>0.19</c:v>
                </c:pt>
                <c:pt idx="2" formatCode="0%">
                  <c:v>0.14000000000000001</c:v>
                </c:pt>
                <c:pt idx="3" formatCode="0%">
                  <c:v>0.19</c:v>
                </c:pt>
                <c:pt idx="5" formatCode="0%">
                  <c:v>0.13</c:v>
                </c:pt>
                <c:pt idx="6" formatCode="0%">
                  <c:v>0.23</c:v>
                </c:pt>
                <c:pt idx="7" formatCode="0%">
                  <c:v>8.0000000000000043E-2</c:v>
                </c:pt>
                <c:pt idx="8" formatCode="0%">
                  <c:v>0.24000000000000021</c:v>
                </c:pt>
                <c:pt idx="10" formatCode="0%">
                  <c:v>0.21000000000000021</c:v>
                </c:pt>
                <c:pt idx="11" formatCode="0%">
                  <c:v>0.18000000000000024</c:v>
                </c:pt>
                <c:pt idx="12" formatCode="0%">
                  <c:v>0.18000000000000024</c:v>
                </c:pt>
              </c:numCache>
            </c:numRef>
          </c:val>
        </c:ser>
        <c:ser>
          <c:idx val="3"/>
          <c:order val="3"/>
          <c:tx>
            <c:strRef>
              <c:f>'1.1 Market Share'!$B$26</c:f>
              <c:strCache>
                <c:ptCount val="1"/>
                <c:pt idx="0">
                  <c:v>Supplier 4</c:v>
                </c:pt>
              </c:strCache>
            </c:strRef>
          </c:tx>
          <c:spPr>
            <a:solidFill>
              <a:srgbClr val="329444"/>
            </a:solidFill>
          </c:spPr>
          <c:cat>
            <c:strRef>
              <c:f>'1.1 Market Share'!$C$22:$O$22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Health Conscious</c:v>
                </c:pt>
                <c:pt idx="8">
                  <c:v>Impatient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Share'!$C$26:$O$26</c:f>
              <c:numCache>
                <c:formatCode>General</c:formatCode>
                <c:ptCount val="13"/>
                <c:pt idx="0" formatCode="0%">
                  <c:v>0.14000000000000001</c:v>
                </c:pt>
                <c:pt idx="2" formatCode="0%">
                  <c:v>0.21000000000000021</c:v>
                </c:pt>
                <c:pt idx="3" formatCode="0%">
                  <c:v>0.18000000000000024</c:v>
                </c:pt>
                <c:pt idx="5" formatCode="0%">
                  <c:v>0.21000000000000021</c:v>
                </c:pt>
                <c:pt idx="6" formatCode="0%">
                  <c:v>0.05</c:v>
                </c:pt>
                <c:pt idx="7" formatCode="0%">
                  <c:v>0.13</c:v>
                </c:pt>
                <c:pt idx="8" formatCode="0%">
                  <c:v>0.13</c:v>
                </c:pt>
                <c:pt idx="10" formatCode="0%">
                  <c:v>0.14000000000000001</c:v>
                </c:pt>
                <c:pt idx="11" formatCode="0%">
                  <c:v>0.2</c:v>
                </c:pt>
                <c:pt idx="12" formatCode="0%">
                  <c:v>0.17</c:v>
                </c:pt>
              </c:numCache>
            </c:numRef>
          </c:val>
        </c:ser>
        <c:ser>
          <c:idx val="4"/>
          <c:order val="4"/>
          <c:tx>
            <c:strRef>
              <c:f>'1.1 Market Share'!$B$27</c:f>
              <c:strCache>
                <c:ptCount val="1"/>
                <c:pt idx="0">
                  <c:v>Retailer 1</c:v>
                </c:pt>
              </c:strCache>
            </c:strRef>
          </c:tx>
          <c:spPr>
            <a:solidFill>
              <a:srgbClr val="8B288B"/>
            </a:solidFill>
          </c:spPr>
          <c:cat>
            <c:strRef>
              <c:f>'1.1 Market Share'!$C$22:$O$22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Health Conscious</c:v>
                </c:pt>
                <c:pt idx="8">
                  <c:v>Impatient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Share'!$C$27:$O$27</c:f>
              <c:numCache>
                <c:formatCode>General</c:formatCode>
                <c:ptCount val="13"/>
                <c:pt idx="0" formatCode="0%">
                  <c:v>0.19</c:v>
                </c:pt>
                <c:pt idx="2" formatCode="0%">
                  <c:v>0.13</c:v>
                </c:pt>
                <c:pt idx="3" formatCode="0%">
                  <c:v>0.14000000000000001</c:v>
                </c:pt>
                <c:pt idx="5" formatCode="0%">
                  <c:v>0.14000000000000001</c:v>
                </c:pt>
                <c:pt idx="6" formatCode="0%">
                  <c:v>0.13</c:v>
                </c:pt>
                <c:pt idx="7" formatCode="0%">
                  <c:v>2.0000000000000011E-2</c:v>
                </c:pt>
                <c:pt idx="8" formatCode="0%">
                  <c:v>0.13</c:v>
                </c:pt>
                <c:pt idx="10" formatCode="0%">
                  <c:v>0.13</c:v>
                </c:pt>
                <c:pt idx="11" formatCode="0%">
                  <c:v>0</c:v>
                </c:pt>
                <c:pt idx="12" formatCode="0%">
                  <c:v>4.0000000000000022E-2</c:v>
                </c:pt>
              </c:numCache>
            </c:numRef>
          </c:val>
        </c:ser>
        <c:ser>
          <c:idx val="5"/>
          <c:order val="5"/>
          <c:tx>
            <c:strRef>
              <c:f>'1.1 Market Share'!$B$28</c:f>
              <c:strCache>
                <c:ptCount val="1"/>
                <c:pt idx="0">
                  <c:v>Retailer 2</c:v>
                </c:pt>
              </c:strCache>
            </c:strRef>
          </c:tx>
          <c:spPr>
            <a:solidFill>
              <a:srgbClr val="F05422"/>
            </a:solidFill>
          </c:spPr>
          <c:cat>
            <c:strRef>
              <c:f>'1.1 Market Share'!$C$22:$O$22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Health Conscious</c:v>
                </c:pt>
                <c:pt idx="8">
                  <c:v>Impatient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Share'!$C$28:$O$28</c:f>
              <c:numCache>
                <c:formatCode>General</c:formatCode>
                <c:ptCount val="13"/>
                <c:pt idx="0" formatCode="0%">
                  <c:v>9.0000000000000024E-2</c:v>
                </c:pt>
                <c:pt idx="2" formatCode="0%">
                  <c:v>0.14000000000000001</c:v>
                </c:pt>
                <c:pt idx="3" formatCode="0%">
                  <c:v>0.11</c:v>
                </c:pt>
                <c:pt idx="5" formatCode="0%">
                  <c:v>7.0000000000000021E-2</c:v>
                </c:pt>
                <c:pt idx="6" formatCode="0%">
                  <c:v>8.0000000000000043E-2</c:v>
                </c:pt>
                <c:pt idx="7" formatCode="0%">
                  <c:v>0.14000000000000001</c:v>
                </c:pt>
                <c:pt idx="8" formatCode="0%">
                  <c:v>0.1</c:v>
                </c:pt>
                <c:pt idx="10" formatCode="0%">
                  <c:v>0.14000000000000001</c:v>
                </c:pt>
                <c:pt idx="11" formatCode="0%">
                  <c:v>0</c:v>
                </c:pt>
                <c:pt idx="12" formatCode="0%">
                  <c:v>6.0000000000000032E-2</c:v>
                </c:pt>
              </c:numCache>
            </c:numRef>
          </c:val>
        </c:ser>
        <c:gapWidth val="55"/>
        <c:overlap val="100"/>
        <c:axId val="110566400"/>
        <c:axId val="110572288"/>
      </c:barChart>
      <c:catAx>
        <c:axId val="110566400"/>
        <c:scaling>
          <c:orientation val="minMax"/>
        </c:scaling>
        <c:axPos val="b"/>
        <c:majorTickMark val="none"/>
        <c:tickLblPos val="nextTo"/>
        <c:crossAx val="110572288"/>
        <c:crosses val="autoZero"/>
        <c:auto val="1"/>
        <c:lblAlgn val="ctr"/>
        <c:lblOffset val="100"/>
      </c:catAx>
      <c:valAx>
        <c:axId val="110572288"/>
        <c:scaling>
          <c:orientation val="minMax"/>
          <c:max val="1"/>
        </c:scaling>
        <c:axPos val="l"/>
        <c:majorGridlines/>
        <c:numFmt formatCode="0%" sourceLinked="1"/>
        <c:majorTickMark val="none"/>
        <c:tickLblPos val="nextTo"/>
        <c:crossAx val="110566400"/>
        <c:crosses val="autoZero"/>
        <c:crossBetween val="between"/>
      </c:valAx>
    </c:plotArea>
    <c:legend>
      <c:legendPos val="r"/>
    </c:legend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0.21664</cdr:x>
      <cdr:y>0.90646</cdr:y>
    </cdr:from>
    <cdr:to>
      <cdr:x>0.32043</cdr:x>
      <cdr:y>0.96051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978355" y="5273101"/>
          <a:ext cx="947804" cy="3144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by Market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0.41897</cdr:x>
      <cdr:y>0.90453</cdr:y>
    </cdr:from>
    <cdr:to>
      <cdr:x>0.61079</cdr:x>
      <cdr:y>0.96482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3826019" y="5261873"/>
          <a:ext cx="1751688" cy="35072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by Consumer Segment 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0.71373</cdr:x>
      <cdr:y>0.90222</cdr:y>
    </cdr:from>
    <cdr:to>
      <cdr:x>0.89004</cdr:x>
      <cdr:y>0.95419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6517767" y="5248435"/>
          <a:ext cx="1610052" cy="3023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by Shopper Segment 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0.07936</cdr:x>
      <cdr:y>0.9079</cdr:y>
    </cdr:from>
    <cdr:to>
      <cdr:x>0.13981</cdr:x>
      <cdr:y>0.96684</cdr:y>
    </cdr:to>
    <cdr:sp macro="" textlink="">
      <cdr:nvSpPr>
        <cdr:cNvPr id="7" name="TextBox 12"/>
        <cdr:cNvSpPr txBox="1"/>
      </cdr:nvSpPr>
      <cdr:spPr>
        <a:xfrm xmlns:a="http://schemas.openxmlformats.org/drawingml/2006/main">
          <a:off x="724719" y="5281447"/>
          <a:ext cx="552028" cy="342900"/>
        </a:xfrm>
        <a:prstGeom xmlns:a="http://schemas.openxmlformats.org/drawingml/2006/main" prst="rect">
          <a:avLst/>
        </a:prstGeom>
        <a:solidFill xmlns:a="http://schemas.openxmlformats.org/drawingml/2006/main">
          <a:sysClr val="window" lastClr="FFFFFF"/>
        </a:solidFill>
        <a:ln xmlns:a="http://schemas.openxmlformats.org/drawingml/2006/main" w="9525" cmpd="sng">
          <a:solidFill>
            <a:sysClr val="window" lastClr="FFFFFF"/>
          </a:solidFill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r>
            <a:rPr lang="en-US" altLang="zh-CN" sz="1100" b="1"/>
            <a:t>Total</a:t>
          </a:r>
          <a:endParaRPr lang="zh-CN" altLang="en-US" sz="1100" b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0.21664</cdr:x>
      <cdr:y>0.90646</cdr:y>
    </cdr:from>
    <cdr:to>
      <cdr:x>0.32043</cdr:x>
      <cdr:y>0.96051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978355" y="5273101"/>
          <a:ext cx="947804" cy="3144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by Market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0.41897</cdr:x>
      <cdr:y>0.90453</cdr:y>
    </cdr:from>
    <cdr:to>
      <cdr:x>0.61079</cdr:x>
      <cdr:y>0.96482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3826019" y="5261873"/>
          <a:ext cx="1751688" cy="35072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by Consumer Segment 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0.71373</cdr:x>
      <cdr:y>0.90222</cdr:y>
    </cdr:from>
    <cdr:to>
      <cdr:x>0.89004</cdr:x>
      <cdr:y>0.95419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6517767" y="5248435"/>
          <a:ext cx="1610052" cy="3023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by Shopper Segment 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0.07936</cdr:x>
      <cdr:y>0.9079</cdr:y>
    </cdr:from>
    <cdr:to>
      <cdr:x>0.13981</cdr:x>
      <cdr:y>0.96684</cdr:y>
    </cdr:to>
    <cdr:sp macro="" textlink="">
      <cdr:nvSpPr>
        <cdr:cNvPr id="7" name="TextBox 12"/>
        <cdr:cNvSpPr txBox="1"/>
      </cdr:nvSpPr>
      <cdr:spPr>
        <a:xfrm xmlns:a="http://schemas.openxmlformats.org/drawingml/2006/main">
          <a:off x="724719" y="5281447"/>
          <a:ext cx="552028" cy="342900"/>
        </a:xfrm>
        <a:prstGeom xmlns:a="http://schemas.openxmlformats.org/drawingml/2006/main" prst="rect">
          <a:avLst/>
        </a:prstGeom>
        <a:solidFill xmlns:a="http://schemas.openxmlformats.org/drawingml/2006/main">
          <a:sysClr val="window" lastClr="FFFFFF"/>
        </a:solidFill>
        <a:ln xmlns:a="http://schemas.openxmlformats.org/drawingml/2006/main" w="9525" cmpd="sng">
          <a:solidFill>
            <a:sysClr val="window" lastClr="FFFFFF"/>
          </a:solidFill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r>
            <a:rPr lang="en-US" altLang="zh-CN" sz="1100" b="1"/>
            <a:t>Total</a:t>
          </a:r>
          <a:endParaRPr lang="zh-CN" altLang="en-US" sz="1100" b="1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0.21664</cdr:x>
      <cdr:y>0.90646</cdr:y>
    </cdr:from>
    <cdr:to>
      <cdr:x>0.32043</cdr:x>
      <cdr:y>0.96051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978355" y="5273101"/>
          <a:ext cx="947804" cy="3144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by Market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0.41897</cdr:x>
      <cdr:y>0.90453</cdr:y>
    </cdr:from>
    <cdr:to>
      <cdr:x>0.61079</cdr:x>
      <cdr:y>0.96482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3826019" y="5261873"/>
          <a:ext cx="1751688" cy="35072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by Consumer Segment 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0.71373</cdr:x>
      <cdr:y>0.90222</cdr:y>
    </cdr:from>
    <cdr:to>
      <cdr:x>0.89004</cdr:x>
      <cdr:y>0.95419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6517767" y="5248435"/>
          <a:ext cx="1610052" cy="3023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by Shopper Segment 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0.07936</cdr:x>
      <cdr:y>0.9079</cdr:y>
    </cdr:from>
    <cdr:to>
      <cdr:x>0.13981</cdr:x>
      <cdr:y>0.96684</cdr:y>
    </cdr:to>
    <cdr:sp macro="" textlink="">
      <cdr:nvSpPr>
        <cdr:cNvPr id="7" name="TextBox 12"/>
        <cdr:cNvSpPr txBox="1"/>
      </cdr:nvSpPr>
      <cdr:spPr>
        <a:xfrm xmlns:a="http://schemas.openxmlformats.org/drawingml/2006/main">
          <a:off x="724719" y="5281447"/>
          <a:ext cx="552028" cy="342900"/>
        </a:xfrm>
        <a:prstGeom xmlns:a="http://schemas.openxmlformats.org/drawingml/2006/main" prst="rect">
          <a:avLst/>
        </a:prstGeom>
        <a:solidFill xmlns:a="http://schemas.openxmlformats.org/drawingml/2006/main">
          <a:sysClr val="window" lastClr="FFFFFF"/>
        </a:solidFill>
        <a:ln xmlns:a="http://schemas.openxmlformats.org/drawingml/2006/main" w="9525" cmpd="sng">
          <a:solidFill>
            <a:sysClr val="window" lastClr="FFFFFF"/>
          </a:solidFill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r>
            <a:rPr lang="en-US" altLang="zh-CN" sz="1100" b="1"/>
            <a:t>Total</a:t>
          </a:r>
          <a:endParaRPr lang="zh-CN" altLang="en-US" sz="1100" b="1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0.21664</cdr:x>
      <cdr:y>0.90646</cdr:y>
    </cdr:from>
    <cdr:to>
      <cdr:x>0.32043</cdr:x>
      <cdr:y>0.96051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978355" y="5273101"/>
          <a:ext cx="947804" cy="3144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by Market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0.41897</cdr:x>
      <cdr:y>0.90453</cdr:y>
    </cdr:from>
    <cdr:to>
      <cdr:x>0.61079</cdr:x>
      <cdr:y>0.96482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3826019" y="5261873"/>
          <a:ext cx="1751688" cy="35072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by Consumer Segment 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0.71373</cdr:x>
      <cdr:y>0.90222</cdr:y>
    </cdr:from>
    <cdr:to>
      <cdr:x>0.89004</cdr:x>
      <cdr:y>0.95419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6517767" y="5248435"/>
          <a:ext cx="1610052" cy="3023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by Shopper Segment 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0.07936</cdr:x>
      <cdr:y>0.9079</cdr:y>
    </cdr:from>
    <cdr:to>
      <cdr:x>0.13981</cdr:x>
      <cdr:y>0.96684</cdr:y>
    </cdr:to>
    <cdr:sp macro="" textlink="">
      <cdr:nvSpPr>
        <cdr:cNvPr id="7" name="TextBox 12"/>
        <cdr:cNvSpPr txBox="1"/>
      </cdr:nvSpPr>
      <cdr:spPr>
        <a:xfrm xmlns:a="http://schemas.openxmlformats.org/drawingml/2006/main">
          <a:off x="724719" y="5281447"/>
          <a:ext cx="552028" cy="342900"/>
        </a:xfrm>
        <a:prstGeom xmlns:a="http://schemas.openxmlformats.org/drawingml/2006/main" prst="rect">
          <a:avLst/>
        </a:prstGeom>
        <a:solidFill xmlns:a="http://schemas.openxmlformats.org/drawingml/2006/main">
          <a:sysClr val="window" lastClr="FFFFFF"/>
        </a:solidFill>
        <a:ln xmlns:a="http://schemas.openxmlformats.org/drawingml/2006/main" w="9525" cmpd="sng">
          <a:solidFill>
            <a:sysClr val="window" lastClr="FFFFFF"/>
          </a:solidFill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r>
            <a:rPr lang="en-US" altLang="zh-CN" sz="1100" b="1"/>
            <a:t>Total</a:t>
          </a:r>
          <a:endParaRPr lang="zh-CN" altLang="en-US" sz="1100" b="1"/>
        </a:p>
      </cdr:txBody>
    </cdr:sp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leahche</cp:lastModifiedBy>
  <cp:revision>9</cp:revision>
  <cp:lastPrinted>2014-02-12T03:59:00Z</cp:lastPrinted>
  <dcterms:created xsi:type="dcterms:W3CDTF">2014-02-17T07:17:00Z</dcterms:created>
  <dcterms:modified xsi:type="dcterms:W3CDTF">2014-03-07T03:34:00Z</dcterms:modified>
</cp:coreProperties>
</file>