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EE7289" w:rsidP="00BE1833">
      <w:pPr>
        <w:widowControl/>
        <w:rPr>
          <w:rFonts w:ascii="Arial" w:hAnsi="Arial" w:cs="Arial"/>
        </w:rPr>
      </w:pPr>
      <w:r w:rsidRPr="00EE728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30.8pt;margin-top:-30pt;width:649.7pt;height:43.95pt;z-index:251671552" strokecolor="#4bacc6">
            <v:textbox style="mso-next-textbox:#_x0000_s2056;mso-fit-shape-to-text:t">
              <w:txbxContent>
                <w:p w:rsidR="000A3759" w:rsidRPr="00FB4105" w:rsidRDefault="00FB4105" w:rsidP="00FB4105">
                  <w:r w:rsidRPr="00BB2C5E">
                    <w:rPr>
                      <w:rFonts w:ascii="Arial" w:hAnsi="Arial" w:cs="Arial"/>
                      <w:szCs w:val="21"/>
                    </w:rPr>
                    <w:t>These graphs show the consumer sales figures for suppliers and retailers (private lab</w:t>
                  </w:r>
                  <w:r w:rsidR="0058188B">
                    <w:rPr>
                      <w:rFonts w:ascii="Arial" w:hAnsi="Arial" w:cs="Arial"/>
                      <w:szCs w:val="21"/>
                    </w:rPr>
                    <w:t>el) by market, consumer segment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 and shopper segment. More detailed information can be obtained by moving the cursor over the colors in the bar charts.</w:t>
                  </w:r>
                </w:p>
              </w:txbxContent>
            </v:textbox>
            <w10:wrap type="square"/>
          </v:shape>
        </w:pict>
      </w:r>
    </w:p>
    <w:p w:rsidR="00BE1833" w:rsidRPr="000A3759" w:rsidRDefault="00BE1833" w:rsidP="00265843">
      <w:pPr>
        <w:widowControl/>
      </w:pPr>
    </w:p>
    <w:p w:rsidR="00BE1833" w:rsidRDefault="00EE7289" w:rsidP="00265843">
      <w:pPr>
        <w:widowControl/>
      </w:pPr>
      <w:r>
        <w:rPr>
          <w:noProof/>
        </w:rPr>
        <w:pict>
          <v:shape id="_x0000_s2053" type="#_x0000_t202" style="position:absolute;left:0;text-align:left;margin-left:-30.8pt;margin-top:14.9pt;width:649.7pt;height:49.25pt;z-index:251662336" fillcolor="#428bca">
            <v:textbox style="mso-next-textbox:#_x0000_s2053">
              <w:txbxContent>
                <w:p w:rsidR="00BE1833" w:rsidRPr="00BE1833" w:rsidRDefault="00A57F3C" w:rsidP="00BE1833">
                  <w:pPr>
                    <w:adjustRightInd w:val="0"/>
                    <w:snapToGrid w:val="0"/>
                    <w:spacing w:line="240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</w:pP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Sales</w:t>
                  </w:r>
                  <w:r w:rsidR="006A19B7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EE7289" w:rsidP="00265843">
      <w:pPr>
        <w:widowControl/>
      </w:pPr>
      <w:r>
        <w:rPr>
          <w:noProof/>
        </w:rPr>
        <w:pict>
          <v:shape id="_x0000_s2054" type="#_x0000_t202" style="position:absolute;left:0;text-align:left;margin-left:648.85pt;margin-top:11.8pt;width:239.3pt;height:449.4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82695B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7E761A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7E761A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Pr="007E761A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7E761A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423CD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295C15" w:rsidRDefault="00295C15" w:rsidP="00295C1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295C15" w:rsidRDefault="00295C15" w:rsidP="00295C15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423CD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23CD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423CDA" w:rsidRPr="00E2365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2365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Pr="00E2365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423CDA" w:rsidRPr="00633812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423CDA" w:rsidRPr="003F242F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423CD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423CD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423CD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423CD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423CD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423CD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423CD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423CDA" w:rsidRDefault="00423CDA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92977" w:rsidRDefault="00492977" w:rsidP="00423CD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p w:rsidR="00BE1833" w:rsidRDefault="00A57F3C" w:rsidP="00265843">
      <w:pPr>
        <w:widowControl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-396875</wp:posOffset>
            </wp:positionH>
            <wp:positionV relativeFrom="paragraph">
              <wp:posOffset>118110</wp:posOffset>
            </wp:positionV>
            <wp:extent cx="8199120" cy="4256405"/>
            <wp:effectExtent l="19050" t="0" r="11430" b="0"/>
            <wp:wrapThrough wrapText="bothSides">
              <wp:wrapPolygon edited="0">
                <wp:start x="-50" y="0"/>
                <wp:lineTo x="-50" y="21558"/>
                <wp:lineTo x="21630" y="21558"/>
                <wp:lineTo x="21630" y="0"/>
                <wp:lineTo x="-50" y="0"/>
              </wp:wrapPolygon>
            </wp:wrapThrough>
            <wp:docPr id="1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BE1833" w:rsidRDefault="00EE7289" w:rsidP="00265843">
      <w:pPr>
        <w:widowControl/>
      </w:pPr>
      <w:r>
        <w:rPr>
          <w:noProof/>
        </w:rPr>
        <w:pict>
          <v:shape id="_x0000_s2059" type="#_x0000_t202" style="position:absolute;left:0;text-align:left;margin-left:-648.8pt;margin-top:3pt;width:66.75pt;height:23.25pt;z-index:251679744" strokecolor="white [3212]">
            <v:textbox>
              <w:txbxContent>
                <w:p w:rsidR="0029463F" w:rsidRPr="0029463F" w:rsidRDefault="002C58F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(u</w:t>
                  </w:r>
                  <w:r w:rsidR="0029463F" w:rsidRPr="0029463F">
                    <w:rPr>
                      <w:rFonts w:ascii="Arial" w:hAnsi="Arial" w:cs="Arial"/>
                    </w:rPr>
                    <w:t>nit</w:t>
                  </w:r>
                  <w:r>
                    <w:rPr>
                      <w:rFonts w:ascii="Arial" w:hAnsi="Arial" w:cs="Arial" w:hint="eastAsia"/>
                    </w:rPr>
                    <w:t>s</w:t>
                  </w:r>
                  <w:r w:rsidR="0029463F" w:rsidRPr="0029463F">
                    <w:rPr>
                      <w:rFonts w:ascii="Arial" w:hAnsi="Arial" w:cs="Arial"/>
                    </w:rPr>
                    <w:t xml:space="preserve"> mln</w:t>
                  </w:r>
                  <w:r>
                    <w:rPr>
                      <w:rFonts w:ascii="Arial" w:hAnsi="Arial" w:cs="Arial" w:hint="eastAsia"/>
                    </w:rPr>
                    <w:t>)</w:t>
                  </w:r>
                </w:p>
              </w:txbxContent>
            </v:textbox>
          </v:shape>
        </w:pict>
      </w:r>
    </w:p>
    <w:p w:rsidR="00BE1833" w:rsidRDefault="00EE7289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16pt;margin-top:0;width:0;height:20.25pt;z-index:251670528" o:connectortype="straight" strokecolor="#002060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EE7289" w:rsidP="00265843">
      <w:pPr>
        <w:widowControl/>
      </w:pPr>
      <w:r>
        <w:rPr>
          <w:noProof/>
        </w:rPr>
        <w:pict>
          <v:shape id="_x0000_s2057" type="#_x0000_t202" style="position:absolute;left:0;text-align:left;margin-left:-587.75pt;margin-top:14.25pt;width:136.5pt;height:51.75pt;z-index:251672576">
            <v:textbox>
              <w:txbxContent>
                <w:p w:rsidR="003F66D2" w:rsidRPr="00330E70" w:rsidRDefault="003F66D2" w:rsidP="003F66D2">
                  <w:pPr>
                    <w:adjustRightInd w:val="0"/>
                    <w:snapToGrid w:val="0"/>
                    <w:spacing w:line="300" w:lineRule="exac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 xml:space="preserve">Supplier </w:t>
                  </w:r>
                  <w:r>
                    <w:rPr>
                      <w:rFonts w:ascii="Arial" w:hAnsi="Arial" w:cs="Arial" w:hint="eastAsia"/>
                      <w:b/>
                      <w:sz w:val="15"/>
                      <w:szCs w:val="15"/>
                    </w:rPr>
                    <w:t>3</w:t>
                  </w:r>
                </w:p>
                <w:p w:rsidR="003F66D2" w:rsidRPr="00330E70" w:rsidRDefault="0029463F" w:rsidP="003F66D2">
                  <w:pPr>
                    <w:adjustRightInd w:val="0"/>
                    <w:snapToGrid w:val="0"/>
                    <w:spacing w:line="300" w:lineRule="exact"/>
                    <w:rPr>
                      <w:rFonts w:ascii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cs="Arial" w:hint="eastAsia"/>
                      <w:sz w:val="15"/>
                      <w:szCs w:val="15"/>
                    </w:rPr>
                    <w:t xml:space="preserve">Volume Sales </w:t>
                  </w:r>
                  <w:r w:rsidR="003F66D2">
                    <w:rPr>
                      <w:rFonts w:ascii="Arial" w:hAnsi="Arial" w:cs="Arial" w:hint="eastAsia"/>
                      <w:sz w:val="15"/>
                      <w:szCs w:val="15"/>
                    </w:rPr>
                    <w:t>115</w:t>
                  </w:r>
                  <w:r w:rsidR="002C58FD">
                    <w:rPr>
                      <w:rFonts w:ascii="Arial" w:hAnsi="Arial" w:cs="Arial" w:hint="eastAsia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Arial" w:hAnsi="Arial" w:cs="Arial" w:hint="eastAsia"/>
                      <w:sz w:val="15"/>
                      <w:szCs w:val="15"/>
                    </w:rPr>
                    <w:t>unit</w:t>
                  </w:r>
                  <w:r w:rsidR="002C58FD">
                    <w:rPr>
                      <w:rFonts w:ascii="Arial" w:hAnsi="Arial" w:cs="Arial" w:hint="eastAsia"/>
                      <w:sz w:val="15"/>
                      <w:szCs w:val="15"/>
                    </w:rPr>
                    <w:t>s</w:t>
                  </w:r>
                  <w:r>
                    <w:rPr>
                      <w:rFonts w:ascii="Arial" w:hAnsi="Arial" w:cs="Arial" w:hint="eastAsia"/>
                      <w:sz w:val="15"/>
                      <w:szCs w:val="15"/>
                    </w:rPr>
                    <w:t xml:space="preserve"> </w:t>
                  </w:r>
                  <w:r w:rsidR="003F66D2">
                    <w:rPr>
                      <w:rFonts w:ascii="Arial" w:hAnsi="Arial" w:cs="Arial" w:hint="eastAsia"/>
                      <w:sz w:val="15"/>
                      <w:szCs w:val="15"/>
                    </w:rPr>
                    <w:t>mln</w:t>
                  </w:r>
                  <w:r w:rsidR="002C58FD">
                    <w:rPr>
                      <w:rFonts w:ascii="Arial" w:hAnsi="Arial" w:cs="Arial" w:hint="eastAsia"/>
                      <w:sz w:val="15"/>
                      <w:szCs w:val="15"/>
                    </w:rPr>
                    <w:t>)</w:t>
                  </w:r>
                </w:p>
                <w:p w:rsidR="003F66D2" w:rsidRPr="00330E70" w:rsidRDefault="003F66D2" w:rsidP="003F66D2">
                  <w:pPr>
                    <w:adjustRightInd w:val="0"/>
                    <w:snapToGrid w:val="0"/>
                    <w:spacing w:line="300" w:lineRule="exact"/>
                    <w:rPr>
                      <w:rFonts w:ascii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cs="Arial" w:hint="eastAsia"/>
                      <w:sz w:val="15"/>
                      <w:szCs w:val="15"/>
                    </w:rPr>
                    <w:t>+ 3</w:t>
                  </w:r>
                  <w:r w:rsidRPr="00330E70">
                    <w:rPr>
                      <w:rFonts w:ascii="Arial" w:hAnsi="Arial" w:cs="Arial" w:hint="eastAsia"/>
                      <w:sz w:val="15"/>
                      <w:szCs w:val="15"/>
                    </w:rPr>
                    <w:t>% over previous period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EE7289" w:rsidP="00302A61">
      <w:pPr>
        <w:widowControl/>
      </w:pPr>
      <w:r>
        <w:rPr>
          <w:noProof/>
        </w:rPr>
        <w:pict>
          <v:shape id="_x0000_s2060" type="#_x0000_t202" style="position:absolute;left:0;text-align:left;margin-left:-648.8pt;margin-top:15.75pt;width:66.75pt;height:25.5pt;z-index:251680768" strokecolor="white [3212]">
            <v:textbox>
              <w:txbxContent>
                <w:p w:rsidR="0029463F" w:rsidRPr="0029463F" w:rsidRDefault="002C58F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(</w:t>
                  </w:r>
                  <w:r w:rsidR="00A35839">
                    <w:rPr>
                      <w:rFonts w:ascii="Arial" w:hAnsi="Arial" w:cs="Arial"/>
                    </w:rPr>
                    <w:t>$</w:t>
                  </w:r>
                  <w:r w:rsidR="0029463F" w:rsidRPr="0029463F">
                    <w:rPr>
                      <w:rFonts w:ascii="Arial" w:hAnsi="Arial" w:cs="Arial"/>
                    </w:rPr>
                    <w:t>mln</w:t>
                  </w:r>
                  <w:r>
                    <w:rPr>
                      <w:rFonts w:ascii="Arial" w:hAnsi="Arial" w:cs="Arial" w:hint="eastAsia"/>
                    </w:rPr>
                    <w:t>)</w:t>
                  </w:r>
                </w:p>
              </w:txbxContent>
            </v:textbox>
          </v:shape>
        </w:pict>
      </w:r>
      <w:r w:rsidR="00293A6E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-8324215</wp:posOffset>
            </wp:positionH>
            <wp:positionV relativeFrom="paragraph">
              <wp:posOffset>31115</wp:posOffset>
            </wp:positionV>
            <wp:extent cx="8199120" cy="4256405"/>
            <wp:effectExtent l="19050" t="0" r="11430" b="0"/>
            <wp:wrapThrough wrapText="bothSides">
              <wp:wrapPolygon edited="0">
                <wp:start x="-50" y="0"/>
                <wp:lineTo x="-50" y="21558"/>
                <wp:lineTo x="21630" y="21558"/>
                <wp:lineTo x="21630" y="0"/>
                <wp:lineTo x="-50" y="0"/>
              </wp:wrapPolygon>
            </wp:wrapThrough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293A6E" w:rsidP="00302A61">
      <w:pPr>
        <w:widowControl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-8324215</wp:posOffset>
            </wp:positionH>
            <wp:positionV relativeFrom="paragraph">
              <wp:posOffset>401955</wp:posOffset>
            </wp:positionV>
            <wp:extent cx="8199120" cy="4256405"/>
            <wp:effectExtent l="19050" t="0" r="11430" b="0"/>
            <wp:wrapThrough wrapText="bothSides">
              <wp:wrapPolygon edited="0">
                <wp:start x="-50" y="0"/>
                <wp:lineTo x="-50" y="21558"/>
                <wp:lineTo x="21630" y="21558"/>
                <wp:lineTo x="21630" y="0"/>
                <wp:lineTo x="-50" y="0"/>
              </wp:wrapPolygon>
            </wp:wrapThrough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293A6E" w:rsidP="00302A61">
      <w:pPr>
        <w:widowControl/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-8324215</wp:posOffset>
            </wp:positionH>
            <wp:positionV relativeFrom="paragraph">
              <wp:posOffset>142240</wp:posOffset>
            </wp:positionV>
            <wp:extent cx="8199120" cy="4256405"/>
            <wp:effectExtent l="19050" t="0" r="11430" b="0"/>
            <wp:wrapThrough wrapText="bothSides">
              <wp:wrapPolygon edited="0">
                <wp:start x="-50" y="0"/>
                <wp:lineTo x="-50" y="21558"/>
                <wp:lineTo x="21630" y="21558"/>
                <wp:lineTo x="21630" y="0"/>
                <wp:lineTo x="-50" y="0"/>
              </wp:wrapPolygon>
            </wp:wrapThrough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265843" w:rsidRDefault="00265843" w:rsidP="00302A61">
      <w:pPr>
        <w:widowControl/>
      </w:pPr>
    </w:p>
    <w:sectPr w:rsidR="00265843" w:rsidSect="006A19B7">
      <w:pgSz w:w="19845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571" w:rsidRDefault="00730571" w:rsidP="00265843">
      <w:pPr>
        <w:spacing w:line="240" w:lineRule="auto"/>
      </w:pPr>
      <w:r>
        <w:separator/>
      </w:r>
    </w:p>
  </w:endnote>
  <w:endnote w:type="continuationSeparator" w:id="0">
    <w:p w:rsidR="00730571" w:rsidRDefault="00730571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571" w:rsidRDefault="00730571" w:rsidP="00265843">
      <w:pPr>
        <w:spacing w:line="240" w:lineRule="auto"/>
      </w:pPr>
      <w:r>
        <w:separator/>
      </w:r>
    </w:p>
  </w:footnote>
  <w:footnote w:type="continuationSeparator" w:id="0">
    <w:p w:rsidR="00730571" w:rsidRDefault="00730571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80066"/>
    <w:rsid w:val="000A3759"/>
    <w:rsid w:val="000A7FB5"/>
    <w:rsid w:val="0012794B"/>
    <w:rsid w:val="0024314D"/>
    <w:rsid w:val="00265843"/>
    <w:rsid w:val="00292FFD"/>
    <w:rsid w:val="00293A6E"/>
    <w:rsid w:val="0029463F"/>
    <w:rsid w:val="00295C15"/>
    <w:rsid w:val="002B3310"/>
    <w:rsid w:val="002C58FD"/>
    <w:rsid w:val="00302A61"/>
    <w:rsid w:val="00356B2A"/>
    <w:rsid w:val="003B09C4"/>
    <w:rsid w:val="003D5C39"/>
    <w:rsid w:val="003F66D2"/>
    <w:rsid w:val="00423CDA"/>
    <w:rsid w:val="00461BAA"/>
    <w:rsid w:val="00482DA1"/>
    <w:rsid w:val="00492977"/>
    <w:rsid w:val="004A6881"/>
    <w:rsid w:val="00525BD8"/>
    <w:rsid w:val="005645AD"/>
    <w:rsid w:val="00573683"/>
    <w:rsid w:val="0058188B"/>
    <w:rsid w:val="005F1C80"/>
    <w:rsid w:val="00674646"/>
    <w:rsid w:val="006A19B7"/>
    <w:rsid w:val="00730571"/>
    <w:rsid w:val="007965E1"/>
    <w:rsid w:val="007A63FB"/>
    <w:rsid w:val="007E761A"/>
    <w:rsid w:val="0082695B"/>
    <w:rsid w:val="0084537C"/>
    <w:rsid w:val="008A3347"/>
    <w:rsid w:val="008B60AC"/>
    <w:rsid w:val="008E7032"/>
    <w:rsid w:val="009509BC"/>
    <w:rsid w:val="00984218"/>
    <w:rsid w:val="009A4865"/>
    <w:rsid w:val="009B2D61"/>
    <w:rsid w:val="009E18C9"/>
    <w:rsid w:val="00A121D7"/>
    <w:rsid w:val="00A35839"/>
    <w:rsid w:val="00A57F3C"/>
    <w:rsid w:val="00AB157D"/>
    <w:rsid w:val="00AE131D"/>
    <w:rsid w:val="00B46A9F"/>
    <w:rsid w:val="00B610B9"/>
    <w:rsid w:val="00B75BAB"/>
    <w:rsid w:val="00BD7519"/>
    <w:rsid w:val="00BE1833"/>
    <w:rsid w:val="00C131B0"/>
    <w:rsid w:val="00C56DEE"/>
    <w:rsid w:val="00CB2248"/>
    <w:rsid w:val="00CC14B9"/>
    <w:rsid w:val="00D516DE"/>
    <w:rsid w:val="00E55908"/>
    <w:rsid w:val="00E96B99"/>
    <w:rsid w:val="00EE7289"/>
    <w:rsid w:val="00F418EF"/>
    <w:rsid w:val="00F70497"/>
    <w:rsid w:val="00FB4105"/>
    <w:rsid w:val="00FC5D88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 [3212]"/>
    </o:shapedefaults>
    <o:shapelayout v:ext="edit">
      <o:idmap v:ext="edit" data="2"/>
      <o:rules v:ext="edit">
        <o:r id="V:Rule2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jc w:val="right"/>
      <w:outlineLvl w:val="1"/>
    </w:pPr>
    <w:rPr>
      <w:rFonts w:ascii="宋体" w:hAnsi="宋体"/>
      <w:b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584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5843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1833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HCD%20EA%20job\0000%202%20eTales\2014-02-12%20eTalesReportFormat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E:\HCD%20EA%20job\0000%202%20eTales\2014-02-12%20eTalesReportFormat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E:\HCD%20EA%20job\0000%202%20eTales\2014-02-12%20eTalesReportFormat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E:\HCD%20EA%20job\0000%202%20eTales\2014-02-12%20eTalesReportForm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r>
              <a:rPr lang="en-US" altLang="zh-CN" sz="1800" b="1" i="0" baseline="0"/>
              <a:t>Elecssories - Volume Sales </a:t>
            </a:r>
            <a:endParaRPr lang="zh-CN" altLang="zh-CN" sz="1800"/>
          </a:p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endParaRPr lang="en-US" altLang="zh-CN" sz="2400" b="1" i="0" baseline="0"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9802308052571497"/>
          <c:y val="2.3259064868122278E-2"/>
        </c:manualLayout>
      </c:layout>
    </c:title>
    <c:plotArea>
      <c:layout>
        <c:manualLayout>
          <c:layoutTarget val="inner"/>
          <c:xMode val="edge"/>
          <c:yMode val="edge"/>
          <c:x val="6.9803816895769422E-2"/>
          <c:y val="0.13292345934107871"/>
          <c:w val="0.82760094109298854"/>
          <c:h val="0.67057390103464787"/>
        </c:manualLayout>
      </c:layout>
      <c:barChart>
        <c:barDir val="col"/>
        <c:grouping val="stacked"/>
        <c:ser>
          <c:idx val="0"/>
          <c:order val="0"/>
          <c:tx>
            <c:strRef>
              <c:f>'1.1 Market Share'!$B$13</c:f>
              <c:strCache>
                <c:ptCount val="1"/>
                <c:pt idx="0">
                  <c:v>Supplier 1</c:v>
                </c:pt>
              </c:strCache>
            </c:strRef>
          </c:tx>
          <c:spPr>
            <a:solidFill>
              <a:srgbClr val="3257A7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Share'!$C$13:$O$13</c:f>
              <c:numCache>
                <c:formatCode>General</c:formatCode>
                <c:ptCount val="13"/>
                <c:pt idx="0">
                  <c:v>240</c:v>
                </c:pt>
                <c:pt idx="2">
                  <c:v>150</c:v>
                </c:pt>
                <c:pt idx="3">
                  <c:v>90</c:v>
                </c:pt>
                <c:pt idx="5">
                  <c:v>100</c:v>
                </c:pt>
                <c:pt idx="6">
                  <c:v>70</c:v>
                </c:pt>
                <c:pt idx="7">
                  <c:v>30</c:v>
                </c:pt>
                <c:pt idx="8">
                  <c:v>40</c:v>
                </c:pt>
                <c:pt idx="10">
                  <c:v>120</c:v>
                </c:pt>
                <c:pt idx="11">
                  <c:v>30</c:v>
                </c:pt>
                <c:pt idx="12">
                  <c:v>90</c:v>
                </c:pt>
              </c:numCache>
            </c:numRef>
          </c:val>
        </c:ser>
        <c:ser>
          <c:idx val="1"/>
          <c:order val="1"/>
          <c:tx>
            <c:strRef>
              <c:f>'1.1 Market Share'!$B$14</c:f>
              <c:strCache>
                <c:ptCount val="1"/>
                <c:pt idx="0">
                  <c:v>Supplier 2</c:v>
                </c:pt>
              </c:strCache>
            </c:strRef>
          </c:tx>
          <c:spPr>
            <a:solidFill>
              <a:srgbClr val="B11E22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Share'!$C$14:$O$14</c:f>
              <c:numCache>
                <c:formatCode>General</c:formatCode>
                <c:ptCount val="13"/>
                <c:pt idx="0">
                  <c:v>150</c:v>
                </c:pt>
                <c:pt idx="2">
                  <c:v>100</c:v>
                </c:pt>
                <c:pt idx="3">
                  <c:v>50</c:v>
                </c:pt>
                <c:pt idx="5">
                  <c:v>60</c:v>
                </c:pt>
                <c:pt idx="6">
                  <c:v>30</c:v>
                </c:pt>
                <c:pt idx="7">
                  <c:v>40</c:v>
                </c:pt>
                <c:pt idx="8">
                  <c:v>20</c:v>
                </c:pt>
                <c:pt idx="10">
                  <c:v>80</c:v>
                </c:pt>
                <c:pt idx="11">
                  <c:v>20</c:v>
                </c:pt>
                <c:pt idx="12">
                  <c:v>50</c:v>
                </c:pt>
              </c:numCache>
            </c:numRef>
          </c:val>
        </c:ser>
        <c:ser>
          <c:idx val="2"/>
          <c:order val="2"/>
          <c:tx>
            <c:strRef>
              <c:f>'1.1 Market Share'!$B$15</c:f>
              <c:strCache>
                <c:ptCount val="1"/>
                <c:pt idx="0">
                  <c:v>Supplier 3</c:v>
                </c:pt>
              </c:strCache>
            </c:strRef>
          </c:tx>
          <c:spPr>
            <a:solidFill>
              <a:srgbClr val="F6B920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Share'!$C$15:$O$15</c:f>
              <c:numCache>
                <c:formatCode>General</c:formatCode>
                <c:ptCount val="13"/>
                <c:pt idx="0">
                  <c:v>190</c:v>
                </c:pt>
                <c:pt idx="2">
                  <c:v>120</c:v>
                </c:pt>
                <c:pt idx="3">
                  <c:v>70</c:v>
                </c:pt>
                <c:pt idx="5">
                  <c:v>110</c:v>
                </c:pt>
                <c:pt idx="6">
                  <c:v>40</c:v>
                </c:pt>
                <c:pt idx="7">
                  <c:v>30</c:v>
                </c:pt>
                <c:pt idx="8">
                  <c:v>10</c:v>
                </c:pt>
                <c:pt idx="10">
                  <c:v>110</c:v>
                </c:pt>
                <c:pt idx="11">
                  <c:v>10</c:v>
                </c:pt>
                <c:pt idx="12">
                  <c:v>70</c:v>
                </c:pt>
              </c:numCache>
            </c:numRef>
          </c:val>
        </c:ser>
        <c:ser>
          <c:idx val="3"/>
          <c:order val="3"/>
          <c:tx>
            <c:strRef>
              <c:f>'1.1 Market Share'!$B$16</c:f>
              <c:strCache>
                <c:ptCount val="1"/>
                <c:pt idx="0">
                  <c:v>Supplier 4</c:v>
                </c:pt>
              </c:strCache>
            </c:strRef>
          </c:tx>
          <c:spPr>
            <a:solidFill>
              <a:srgbClr val="329444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Share'!$C$16:$O$16</c:f>
              <c:numCache>
                <c:formatCode>General</c:formatCode>
                <c:ptCount val="13"/>
                <c:pt idx="0">
                  <c:v>140</c:v>
                </c:pt>
                <c:pt idx="2">
                  <c:v>90</c:v>
                </c:pt>
                <c:pt idx="3">
                  <c:v>50</c:v>
                </c:pt>
                <c:pt idx="5">
                  <c:v>110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10">
                  <c:v>80</c:v>
                </c:pt>
                <c:pt idx="11">
                  <c:v>20</c:v>
                </c:pt>
                <c:pt idx="12">
                  <c:v>40</c:v>
                </c:pt>
              </c:numCache>
            </c:numRef>
          </c:val>
        </c:ser>
        <c:ser>
          <c:idx val="4"/>
          <c:order val="4"/>
          <c:tx>
            <c:strRef>
              <c:f>'1.1 Market Share'!$B$17</c:f>
              <c:strCache>
                <c:ptCount val="1"/>
                <c:pt idx="0">
                  <c:v>Retailer 1</c:v>
                </c:pt>
              </c:strCache>
            </c:strRef>
          </c:tx>
          <c:spPr>
            <a:solidFill>
              <a:srgbClr val="8B288B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Share'!$C$17:$O$17</c:f>
              <c:numCache>
                <c:formatCode>General</c:formatCode>
                <c:ptCount val="13"/>
                <c:pt idx="0">
                  <c:v>190</c:v>
                </c:pt>
                <c:pt idx="2">
                  <c:v>110</c:v>
                </c:pt>
                <c:pt idx="3">
                  <c:v>80</c:v>
                </c:pt>
                <c:pt idx="5">
                  <c:v>120</c:v>
                </c:pt>
                <c:pt idx="6">
                  <c:v>30</c:v>
                </c:pt>
                <c:pt idx="7">
                  <c:v>20</c:v>
                </c:pt>
                <c:pt idx="8">
                  <c:v>20</c:v>
                </c:pt>
                <c:pt idx="10">
                  <c:v>80</c:v>
                </c:pt>
                <c:pt idx="11">
                  <c:v>30</c:v>
                </c:pt>
                <c:pt idx="12">
                  <c:v>80</c:v>
                </c:pt>
              </c:numCache>
            </c:numRef>
          </c:val>
        </c:ser>
        <c:ser>
          <c:idx val="5"/>
          <c:order val="5"/>
          <c:tx>
            <c:strRef>
              <c:f>'1.1 Market Share'!$B$18</c:f>
              <c:strCache>
                <c:ptCount val="1"/>
                <c:pt idx="0">
                  <c:v>Retailer 2</c:v>
                </c:pt>
              </c:strCache>
            </c:strRef>
          </c:tx>
          <c:spPr>
            <a:solidFill>
              <a:srgbClr val="F05422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Share'!$C$18:$O$18</c:f>
              <c:numCache>
                <c:formatCode>General</c:formatCode>
                <c:ptCount val="13"/>
                <c:pt idx="0">
                  <c:v>90</c:v>
                </c:pt>
                <c:pt idx="2">
                  <c:v>50</c:v>
                </c:pt>
                <c:pt idx="3">
                  <c:v>40</c:v>
                </c:pt>
                <c:pt idx="5">
                  <c:v>40</c:v>
                </c:pt>
                <c:pt idx="6">
                  <c:v>20</c:v>
                </c:pt>
                <c:pt idx="7">
                  <c:v>10</c:v>
                </c:pt>
                <c:pt idx="8">
                  <c:v>20</c:v>
                </c:pt>
                <c:pt idx="10">
                  <c:v>50</c:v>
                </c:pt>
                <c:pt idx="11">
                  <c:v>20</c:v>
                </c:pt>
                <c:pt idx="12">
                  <c:v>20</c:v>
                </c:pt>
              </c:numCache>
            </c:numRef>
          </c:val>
        </c:ser>
        <c:gapWidth val="55"/>
        <c:overlap val="100"/>
        <c:axId val="98450048"/>
        <c:axId val="98455936"/>
      </c:barChart>
      <c:catAx>
        <c:axId val="98450048"/>
        <c:scaling>
          <c:orientation val="minMax"/>
        </c:scaling>
        <c:axPos val="b"/>
        <c:majorTickMark val="none"/>
        <c:tickLblPos val="nextTo"/>
        <c:crossAx val="98455936"/>
        <c:crosses val="autoZero"/>
        <c:auto val="1"/>
        <c:lblAlgn val="ctr"/>
        <c:lblOffset val="100"/>
      </c:catAx>
      <c:valAx>
        <c:axId val="9845593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8450048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r>
              <a:rPr lang="en-US" altLang="zh-CN" sz="1800" b="1" i="0" baseline="0"/>
              <a:t>Elecssories - Value Sales </a:t>
            </a:r>
            <a:endParaRPr lang="zh-CN" altLang="zh-CN" sz="1800"/>
          </a:p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endParaRPr lang="en-US" altLang="zh-CN" sz="2400" b="1" i="0" baseline="0"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9802308052571497"/>
          <c:y val="2.3259064868122278E-2"/>
        </c:manualLayout>
      </c:layout>
    </c:title>
    <c:plotArea>
      <c:layout>
        <c:manualLayout>
          <c:layoutTarget val="inner"/>
          <c:xMode val="edge"/>
          <c:yMode val="edge"/>
          <c:x val="6.9803816895769394E-2"/>
          <c:y val="0.13292345934107871"/>
          <c:w val="0.82760094109298854"/>
          <c:h val="0.67057390103464787"/>
        </c:manualLayout>
      </c:layout>
      <c:barChart>
        <c:barDir val="col"/>
        <c:grouping val="stacked"/>
        <c:ser>
          <c:idx val="0"/>
          <c:order val="0"/>
          <c:tx>
            <c:strRef>
              <c:f>'1.1 Market Share'!$B$13</c:f>
              <c:strCache>
                <c:ptCount val="1"/>
                <c:pt idx="0">
                  <c:v>Supplier 1</c:v>
                </c:pt>
              </c:strCache>
            </c:strRef>
          </c:tx>
          <c:spPr>
            <a:solidFill>
              <a:srgbClr val="3257A7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Share'!$C$13:$O$13</c:f>
              <c:numCache>
                <c:formatCode>General</c:formatCode>
                <c:ptCount val="13"/>
                <c:pt idx="0">
                  <c:v>240</c:v>
                </c:pt>
                <c:pt idx="2">
                  <c:v>150</c:v>
                </c:pt>
                <c:pt idx="3">
                  <c:v>90</c:v>
                </c:pt>
                <c:pt idx="5">
                  <c:v>100</c:v>
                </c:pt>
                <c:pt idx="6">
                  <c:v>70</c:v>
                </c:pt>
                <c:pt idx="7">
                  <c:v>30</c:v>
                </c:pt>
                <c:pt idx="8">
                  <c:v>40</c:v>
                </c:pt>
                <c:pt idx="10">
                  <c:v>120</c:v>
                </c:pt>
                <c:pt idx="11">
                  <c:v>30</c:v>
                </c:pt>
                <c:pt idx="12">
                  <c:v>90</c:v>
                </c:pt>
              </c:numCache>
            </c:numRef>
          </c:val>
        </c:ser>
        <c:ser>
          <c:idx val="1"/>
          <c:order val="1"/>
          <c:tx>
            <c:strRef>
              <c:f>'1.1 Market Share'!$B$14</c:f>
              <c:strCache>
                <c:ptCount val="1"/>
                <c:pt idx="0">
                  <c:v>Supplier 2</c:v>
                </c:pt>
              </c:strCache>
            </c:strRef>
          </c:tx>
          <c:spPr>
            <a:solidFill>
              <a:srgbClr val="B11E22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Share'!$C$14:$O$14</c:f>
              <c:numCache>
                <c:formatCode>General</c:formatCode>
                <c:ptCount val="13"/>
                <c:pt idx="0">
                  <c:v>150</c:v>
                </c:pt>
                <c:pt idx="2">
                  <c:v>100</c:v>
                </c:pt>
                <c:pt idx="3">
                  <c:v>50</c:v>
                </c:pt>
                <c:pt idx="5">
                  <c:v>60</c:v>
                </c:pt>
                <c:pt idx="6">
                  <c:v>30</c:v>
                </c:pt>
                <c:pt idx="7">
                  <c:v>40</c:v>
                </c:pt>
                <c:pt idx="8">
                  <c:v>20</c:v>
                </c:pt>
                <c:pt idx="10">
                  <c:v>80</c:v>
                </c:pt>
                <c:pt idx="11">
                  <c:v>20</c:v>
                </c:pt>
                <c:pt idx="12">
                  <c:v>50</c:v>
                </c:pt>
              </c:numCache>
            </c:numRef>
          </c:val>
        </c:ser>
        <c:ser>
          <c:idx val="2"/>
          <c:order val="2"/>
          <c:tx>
            <c:strRef>
              <c:f>'1.1 Market Share'!$B$15</c:f>
              <c:strCache>
                <c:ptCount val="1"/>
                <c:pt idx="0">
                  <c:v>Supplier 3</c:v>
                </c:pt>
              </c:strCache>
            </c:strRef>
          </c:tx>
          <c:spPr>
            <a:solidFill>
              <a:srgbClr val="F6B920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Share'!$C$15:$O$15</c:f>
              <c:numCache>
                <c:formatCode>General</c:formatCode>
                <c:ptCount val="13"/>
                <c:pt idx="0">
                  <c:v>190</c:v>
                </c:pt>
                <c:pt idx="2">
                  <c:v>120</c:v>
                </c:pt>
                <c:pt idx="3">
                  <c:v>70</c:v>
                </c:pt>
                <c:pt idx="5">
                  <c:v>110</c:v>
                </c:pt>
                <c:pt idx="6">
                  <c:v>40</c:v>
                </c:pt>
                <c:pt idx="7">
                  <c:v>30</c:v>
                </c:pt>
                <c:pt idx="8">
                  <c:v>10</c:v>
                </c:pt>
                <c:pt idx="10">
                  <c:v>110</c:v>
                </c:pt>
                <c:pt idx="11">
                  <c:v>10</c:v>
                </c:pt>
                <c:pt idx="12">
                  <c:v>70</c:v>
                </c:pt>
              </c:numCache>
            </c:numRef>
          </c:val>
        </c:ser>
        <c:ser>
          <c:idx val="3"/>
          <c:order val="3"/>
          <c:tx>
            <c:strRef>
              <c:f>'1.1 Market Share'!$B$16</c:f>
              <c:strCache>
                <c:ptCount val="1"/>
                <c:pt idx="0">
                  <c:v>Supplier 4</c:v>
                </c:pt>
              </c:strCache>
            </c:strRef>
          </c:tx>
          <c:spPr>
            <a:solidFill>
              <a:srgbClr val="329444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Share'!$C$16:$O$16</c:f>
              <c:numCache>
                <c:formatCode>General</c:formatCode>
                <c:ptCount val="13"/>
                <c:pt idx="0">
                  <c:v>140</c:v>
                </c:pt>
                <c:pt idx="2">
                  <c:v>90</c:v>
                </c:pt>
                <c:pt idx="3">
                  <c:v>50</c:v>
                </c:pt>
                <c:pt idx="5">
                  <c:v>110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10">
                  <c:v>80</c:v>
                </c:pt>
                <c:pt idx="11">
                  <c:v>20</c:v>
                </c:pt>
                <c:pt idx="12">
                  <c:v>40</c:v>
                </c:pt>
              </c:numCache>
            </c:numRef>
          </c:val>
        </c:ser>
        <c:ser>
          <c:idx val="4"/>
          <c:order val="4"/>
          <c:tx>
            <c:strRef>
              <c:f>'1.1 Market Share'!$B$17</c:f>
              <c:strCache>
                <c:ptCount val="1"/>
                <c:pt idx="0">
                  <c:v>Retailer 1</c:v>
                </c:pt>
              </c:strCache>
            </c:strRef>
          </c:tx>
          <c:spPr>
            <a:solidFill>
              <a:srgbClr val="8B288B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Share'!$C$17:$O$17</c:f>
              <c:numCache>
                <c:formatCode>General</c:formatCode>
                <c:ptCount val="13"/>
                <c:pt idx="0">
                  <c:v>190</c:v>
                </c:pt>
                <c:pt idx="2">
                  <c:v>110</c:v>
                </c:pt>
                <c:pt idx="3">
                  <c:v>80</c:v>
                </c:pt>
                <c:pt idx="5">
                  <c:v>120</c:v>
                </c:pt>
                <c:pt idx="6">
                  <c:v>30</c:v>
                </c:pt>
                <c:pt idx="7">
                  <c:v>20</c:v>
                </c:pt>
                <c:pt idx="8">
                  <c:v>20</c:v>
                </c:pt>
                <c:pt idx="10">
                  <c:v>80</c:v>
                </c:pt>
                <c:pt idx="11">
                  <c:v>30</c:v>
                </c:pt>
                <c:pt idx="12">
                  <c:v>80</c:v>
                </c:pt>
              </c:numCache>
            </c:numRef>
          </c:val>
        </c:ser>
        <c:ser>
          <c:idx val="5"/>
          <c:order val="5"/>
          <c:tx>
            <c:strRef>
              <c:f>'1.1 Market Share'!$B$18</c:f>
              <c:strCache>
                <c:ptCount val="1"/>
                <c:pt idx="0">
                  <c:v>Retailer 2</c:v>
                </c:pt>
              </c:strCache>
            </c:strRef>
          </c:tx>
          <c:spPr>
            <a:solidFill>
              <a:srgbClr val="F05422"/>
            </a:solidFill>
          </c:spPr>
          <c:cat>
            <c:strRef>
              <c:f>'1.1 Market Share'!$C$12:$O$12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Fashion</c:v>
                </c:pt>
                <c:pt idx="8">
                  <c:v>Freaks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Share'!$C$18:$O$18</c:f>
              <c:numCache>
                <c:formatCode>General</c:formatCode>
                <c:ptCount val="13"/>
                <c:pt idx="0">
                  <c:v>90</c:v>
                </c:pt>
                <c:pt idx="2">
                  <c:v>50</c:v>
                </c:pt>
                <c:pt idx="3">
                  <c:v>40</c:v>
                </c:pt>
                <c:pt idx="5">
                  <c:v>40</c:v>
                </c:pt>
                <c:pt idx="6">
                  <c:v>20</c:v>
                </c:pt>
                <c:pt idx="7">
                  <c:v>10</c:v>
                </c:pt>
                <c:pt idx="8">
                  <c:v>20</c:v>
                </c:pt>
                <c:pt idx="10">
                  <c:v>50</c:v>
                </c:pt>
                <c:pt idx="11">
                  <c:v>20</c:v>
                </c:pt>
                <c:pt idx="12">
                  <c:v>20</c:v>
                </c:pt>
              </c:numCache>
            </c:numRef>
          </c:val>
        </c:ser>
        <c:gapWidth val="55"/>
        <c:overlap val="100"/>
        <c:axId val="98467840"/>
        <c:axId val="98469376"/>
      </c:barChart>
      <c:catAx>
        <c:axId val="98467840"/>
        <c:scaling>
          <c:orientation val="minMax"/>
        </c:scaling>
        <c:axPos val="b"/>
        <c:majorTickMark val="none"/>
        <c:tickLblPos val="nextTo"/>
        <c:crossAx val="98469376"/>
        <c:crosses val="autoZero"/>
        <c:auto val="1"/>
        <c:lblAlgn val="ctr"/>
        <c:lblOffset val="100"/>
      </c:catAx>
      <c:valAx>
        <c:axId val="9846937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8467840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r>
              <a:rPr lang="en-US" altLang="zh-CN" sz="1800" b="1" i="0" baseline="0"/>
              <a:t>HealthBeauties - Volume Sales </a:t>
            </a:r>
            <a:endParaRPr lang="zh-CN" altLang="zh-CN" sz="1800"/>
          </a:p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endParaRPr lang="en-US" altLang="zh-CN" sz="2400" b="1" i="0" baseline="0"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9802308052571497"/>
          <c:y val="2.3259064868122278E-2"/>
        </c:manualLayout>
      </c:layout>
    </c:title>
    <c:plotArea>
      <c:layout>
        <c:manualLayout>
          <c:layoutTarget val="inner"/>
          <c:xMode val="edge"/>
          <c:yMode val="edge"/>
          <c:x val="6.9803816895769394E-2"/>
          <c:y val="0.13292345934107871"/>
          <c:w val="0.82760094109298854"/>
          <c:h val="0.67057390103464787"/>
        </c:manualLayout>
      </c:layout>
      <c:barChart>
        <c:barDir val="col"/>
        <c:grouping val="stacked"/>
        <c:ser>
          <c:idx val="0"/>
          <c:order val="0"/>
          <c:tx>
            <c:strRef>
              <c:f>'1.1 Market Share'!$B$32</c:f>
              <c:strCache>
                <c:ptCount val="1"/>
                <c:pt idx="0">
                  <c:v>Supplier 1</c:v>
                </c:pt>
              </c:strCache>
            </c:strRef>
          </c:tx>
          <c:spPr>
            <a:solidFill>
              <a:srgbClr val="3257A7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Share'!$C$32:$O$32</c:f>
              <c:numCache>
                <c:formatCode>General</c:formatCode>
                <c:ptCount val="13"/>
                <c:pt idx="0">
                  <c:v>240</c:v>
                </c:pt>
                <c:pt idx="2">
                  <c:v>150</c:v>
                </c:pt>
                <c:pt idx="3">
                  <c:v>90</c:v>
                </c:pt>
                <c:pt idx="5">
                  <c:v>100</c:v>
                </c:pt>
                <c:pt idx="6">
                  <c:v>70</c:v>
                </c:pt>
                <c:pt idx="7">
                  <c:v>30</c:v>
                </c:pt>
                <c:pt idx="8">
                  <c:v>40</c:v>
                </c:pt>
                <c:pt idx="10">
                  <c:v>120</c:v>
                </c:pt>
                <c:pt idx="11">
                  <c:v>30</c:v>
                </c:pt>
                <c:pt idx="12">
                  <c:v>90</c:v>
                </c:pt>
              </c:numCache>
            </c:numRef>
          </c:val>
        </c:ser>
        <c:ser>
          <c:idx val="1"/>
          <c:order val="1"/>
          <c:tx>
            <c:strRef>
              <c:f>'1.1 Market Share'!$B$33</c:f>
              <c:strCache>
                <c:ptCount val="1"/>
                <c:pt idx="0">
                  <c:v>Supplier 2</c:v>
                </c:pt>
              </c:strCache>
            </c:strRef>
          </c:tx>
          <c:spPr>
            <a:solidFill>
              <a:srgbClr val="B11E22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Share'!$C$33:$O$33</c:f>
              <c:numCache>
                <c:formatCode>General</c:formatCode>
                <c:ptCount val="13"/>
                <c:pt idx="0">
                  <c:v>150</c:v>
                </c:pt>
                <c:pt idx="2">
                  <c:v>100</c:v>
                </c:pt>
                <c:pt idx="3">
                  <c:v>50</c:v>
                </c:pt>
                <c:pt idx="5">
                  <c:v>60</c:v>
                </c:pt>
                <c:pt idx="6">
                  <c:v>30</c:v>
                </c:pt>
                <c:pt idx="7">
                  <c:v>40</c:v>
                </c:pt>
                <c:pt idx="8">
                  <c:v>20</c:v>
                </c:pt>
                <c:pt idx="10">
                  <c:v>80</c:v>
                </c:pt>
                <c:pt idx="11">
                  <c:v>20</c:v>
                </c:pt>
                <c:pt idx="12">
                  <c:v>50</c:v>
                </c:pt>
              </c:numCache>
            </c:numRef>
          </c:val>
        </c:ser>
        <c:ser>
          <c:idx val="2"/>
          <c:order val="2"/>
          <c:tx>
            <c:strRef>
              <c:f>'1.1 Market Share'!$B$34</c:f>
              <c:strCache>
                <c:ptCount val="1"/>
                <c:pt idx="0">
                  <c:v>Supplier 3</c:v>
                </c:pt>
              </c:strCache>
            </c:strRef>
          </c:tx>
          <c:spPr>
            <a:solidFill>
              <a:srgbClr val="F6B920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Share'!$C$34:$O$34</c:f>
              <c:numCache>
                <c:formatCode>General</c:formatCode>
                <c:ptCount val="13"/>
                <c:pt idx="0">
                  <c:v>190</c:v>
                </c:pt>
                <c:pt idx="2">
                  <c:v>120</c:v>
                </c:pt>
                <c:pt idx="3">
                  <c:v>70</c:v>
                </c:pt>
                <c:pt idx="5">
                  <c:v>110</c:v>
                </c:pt>
                <c:pt idx="6">
                  <c:v>40</c:v>
                </c:pt>
                <c:pt idx="7">
                  <c:v>30</c:v>
                </c:pt>
                <c:pt idx="8">
                  <c:v>10</c:v>
                </c:pt>
                <c:pt idx="10">
                  <c:v>110</c:v>
                </c:pt>
                <c:pt idx="11">
                  <c:v>10</c:v>
                </c:pt>
                <c:pt idx="12">
                  <c:v>70</c:v>
                </c:pt>
              </c:numCache>
            </c:numRef>
          </c:val>
        </c:ser>
        <c:ser>
          <c:idx val="3"/>
          <c:order val="3"/>
          <c:tx>
            <c:strRef>
              <c:f>'1.1 Market Share'!$B$35</c:f>
              <c:strCache>
                <c:ptCount val="1"/>
                <c:pt idx="0">
                  <c:v>Supplier 4</c:v>
                </c:pt>
              </c:strCache>
            </c:strRef>
          </c:tx>
          <c:spPr>
            <a:solidFill>
              <a:srgbClr val="329444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Share'!$C$35:$O$35</c:f>
              <c:numCache>
                <c:formatCode>General</c:formatCode>
                <c:ptCount val="13"/>
                <c:pt idx="0">
                  <c:v>140</c:v>
                </c:pt>
                <c:pt idx="2">
                  <c:v>90</c:v>
                </c:pt>
                <c:pt idx="3">
                  <c:v>50</c:v>
                </c:pt>
                <c:pt idx="5">
                  <c:v>110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10">
                  <c:v>80</c:v>
                </c:pt>
                <c:pt idx="11">
                  <c:v>20</c:v>
                </c:pt>
                <c:pt idx="12">
                  <c:v>40</c:v>
                </c:pt>
              </c:numCache>
            </c:numRef>
          </c:val>
        </c:ser>
        <c:ser>
          <c:idx val="4"/>
          <c:order val="4"/>
          <c:tx>
            <c:strRef>
              <c:f>'1.1 Market Share'!$B$36</c:f>
              <c:strCache>
                <c:ptCount val="1"/>
                <c:pt idx="0">
                  <c:v>Retailer 1</c:v>
                </c:pt>
              </c:strCache>
            </c:strRef>
          </c:tx>
          <c:spPr>
            <a:solidFill>
              <a:srgbClr val="8B288B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Share'!$C$36:$O$36</c:f>
              <c:numCache>
                <c:formatCode>General</c:formatCode>
                <c:ptCount val="13"/>
                <c:pt idx="0">
                  <c:v>190</c:v>
                </c:pt>
                <c:pt idx="2">
                  <c:v>110</c:v>
                </c:pt>
                <c:pt idx="3">
                  <c:v>80</c:v>
                </c:pt>
                <c:pt idx="5">
                  <c:v>120</c:v>
                </c:pt>
                <c:pt idx="6">
                  <c:v>30</c:v>
                </c:pt>
                <c:pt idx="7">
                  <c:v>20</c:v>
                </c:pt>
                <c:pt idx="8">
                  <c:v>20</c:v>
                </c:pt>
                <c:pt idx="10">
                  <c:v>80</c:v>
                </c:pt>
                <c:pt idx="11">
                  <c:v>30</c:v>
                </c:pt>
                <c:pt idx="12">
                  <c:v>80</c:v>
                </c:pt>
              </c:numCache>
            </c:numRef>
          </c:val>
        </c:ser>
        <c:ser>
          <c:idx val="5"/>
          <c:order val="5"/>
          <c:tx>
            <c:strRef>
              <c:f>'1.1 Market Share'!$B$37</c:f>
              <c:strCache>
                <c:ptCount val="1"/>
                <c:pt idx="0">
                  <c:v>Retailer 2</c:v>
                </c:pt>
              </c:strCache>
            </c:strRef>
          </c:tx>
          <c:spPr>
            <a:solidFill>
              <a:srgbClr val="F05422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Share'!$C$37:$O$37</c:f>
              <c:numCache>
                <c:formatCode>General</c:formatCode>
                <c:ptCount val="13"/>
                <c:pt idx="0">
                  <c:v>90</c:v>
                </c:pt>
                <c:pt idx="2">
                  <c:v>50</c:v>
                </c:pt>
                <c:pt idx="3">
                  <c:v>40</c:v>
                </c:pt>
                <c:pt idx="5">
                  <c:v>40</c:v>
                </c:pt>
                <c:pt idx="6">
                  <c:v>20</c:v>
                </c:pt>
                <c:pt idx="7">
                  <c:v>10</c:v>
                </c:pt>
                <c:pt idx="8">
                  <c:v>20</c:v>
                </c:pt>
                <c:pt idx="10">
                  <c:v>50</c:v>
                </c:pt>
                <c:pt idx="11">
                  <c:v>20</c:v>
                </c:pt>
                <c:pt idx="12">
                  <c:v>20</c:v>
                </c:pt>
              </c:numCache>
            </c:numRef>
          </c:val>
        </c:ser>
        <c:gapWidth val="55"/>
        <c:overlap val="100"/>
        <c:axId val="98784384"/>
        <c:axId val="98785920"/>
      </c:barChart>
      <c:catAx>
        <c:axId val="98784384"/>
        <c:scaling>
          <c:orientation val="minMax"/>
        </c:scaling>
        <c:axPos val="b"/>
        <c:majorTickMark val="none"/>
        <c:tickLblPos val="nextTo"/>
        <c:crossAx val="98785920"/>
        <c:crosses val="autoZero"/>
        <c:auto val="1"/>
        <c:lblAlgn val="ctr"/>
        <c:lblOffset val="100"/>
      </c:catAx>
      <c:valAx>
        <c:axId val="9878592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8784384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r>
              <a:rPr lang="en-US" altLang="zh-CN" sz="1800" b="1" i="0" baseline="0"/>
              <a:t>HealthBeauties - Value Sales </a:t>
            </a:r>
            <a:endParaRPr lang="zh-CN" altLang="zh-CN" sz="1800"/>
          </a:p>
          <a:p>
            <a:pPr algn="l">
              <a:defRPr sz="2400">
                <a:latin typeface="Arial" pitchFamily="34" charset="0"/>
                <a:cs typeface="Arial" pitchFamily="34" charset="0"/>
              </a:defRPr>
            </a:pPr>
            <a:endParaRPr lang="en-US" altLang="zh-CN" sz="2400" b="1" i="0" baseline="0"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9802308052571497"/>
          <c:y val="2.3259064868122278E-2"/>
        </c:manualLayout>
      </c:layout>
    </c:title>
    <c:plotArea>
      <c:layout>
        <c:manualLayout>
          <c:layoutTarget val="inner"/>
          <c:xMode val="edge"/>
          <c:yMode val="edge"/>
          <c:x val="6.9803816895769394E-2"/>
          <c:y val="0.13292345934107871"/>
          <c:w val="0.82760094109298854"/>
          <c:h val="0.67057390103464787"/>
        </c:manualLayout>
      </c:layout>
      <c:barChart>
        <c:barDir val="col"/>
        <c:grouping val="stacked"/>
        <c:ser>
          <c:idx val="0"/>
          <c:order val="0"/>
          <c:tx>
            <c:strRef>
              <c:f>'1.1 Market Share'!$B$32</c:f>
              <c:strCache>
                <c:ptCount val="1"/>
                <c:pt idx="0">
                  <c:v>Supplier 1</c:v>
                </c:pt>
              </c:strCache>
            </c:strRef>
          </c:tx>
          <c:spPr>
            <a:solidFill>
              <a:srgbClr val="3257A7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Share'!$C$32:$O$32</c:f>
              <c:numCache>
                <c:formatCode>General</c:formatCode>
                <c:ptCount val="13"/>
                <c:pt idx="0">
                  <c:v>240</c:v>
                </c:pt>
                <c:pt idx="2">
                  <c:v>150</c:v>
                </c:pt>
                <c:pt idx="3">
                  <c:v>90</c:v>
                </c:pt>
                <c:pt idx="5">
                  <c:v>100</c:v>
                </c:pt>
                <c:pt idx="6">
                  <c:v>70</c:v>
                </c:pt>
                <c:pt idx="7">
                  <c:v>30</c:v>
                </c:pt>
                <c:pt idx="8">
                  <c:v>40</c:v>
                </c:pt>
                <c:pt idx="10">
                  <c:v>120</c:v>
                </c:pt>
                <c:pt idx="11">
                  <c:v>30</c:v>
                </c:pt>
                <c:pt idx="12">
                  <c:v>90</c:v>
                </c:pt>
              </c:numCache>
            </c:numRef>
          </c:val>
        </c:ser>
        <c:ser>
          <c:idx val="1"/>
          <c:order val="1"/>
          <c:tx>
            <c:strRef>
              <c:f>'1.1 Market Share'!$B$33</c:f>
              <c:strCache>
                <c:ptCount val="1"/>
                <c:pt idx="0">
                  <c:v>Supplier 2</c:v>
                </c:pt>
              </c:strCache>
            </c:strRef>
          </c:tx>
          <c:spPr>
            <a:solidFill>
              <a:srgbClr val="B11E22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Share'!$C$33:$O$33</c:f>
              <c:numCache>
                <c:formatCode>General</c:formatCode>
                <c:ptCount val="13"/>
                <c:pt idx="0">
                  <c:v>150</c:v>
                </c:pt>
                <c:pt idx="2">
                  <c:v>100</c:v>
                </c:pt>
                <c:pt idx="3">
                  <c:v>50</c:v>
                </c:pt>
                <c:pt idx="5">
                  <c:v>60</c:v>
                </c:pt>
                <c:pt idx="6">
                  <c:v>30</c:v>
                </c:pt>
                <c:pt idx="7">
                  <c:v>40</c:v>
                </c:pt>
                <c:pt idx="8">
                  <c:v>20</c:v>
                </c:pt>
                <c:pt idx="10">
                  <c:v>80</c:v>
                </c:pt>
                <c:pt idx="11">
                  <c:v>20</c:v>
                </c:pt>
                <c:pt idx="12">
                  <c:v>50</c:v>
                </c:pt>
              </c:numCache>
            </c:numRef>
          </c:val>
        </c:ser>
        <c:ser>
          <c:idx val="2"/>
          <c:order val="2"/>
          <c:tx>
            <c:strRef>
              <c:f>'1.1 Market Share'!$B$34</c:f>
              <c:strCache>
                <c:ptCount val="1"/>
                <c:pt idx="0">
                  <c:v>Supplier 3</c:v>
                </c:pt>
              </c:strCache>
            </c:strRef>
          </c:tx>
          <c:spPr>
            <a:solidFill>
              <a:srgbClr val="F6B920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Share'!$C$34:$O$34</c:f>
              <c:numCache>
                <c:formatCode>General</c:formatCode>
                <c:ptCount val="13"/>
                <c:pt idx="0">
                  <c:v>190</c:v>
                </c:pt>
                <c:pt idx="2">
                  <c:v>120</c:v>
                </c:pt>
                <c:pt idx="3">
                  <c:v>70</c:v>
                </c:pt>
                <c:pt idx="5">
                  <c:v>110</c:v>
                </c:pt>
                <c:pt idx="6">
                  <c:v>40</c:v>
                </c:pt>
                <c:pt idx="7">
                  <c:v>30</c:v>
                </c:pt>
                <c:pt idx="8">
                  <c:v>10</c:v>
                </c:pt>
                <c:pt idx="10">
                  <c:v>110</c:v>
                </c:pt>
                <c:pt idx="11">
                  <c:v>10</c:v>
                </c:pt>
                <c:pt idx="12">
                  <c:v>70</c:v>
                </c:pt>
              </c:numCache>
            </c:numRef>
          </c:val>
        </c:ser>
        <c:ser>
          <c:idx val="3"/>
          <c:order val="3"/>
          <c:tx>
            <c:strRef>
              <c:f>'1.1 Market Share'!$B$35</c:f>
              <c:strCache>
                <c:ptCount val="1"/>
                <c:pt idx="0">
                  <c:v>Supplier 4</c:v>
                </c:pt>
              </c:strCache>
            </c:strRef>
          </c:tx>
          <c:spPr>
            <a:solidFill>
              <a:srgbClr val="329444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Share'!$C$35:$O$35</c:f>
              <c:numCache>
                <c:formatCode>General</c:formatCode>
                <c:ptCount val="13"/>
                <c:pt idx="0">
                  <c:v>140</c:v>
                </c:pt>
                <c:pt idx="2">
                  <c:v>90</c:v>
                </c:pt>
                <c:pt idx="3">
                  <c:v>50</c:v>
                </c:pt>
                <c:pt idx="5">
                  <c:v>110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10">
                  <c:v>80</c:v>
                </c:pt>
                <c:pt idx="11">
                  <c:v>20</c:v>
                </c:pt>
                <c:pt idx="12">
                  <c:v>40</c:v>
                </c:pt>
              </c:numCache>
            </c:numRef>
          </c:val>
        </c:ser>
        <c:ser>
          <c:idx val="4"/>
          <c:order val="4"/>
          <c:tx>
            <c:strRef>
              <c:f>'1.1 Market Share'!$B$36</c:f>
              <c:strCache>
                <c:ptCount val="1"/>
                <c:pt idx="0">
                  <c:v>Retailer 1</c:v>
                </c:pt>
              </c:strCache>
            </c:strRef>
          </c:tx>
          <c:spPr>
            <a:solidFill>
              <a:srgbClr val="8B288B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Share'!$C$36:$O$36</c:f>
              <c:numCache>
                <c:formatCode>General</c:formatCode>
                <c:ptCount val="13"/>
                <c:pt idx="0">
                  <c:v>190</c:v>
                </c:pt>
                <c:pt idx="2">
                  <c:v>110</c:v>
                </c:pt>
                <c:pt idx="3">
                  <c:v>80</c:v>
                </c:pt>
                <c:pt idx="5">
                  <c:v>120</c:v>
                </c:pt>
                <c:pt idx="6">
                  <c:v>30</c:v>
                </c:pt>
                <c:pt idx="7">
                  <c:v>20</c:v>
                </c:pt>
                <c:pt idx="8">
                  <c:v>20</c:v>
                </c:pt>
                <c:pt idx="10">
                  <c:v>80</c:v>
                </c:pt>
                <c:pt idx="11">
                  <c:v>30</c:v>
                </c:pt>
                <c:pt idx="12">
                  <c:v>80</c:v>
                </c:pt>
              </c:numCache>
            </c:numRef>
          </c:val>
        </c:ser>
        <c:ser>
          <c:idx val="5"/>
          <c:order val="5"/>
          <c:tx>
            <c:strRef>
              <c:f>'1.1 Market Share'!$B$37</c:f>
              <c:strCache>
                <c:ptCount val="1"/>
                <c:pt idx="0">
                  <c:v>Retailer 2</c:v>
                </c:pt>
              </c:strCache>
            </c:strRef>
          </c:tx>
          <c:spPr>
            <a:solidFill>
              <a:srgbClr val="F05422"/>
            </a:solidFill>
          </c:spPr>
          <c:cat>
            <c:strRef>
              <c:f>'1.1 Market Share'!$C$31:$O$31</c:f>
              <c:strCache>
                <c:ptCount val="13"/>
                <c:pt idx="0">
                  <c:v>Total</c:v>
                </c:pt>
                <c:pt idx="2">
                  <c:v>Rural</c:v>
                </c:pt>
                <c:pt idx="3">
                  <c:v>Urban</c:v>
                </c:pt>
                <c:pt idx="5">
                  <c:v>Price Sensitive</c:v>
                </c:pt>
                <c:pt idx="6">
                  <c:v>Value for Money</c:v>
                </c:pt>
                <c:pt idx="7">
                  <c:v>Health Conscious</c:v>
                </c:pt>
                <c:pt idx="8">
                  <c:v>Impatient</c:v>
                </c:pt>
                <c:pt idx="10">
                  <c:v>B&amp;M Only</c:v>
                </c:pt>
                <c:pt idx="11">
                  <c:v>Online Only</c:v>
                </c:pt>
                <c:pt idx="12">
                  <c:v>Mixed</c:v>
                </c:pt>
              </c:strCache>
            </c:strRef>
          </c:cat>
          <c:val>
            <c:numRef>
              <c:f>'1.1 Market Share'!$C$37:$O$37</c:f>
              <c:numCache>
                <c:formatCode>General</c:formatCode>
                <c:ptCount val="13"/>
                <c:pt idx="0">
                  <c:v>90</c:v>
                </c:pt>
                <c:pt idx="2">
                  <c:v>50</c:v>
                </c:pt>
                <c:pt idx="3">
                  <c:v>40</c:v>
                </c:pt>
                <c:pt idx="5">
                  <c:v>40</c:v>
                </c:pt>
                <c:pt idx="6">
                  <c:v>20</c:v>
                </c:pt>
                <c:pt idx="7">
                  <c:v>10</c:v>
                </c:pt>
                <c:pt idx="8">
                  <c:v>20</c:v>
                </c:pt>
                <c:pt idx="10">
                  <c:v>50</c:v>
                </c:pt>
                <c:pt idx="11">
                  <c:v>20</c:v>
                </c:pt>
                <c:pt idx="12">
                  <c:v>20</c:v>
                </c:pt>
              </c:numCache>
            </c:numRef>
          </c:val>
        </c:ser>
        <c:gapWidth val="55"/>
        <c:overlap val="100"/>
        <c:axId val="98797440"/>
        <c:axId val="98668544"/>
      </c:barChart>
      <c:catAx>
        <c:axId val="98797440"/>
        <c:scaling>
          <c:orientation val="minMax"/>
        </c:scaling>
        <c:axPos val="b"/>
        <c:majorTickMark val="none"/>
        <c:tickLblPos val="nextTo"/>
        <c:crossAx val="98668544"/>
        <c:crosses val="autoZero"/>
        <c:auto val="1"/>
        <c:lblAlgn val="ctr"/>
        <c:lblOffset val="100"/>
      </c:catAx>
      <c:valAx>
        <c:axId val="9866854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8797440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0.21664</cdr:x>
      <cdr:y>0.90646</cdr:y>
    </cdr:from>
    <cdr:to>
      <cdr:x>0.32043</cdr:x>
      <cdr:y>0.96051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78355" y="5273101"/>
          <a:ext cx="947804" cy="314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Market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0.41897</cdr:x>
      <cdr:y>0.90453</cdr:y>
    </cdr:from>
    <cdr:to>
      <cdr:x>0.61079</cdr:x>
      <cdr:y>0.96482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3826019" y="5261873"/>
          <a:ext cx="1751688" cy="3507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Consumer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0.71373</cdr:x>
      <cdr:y>0.90222</cdr:y>
    </cdr:from>
    <cdr:to>
      <cdr:x>0.89004</cdr:x>
      <cdr:y>0.95419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517767" y="5248435"/>
          <a:ext cx="1610052" cy="3023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Shopper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0.07936</cdr:x>
      <cdr:y>0.9079</cdr:y>
    </cdr:from>
    <cdr:to>
      <cdr:x>0.13981</cdr:x>
      <cdr:y>0.96684</cdr:y>
    </cdr:to>
    <cdr:sp macro="" textlink="">
      <cdr:nvSpPr>
        <cdr:cNvPr id="7" name="TextBox 12"/>
        <cdr:cNvSpPr txBox="1"/>
      </cdr:nvSpPr>
      <cdr:spPr>
        <a:xfrm xmlns:a="http://schemas.openxmlformats.org/drawingml/2006/main">
          <a:off x="724719" y="5281447"/>
          <a:ext cx="552028" cy="342900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solidFill>
            <a:sysClr val="window" lastClr="FFFFFF"/>
          </a:solidFill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en-US" altLang="zh-CN" sz="1100" b="1"/>
            <a:t>Total</a:t>
          </a:r>
          <a:endParaRPr lang="zh-CN" altLang="en-US" sz="11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0.21664</cdr:x>
      <cdr:y>0.90646</cdr:y>
    </cdr:from>
    <cdr:to>
      <cdr:x>0.32043</cdr:x>
      <cdr:y>0.96051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78355" y="5273101"/>
          <a:ext cx="947804" cy="314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Market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0.41897</cdr:x>
      <cdr:y>0.90453</cdr:y>
    </cdr:from>
    <cdr:to>
      <cdr:x>0.61079</cdr:x>
      <cdr:y>0.96482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3826019" y="5261873"/>
          <a:ext cx="1751688" cy="3507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Consumer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0.71373</cdr:x>
      <cdr:y>0.90222</cdr:y>
    </cdr:from>
    <cdr:to>
      <cdr:x>0.89004</cdr:x>
      <cdr:y>0.95419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517767" y="5248435"/>
          <a:ext cx="1610052" cy="3023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Shopper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0.07936</cdr:x>
      <cdr:y>0.9079</cdr:y>
    </cdr:from>
    <cdr:to>
      <cdr:x>0.13981</cdr:x>
      <cdr:y>0.96684</cdr:y>
    </cdr:to>
    <cdr:sp macro="" textlink="">
      <cdr:nvSpPr>
        <cdr:cNvPr id="7" name="TextBox 12"/>
        <cdr:cNvSpPr txBox="1"/>
      </cdr:nvSpPr>
      <cdr:spPr>
        <a:xfrm xmlns:a="http://schemas.openxmlformats.org/drawingml/2006/main">
          <a:off x="724719" y="5281447"/>
          <a:ext cx="552028" cy="342900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solidFill>
            <a:sysClr val="window" lastClr="FFFFFF"/>
          </a:solidFill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en-US" altLang="zh-CN" sz="1100" b="1"/>
            <a:t>Total</a:t>
          </a:r>
          <a:endParaRPr lang="zh-CN" altLang="en-US" sz="1100" b="1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0.21664</cdr:x>
      <cdr:y>0.90646</cdr:y>
    </cdr:from>
    <cdr:to>
      <cdr:x>0.32043</cdr:x>
      <cdr:y>0.96051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78355" y="5273101"/>
          <a:ext cx="947804" cy="314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Market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0.41897</cdr:x>
      <cdr:y>0.90453</cdr:y>
    </cdr:from>
    <cdr:to>
      <cdr:x>0.61079</cdr:x>
      <cdr:y>0.96482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3826019" y="5261873"/>
          <a:ext cx="1751688" cy="3507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Consumer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0.71373</cdr:x>
      <cdr:y>0.90222</cdr:y>
    </cdr:from>
    <cdr:to>
      <cdr:x>0.89004</cdr:x>
      <cdr:y>0.95419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517767" y="5248435"/>
          <a:ext cx="1610052" cy="3023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Shopper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0.07936</cdr:x>
      <cdr:y>0.9079</cdr:y>
    </cdr:from>
    <cdr:to>
      <cdr:x>0.13981</cdr:x>
      <cdr:y>0.96684</cdr:y>
    </cdr:to>
    <cdr:sp macro="" textlink="">
      <cdr:nvSpPr>
        <cdr:cNvPr id="7" name="TextBox 12"/>
        <cdr:cNvSpPr txBox="1"/>
      </cdr:nvSpPr>
      <cdr:spPr>
        <a:xfrm xmlns:a="http://schemas.openxmlformats.org/drawingml/2006/main">
          <a:off x="724719" y="5281447"/>
          <a:ext cx="552028" cy="342900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solidFill>
            <a:sysClr val="window" lastClr="FFFFFF"/>
          </a:solidFill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en-US" altLang="zh-CN" sz="1100" b="1"/>
            <a:t>Total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0.01046</cdr:x>
      <cdr:y>0.04923</cdr:y>
    </cdr:from>
    <cdr:to>
      <cdr:x>0.11269</cdr:x>
      <cdr:y>0.12084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85725" y="209550"/>
          <a:ext cx="838200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>
              <a:latin typeface="Arial" pitchFamily="34" charset="0"/>
              <a:cs typeface="Arial" pitchFamily="34" charset="0"/>
            </a:rPr>
            <a:t>(units</a:t>
          </a:r>
          <a:r>
            <a:rPr lang="en-US" altLang="zh-CN" sz="1100" baseline="0">
              <a:latin typeface="Arial" pitchFamily="34" charset="0"/>
              <a:cs typeface="Arial" pitchFamily="34" charset="0"/>
            </a:rPr>
            <a:t> mln)</a:t>
          </a:r>
          <a:endParaRPr lang="zh-CN" altLang="en-US" sz="1100">
            <a:latin typeface="Arial" pitchFamily="34" charset="0"/>
            <a:cs typeface="Arial" pitchFamily="34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0.21664</cdr:x>
      <cdr:y>0.90646</cdr:y>
    </cdr:from>
    <cdr:to>
      <cdr:x>0.32043</cdr:x>
      <cdr:y>0.96051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78355" y="5273101"/>
          <a:ext cx="947804" cy="3144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Market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0.41897</cdr:x>
      <cdr:y>0.90453</cdr:y>
    </cdr:from>
    <cdr:to>
      <cdr:x>0.61079</cdr:x>
      <cdr:y>0.96482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3826019" y="5261873"/>
          <a:ext cx="1751688" cy="3507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Consumer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0.71373</cdr:x>
      <cdr:y>0.90222</cdr:y>
    </cdr:from>
    <cdr:to>
      <cdr:x>0.89004</cdr:x>
      <cdr:y>0.95419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6517767" y="5248435"/>
          <a:ext cx="1610052" cy="3023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by Shopper Segment 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0.07936</cdr:x>
      <cdr:y>0.9079</cdr:y>
    </cdr:from>
    <cdr:to>
      <cdr:x>0.13981</cdr:x>
      <cdr:y>0.96684</cdr:y>
    </cdr:to>
    <cdr:sp macro="" textlink="">
      <cdr:nvSpPr>
        <cdr:cNvPr id="7" name="TextBox 12"/>
        <cdr:cNvSpPr txBox="1"/>
      </cdr:nvSpPr>
      <cdr:spPr>
        <a:xfrm xmlns:a="http://schemas.openxmlformats.org/drawingml/2006/main">
          <a:off x="724719" y="5281447"/>
          <a:ext cx="552028" cy="342900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solidFill>
            <a:sysClr val="window" lastClr="FFFFFF"/>
          </a:solidFill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en-US" altLang="zh-CN" sz="1100" b="1"/>
            <a:t>Total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0.00929</cdr:x>
      <cdr:y>0.04476</cdr:y>
    </cdr:from>
    <cdr:to>
      <cdr:x>0.08829</cdr:x>
      <cdr:y>0.10741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76200" y="190501"/>
          <a:ext cx="64770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>
              <a:latin typeface="Arial" pitchFamily="34" charset="0"/>
              <a:cs typeface="Arial" pitchFamily="34" charset="0"/>
            </a:rPr>
            <a:t>($mln)</a:t>
          </a:r>
          <a:endParaRPr lang="zh-CN" altLang="en-US" sz="1100">
            <a:latin typeface="Arial" pitchFamily="34" charset="0"/>
            <a:cs typeface="Arial" pitchFamily="3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leahche</cp:lastModifiedBy>
  <cp:revision>12</cp:revision>
  <cp:lastPrinted>2014-02-12T03:59:00Z</cp:lastPrinted>
  <dcterms:created xsi:type="dcterms:W3CDTF">2014-02-17T07:26:00Z</dcterms:created>
  <dcterms:modified xsi:type="dcterms:W3CDTF">2014-03-07T03:35:00Z</dcterms:modified>
</cp:coreProperties>
</file>