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rawings/drawing3.xml" ContentType="application/vnd.openxmlformats-officedocument.drawingml.chartshapes+xml"/>
  <Override PartName="/word/drawings/drawing4.xml" ContentType="application/vnd.openxmlformats-officedocument.drawingml.chartshap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045" w:rsidRDefault="00FF143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27.75pt;margin-top:-2.7pt;width:495.75pt;height:43.95pt;z-index:251672576" strokecolor="#4bacc6">
            <v:textbox style="mso-fit-shape-to-text:t">
              <w:txbxContent>
                <w:p w:rsidR="00203A84" w:rsidRPr="001F1266" w:rsidRDefault="001F1266" w:rsidP="001F1266">
                  <w:r w:rsidRPr="00BB2C5E">
                    <w:rPr>
                      <w:rFonts w:ascii="Arial" w:hAnsi="Arial" w:cs="Arial"/>
                      <w:szCs w:val="21"/>
                    </w:rPr>
                    <w:t>These graphs show, by category and by market, the sales volume bought by each shopper segment.</w:t>
                  </w:r>
                </w:p>
              </w:txbxContent>
            </v:textbox>
            <w10:wrap type="square"/>
          </v:shape>
        </w:pict>
      </w:r>
    </w:p>
    <w:p w:rsidR="00317045" w:rsidRDefault="00317045"/>
    <w:p w:rsidR="00203A84" w:rsidRDefault="00203A84"/>
    <w:p w:rsidR="003968DA" w:rsidRDefault="00FF143F">
      <w:r>
        <w:rPr>
          <w:noProof/>
        </w:rPr>
        <w:pict>
          <v:shape id="_x0000_s2066" type="#_x0000_t202" style="position:absolute;left:0;text-align:left;margin-left:549.75pt;margin-top:7.5pt;width:211.5pt;height:449.25pt;z-index:251698176" strokecolor="white [3212]">
            <v:textbox style="mso-next-textbox:#_x0000_s2066">
              <w:txbxContent>
                <w:p w:rsidR="0070363C" w:rsidRDefault="0070363C" w:rsidP="0070363C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791E51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70363C" w:rsidRDefault="0070363C" w:rsidP="0070363C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70363C" w:rsidRDefault="0070363C" w:rsidP="0070363C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70363C" w:rsidRDefault="0070363C" w:rsidP="0070363C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70363C" w:rsidRDefault="0070363C" w:rsidP="0070363C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b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70363C" w:rsidRDefault="0070363C" w:rsidP="0070363C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70363C" w:rsidRDefault="0070363C" w:rsidP="0070363C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2A1B0E" w:rsidRDefault="002A1B0E" w:rsidP="002A1B0E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3A1A9A" w:rsidRDefault="003A1A9A" w:rsidP="003A1A9A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3A1A9A" w:rsidRDefault="003A1A9A" w:rsidP="003A1A9A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2A1B0E" w:rsidRDefault="002A1B0E" w:rsidP="002A1B0E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2A1B0E" w:rsidRDefault="002A1B0E" w:rsidP="002A1B0E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2A1B0E" w:rsidRPr="00E2365A" w:rsidRDefault="002A1B0E" w:rsidP="002A1B0E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2365A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Pr="00E2365A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A1B0E" w:rsidRPr="00633812" w:rsidRDefault="002A1B0E" w:rsidP="002A1B0E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Perceptions</w:t>
                  </w:r>
                </w:p>
                <w:p w:rsidR="002A1B0E" w:rsidRPr="003F242F" w:rsidRDefault="002A1B0E" w:rsidP="002A1B0E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2A1B0E" w:rsidRDefault="002A1B0E" w:rsidP="002A1B0E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2A1B0E" w:rsidRDefault="002A1B0E" w:rsidP="002A1B0E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2A1B0E" w:rsidRDefault="002A1B0E" w:rsidP="002A1B0E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2A1B0E" w:rsidRDefault="002A1B0E" w:rsidP="002A1B0E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2A1B0E" w:rsidRDefault="002A1B0E" w:rsidP="002A1B0E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2A1B0E" w:rsidRDefault="002A1B0E" w:rsidP="002A1B0E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2A1B0E" w:rsidRDefault="002A1B0E" w:rsidP="002A1B0E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2A1B0E" w:rsidRDefault="002A1B0E" w:rsidP="002A1B0E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70363C" w:rsidRDefault="0070363C" w:rsidP="002A1B0E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>
        <w:rPr>
          <w:noProof/>
        </w:rPr>
        <w:pict>
          <v:shape id="_x0000_s2050" type="#_x0000_t202" style="position:absolute;left:0;text-align:left;margin-left:27.75pt;margin-top:3.75pt;width:495.75pt;height:27.75pt;z-index:251662336" fillcolor="#428bca">
            <v:textbox style="mso-next-textbox:#_x0000_s2050">
              <w:txbxContent>
                <w:p w:rsidR="00BD6C2D" w:rsidRPr="001D1145" w:rsidRDefault="001D1145" w:rsidP="001D1145">
                  <w:pPr>
                    <w:adjustRightInd w:val="0"/>
                    <w:snapToGrid w:val="0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8"/>
                    </w:rPr>
                    <w:t xml:space="preserve">Cross-Segment </w:t>
                  </w:r>
                  <w:r>
                    <w:rPr>
                      <w:rFonts w:ascii="Arial" w:hAnsi="Arial" w:cs="Arial" w:hint="eastAsia"/>
                      <w:b/>
                      <w:color w:val="FFFFFF" w:themeColor="background1"/>
                      <w:sz w:val="28"/>
                      <w:szCs w:val="28"/>
                    </w:rPr>
                    <w:t>Sales Volumes</w:t>
                  </w:r>
                </w:p>
              </w:txbxContent>
            </v:textbox>
          </v:shape>
        </w:pict>
      </w:r>
    </w:p>
    <w:p w:rsidR="0048413C" w:rsidRDefault="0031704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152400</wp:posOffset>
            </wp:positionV>
            <wp:extent cx="6296025" cy="3686175"/>
            <wp:effectExtent l="19050" t="0" r="9525" b="0"/>
            <wp:wrapThrough wrapText="bothSides">
              <wp:wrapPolygon edited="0">
                <wp:start x="-65" y="0"/>
                <wp:lineTo x="-65" y="21544"/>
                <wp:lineTo x="21633" y="21544"/>
                <wp:lineTo x="21633" y="0"/>
                <wp:lineTo x="-65" y="0"/>
              </wp:wrapPolygon>
            </wp:wrapThrough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48413C" w:rsidRDefault="0048413C"/>
    <w:p w:rsidR="00317045" w:rsidRDefault="00317045" w:rsidP="004308EC"/>
    <w:p w:rsidR="00317045" w:rsidRDefault="00FF143F" w:rsidP="004308E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543pt;margin-top:14.25pt;width:0;height:19.5pt;z-index:251699200" o:connectortype="straight" strokecolor="#002060" strokeweight="1.5pt"/>
        </w:pict>
      </w:r>
    </w:p>
    <w:p w:rsidR="00317045" w:rsidRDefault="0070363C" w:rsidP="004308EC">
      <w:r>
        <w:rPr>
          <w:rFonts w:hint="eastAsia"/>
          <w:noProof/>
        </w:rPr>
        <w:drawing>
          <wp:inline distT="0" distB="0" distL="0" distR="0">
            <wp:extent cx="2762250" cy="451485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045" w:rsidRDefault="00317045" w:rsidP="004308EC"/>
    <w:p w:rsidR="00317045" w:rsidRDefault="00317045" w:rsidP="004308EC"/>
    <w:p w:rsidR="00317045" w:rsidRDefault="00317045" w:rsidP="004308EC"/>
    <w:p w:rsidR="00317045" w:rsidRDefault="00317045" w:rsidP="004308EC"/>
    <w:p w:rsidR="00A546D6" w:rsidRDefault="00A546D6" w:rsidP="004308EC"/>
    <w:p w:rsidR="00A546D6" w:rsidRDefault="00A546D6" w:rsidP="004308EC"/>
    <w:p w:rsidR="00A546D6" w:rsidRDefault="00A546D6" w:rsidP="004308EC"/>
    <w:p w:rsidR="00A546D6" w:rsidRDefault="00A546D6" w:rsidP="004308EC"/>
    <w:p w:rsidR="00A546D6" w:rsidRDefault="00A546D6" w:rsidP="004308EC"/>
    <w:p w:rsidR="00A546D6" w:rsidRDefault="00A546D6" w:rsidP="004308EC"/>
    <w:p w:rsidR="00A546D6" w:rsidRDefault="00A546D6" w:rsidP="004308EC"/>
    <w:p w:rsidR="00A546D6" w:rsidRDefault="00620401" w:rsidP="004308EC">
      <w:r>
        <w:rPr>
          <w:rFonts w:hint="eastAsia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180975</wp:posOffset>
            </wp:positionV>
            <wp:extent cx="6296025" cy="3686175"/>
            <wp:effectExtent l="19050" t="0" r="9525" b="0"/>
            <wp:wrapThrough wrapText="bothSides">
              <wp:wrapPolygon edited="0">
                <wp:start x="-65" y="0"/>
                <wp:lineTo x="-65" y="21544"/>
                <wp:lineTo x="21633" y="21544"/>
                <wp:lineTo x="21633" y="0"/>
                <wp:lineTo x="-65" y="0"/>
              </wp:wrapPolygon>
            </wp:wrapThrough>
            <wp:docPr id="20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A546D6" w:rsidRDefault="00A546D6" w:rsidP="004308EC"/>
    <w:p w:rsidR="00A546D6" w:rsidRDefault="00A546D6" w:rsidP="004308EC"/>
    <w:p w:rsidR="00A546D6" w:rsidRDefault="0070363C" w:rsidP="004308EC">
      <w:r>
        <w:rPr>
          <w:rFonts w:hint="eastAsia"/>
          <w:noProof/>
        </w:rPr>
        <w:drawing>
          <wp:inline distT="0" distB="0" distL="0" distR="0">
            <wp:extent cx="2752725" cy="4533900"/>
            <wp:effectExtent l="19050" t="0" r="952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6D6" w:rsidRDefault="00A546D6" w:rsidP="004308EC"/>
    <w:p w:rsidR="00A546D6" w:rsidRDefault="00A546D6" w:rsidP="004308EC"/>
    <w:p w:rsidR="00A546D6" w:rsidRDefault="00A546D6" w:rsidP="004308EC"/>
    <w:p w:rsidR="00A546D6" w:rsidRDefault="00A546D6" w:rsidP="004308EC"/>
    <w:p w:rsidR="00A546D6" w:rsidRDefault="00A546D6" w:rsidP="004308EC"/>
    <w:p w:rsidR="008F5233" w:rsidRDefault="008F5233" w:rsidP="004308EC"/>
    <w:p w:rsidR="008F5233" w:rsidRDefault="008F5233" w:rsidP="004308EC"/>
    <w:p w:rsidR="008F5233" w:rsidRDefault="008F5233" w:rsidP="004308EC"/>
    <w:p w:rsidR="008F5233" w:rsidRDefault="008F5233" w:rsidP="004308EC"/>
    <w:p w:rsidR="008F5233" w:rsidRDefault="008F5233" w:rsidP="004308EC"/>
    <w:p w:rsidR="008F5233" w:rsidRDefault="008F5233" w:rsidP="004308EC"/>
    <w:p w:rsidR="008F5233" w:rsidRDefault="008F5233" w:rsidP="004308EC"/>
    <w:p w:rsidR="008F5233" w:rsidRDefault="008C0A08" w:rsidP="004308EC">
      <w:r>
        <w:rPr>
          <w:rFonts w:hint="eastAsia"/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28575</wp:posOffset>
            </wp:positionV>
            <wp:extent cx="6296025" cy="3686175"/>
            <wp:effectExtent l="19050" t="0" r="9525" b="0"/>
            <wp:wrapThrough wrapText="bothSides">
              <wp:wrapPolygon edited="0">
                <wp:start x="-65" y="0"/>
                <wp:lineTo x="-65" y="21544"/>
                <wp:lineTo x="21633" y="21544"/>
                <wp:lineTo x="21633" y="0"/>
                <wp:lineTo x="-65" y="0"/>
              </wp:wrapPolygon>
            </wp:wrapThrough>
            <wp:docPr id="2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8F5233" w:rsidRDefault="008F5233" w:rsidP="004308EC"/>
    <w:p w:rsidR="008F5233" w:rsidRDefault="008F5233" w:rsidP="004308EC"/>
    <w:p w:rsidR="002B3310" w:rsidRDefault="002B3310" w:rsidP="004308EC">
      <w:pPr>
        <w:rPr>
          <w:noProof/>
        </w:rPr>
      </w:pPr>
    </w:p>
    <w:p w:rsidR="008B6CA0" w:rsidRDefault="008B6CA0" w:rsidP="004308EC">
      <w:pPr>
        <w:rPr>
          <w:noProof/>
        </w:rPr>
      </w:pPr>
    </w:p>
    <w:p w:rsidR="008B6CA0" w:rsidRDefault="008B6CA0" w:rsidP="004308EC">
      <w:pPr>
        <w:rPr>
          <w:noProof/>
        </w:rPr>
      </w:pPr>
    </w:p>
    <w:p w:rsidR="008B6CA0" w:rsidRDefault="008B6CA0" w:rsidP="004308EC">
      <w:pPr>
        <w:rPr>
          <w:noProof/>
        </w:rPr>
      </w:pPr>
    </w:p>
    <w:p w:rsidR="008B6CA0" w:rsidRDefault="008B6CA0" w:rsidP="004308EC">
      <w:pPr>
        <w:rPr>
          <w:noProof/>
        </w:rPr>
      </w:pPr>
    </w:p>
    <w:p w:rsidR="008B6CA0" w:rsidRDefault="008B6CA0" w:rsidP="004308EC">
      <w:pPr>
        <w:rPr>
          <w:noProof/>
        </w:rPr>
      </w:pPr>
    </w:p>
    <w:p w:rsidR="008B6CA0" w:rsidRDefault="008B6CA0" w:rsidP="004308EC">
      <w:pPr>
        <w:rPr>
          <w:noProof/>
        </w:rPr>
      </w:pPr>
    </w:p>
    <w:p w:rsidR="008B6CA0" w:rsidRDefault="008B6CA0" w:rsidP="004308EC">
      <w:pPr>
        <w:rPr>
          <w:noProof/>
        </w:rPr>
      </w:pPr>
    </w:p>
    <w:p w:rsidR="008B6CA0" w:rsidRDefault="008B6CA0" w:rsidP="004308EC">
      <w:pPr>
        <w:rPr>
          <w:noProof/>
        </w:rPr>
      </w:pPr>
    </w:p>
    <w:p w:rsidR="008B6CA0" w:rsidRDefault="008B6CA0" w:rsidP="004308EC">
      <w:pPr>
        <w:rPr>
          <w:noProof/>
        </w:rPr>
      </w:pPr>
    </w:p>
    <w:p w:rsidR="008B6CA0" w:rsidRDefault="008B6CA0" w:rsidP="004308EC">
      <w:pPr>
        <w:rPr>
          <w:noProof/>
        </w:rPr>
      </w:pPr>
    </w:p>
    <w:p w:rsidR="008B6CA0" w:rsidRDefault="008B6CA0" w:rsidP="004308EC">
      <w:pPr>
        <w:rPr>
          <w:noProof/>
        </w:rPr>
      </w:pPr>
    </w:p>
    <w:p w:rsidR="008B6CA0" w:rsidRDefault="008B6CA0" w:rsidP="004308EC">
      <w:pPr>
        <w:rPr>
          <w:noProof/>
        </w:rPr>
      </w:pPr>
    </w:p>
    <w:p w:rsidR="008B6CA0" w:rsidRDefault="008B6CA0" w:rsidP="004308EC">
      <w:pPr>
        <w:rPr>
          <w:noProof/>
        </w:rPr>
      </w:pPr>
    </w:p>
    <w:p w:rsidR="008B6CA0" w:rsidRDefault="008C0A08" w:rsidP="004308EC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9525</wp:posOffset>
            </wp:positionV>
            <wp:extent cx="6305550" cy="3686175"/>
            <wp:effectExtent l="19050" t="0" r="19050" b="0"/>
            <wp:wrapThrough wrapText="bothSides">
              <wp:wrapPolygon edited="0">
                <wp:start x="-65" y="0"/>
                <wp:lineTo x="-65" y="21544"/>
                <wp:lineTo x="21665" y="21544"/>
                <wp:lineTo x="21665" y="0"/>
                <wp:lineTo x="-65" y="0"/>
              </wp:wrapPolygon>
            </wp:wrapThrough>
            <wp:docPr id="2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8B6CA0" w:rsidRDefault="008B6CA0" w:rsidP="004308EC">
      <w:pPr>
        <w:rPr>
          <w:noProof/>
        </w:rPr>
      </w:pPr>
    </w:p>
    <w:p w:rsidR="008B6CA0" w:rsidRDefault="008B6CA0" w:rsidP="004308EC">
      <w:pPr>
        <w:rPr>
          <w:noProof/>
        </w:rPr>
      </w:pPr>
    </w:p>
    <w:p w:rsidR="008B6CA0" w:rsidRDefault="008B6CA0" w:rsidP="004308EC"/>
    <w:sectPr w:rsidR="008B6CA0" w:rsidSect="00620401">
      <w:pgSz w:w="17010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BA4" w:rsidRDefault="00CE6BA4" w:rsidP="0048413C">
      <w:pPr>
        <w:spacing w:line="240" w:lineRule="auto"/>
      </w:pPr>
      <w:r>
        <w:separator/>
      </w:r>
    </w:p>
  </w:endnote>
  <w:endnote w:type="continuationSeparator" w:id="0">
    <w:p w:rsidR="00CE6BA4" w:rsidRDefault="00CE6BA4" w:rsidP="004841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BA4" w:rsidRDefault="00CE6BA4" w:rsidP="0048413C">
      <w:pPr>
        <w:spacing w:line="240" w:lineRule="auto"/>
      </w:pPr>
      <w:r>
        <w:separator/>
      </w:r>
    </w:p>
  </w:footnote>
  <w:footnote w:type="continuationSeparator" w:id="0">
    <w:p w:rsidR="00CE6BA4" w:rsidRDefault="00CE6BA4" w:rsidP="004841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strokecolor="#00206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13C"/>
    <w:rsid w:val="000637C9"/>
    <w:rsid w:val="000B12B6"/>
    <w:rsid w:val="000D3427"/>
    <w:rsid w:val="001053AC"/>
    <w:rsid w:val="001D1145"/>
    <w:rsid w:val="001F1266"/>
    <w:rsid w:val="00203A84"/>
    <w:rsid w:val="002A1B0E"/>
    <w:rsid w:val="002B3310"/>
    <w:rsid w:val="00317045"/>
    <w:rsid w:val="003968DA"/>
    <w:rsid w:val="003A1A9A"/>
    <w:rsid w:val="003B3C78"/>
    <w:rsid w:val="003C29BF"/>
    <w:rsid w:val="004308EC"/>
    <w:rsid w:val="0048413C"/>
    <w:rsid w:val="005345DD"/>
    <w:rsid w:val="005645AD"/>
    <w:rsid w:val="00584EC9"/>
    <w:rsid w:val="005E530D"/>
    <w:rsid w:val="00620401"/>
    <w:rsid w:val="0070363C"/>
    <w:rsid w:val="00791E51"/>
    <w:rsid w:val="00825AD6"/>
    <w:rsid w:val="00833A1E"/>
    <w:rsid w:val="00886BD2"/>
    <w:rsid w:val="0089569C"/>
    <w:rsid w:val="008A1003"/>
    <w:rsid w:val="008B6CA0"/>
    <w:rsid w:val="008C0A08"/>
    <w:rsid w:val="008D7D36"/>
    <w:rsid w:val="008F5233"/>
    <w:rsid w:val="0094245E"/>
    <w:rsid w:val="00946BB6"/>
    <w:rsid w:val="0097150D"/>
    <w:rsid w:val="009744B7"/>
    <w:rsid w:val="00985ECD"/>
    <w:rsid w:val="00991AE2"/>
    <w:rsid w:val="009F013A"/>
    <w:rsid w:val="00A546D6"/>
    <w:rsid w:val="00A863E6"/>
    <w:rsid w:val="00B6326E"/>
    <w:rsid w:val="00BD6C2D"/>
    <w:rsid w:val="00C22D7C"/>
    <w:rsid w:val="00CE6BA4"/>
    <w:rsid w:val="00D13516"/>
    <w:rsid w:val="00DC5D02"/>
    <w:rsid w:val="00E51F9C"/>
    <w:rsid w:val="00EF2AF5"/>
    <w:rsid w:val="00F91F95"/>
    <w:rsid w:val="00FF143F"/>
    <w:rsid w:val="00FF3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#002060"/>
    </o:shapedefaults>
    <o:shapelayout v:ext="edit">
      <o:idmap v:ext="edit" data="2"/>
      <o:rules v:ext="edit">
        <o:r id="V:Rule2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645AD"/>
    <w:pPr>
      <w:keepNext/>
      <w:jc w:val="right"/>
      <w:outlineLvl w:val="1"/>
    </w:pPr>
    <w:rPr>
      <w:rFonts w:ascii="宋体" w:hAnsi="宋体"/>
      <w:b/>
      <w:szCs w:val="18"/>
    </w:rPr>
  </w:style>
  <w:style w:type="paragraph" w:styleId="4">
    <w:name w:val="heading 4"/>
    <w:aliases w:val="TSBFOUR"/>
    <w:basedOn w:val="a"/>
    <w:next w:val="a"/>
    <w:link w:val="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645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645AD"/>
    <w:rPr>
      <w:rFonts w:ascii="宋体" w:hAnsi="宋体"/>
      <w:b/>
      <w:kern w:val="2"/>
      <w:sz w:val="21"/>
      <w:szCs w:val="18"/>
    </w:rPr>
  </w:style>
  <w:style w:type="character" w:customStyle="1" w:styleId="4Char">
    <w:name w:val="标题 4 Char"/>
    <w:aliases w:val="TSBFOUR Char"/>
    <w:basedOn w:val="a0"/>
    <w:link w:val="4"/>
    <w:rsid w:val="005645AD"/>
    <w:rPr>
      <w:noProof/>
      <w:kern w:val="2"/>
      <w:sz w:val="24"/>
      <w:lang w:eastAsia="zh-TW"/>
    </w:rPr>
  </w:style>
  <w:style w:type="paragraph" w:styleId="a3">
    <w:name w:val="List Paragraph"/>
    <w:basedOn w:val="a"/>
    <w:uiPriority w:val="34"/>
    <w:qFormat/>
    <w:rsid w:val="005645A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84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8413C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8413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8413C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8413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413C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70363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E:\HCD%20EA%20job\0000%202%20eTales\2014-02-12%20eTalesReportFormat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E:\HCD%20EA%20job\0000%202%20eTales\2014-02-12%20eTalesReportFormat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E:\HCD%20EA%20job\0000%202%20eTales\2014-02-12%20eTalesReportFormat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E:\HCD%20EA%20job\0000%202%20eTales\2014-02-12%20eTalesReportForm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 sz="1400" b="1" i="0" baseline="0">
                <a:solidFill>
                  <a:schemeClr val="bg2">
                    <a:lumMod val="25000"/>
                  </a:schemeClr>
                </a:solidFill>
                <a:latin typeface="Arial" pitchFamily="34" charset="0"/>
                <a:cs typeface="Arial" pitchFamily="34" charset="0"/>
              </a:rPr>
              <a:t>Elecssories - Rural</a:t>
            </a:r>
            <a:endParaRPr lang="zh-CN" altLang="zh-CN" sz="1400" b="1" i="0" baseline="0">
              <a:solidFill>
                <a:schemeClr val="bg2">
                  <a:lumMod val="25000"/>
                </a:schemeClr>
              </a:solidFill>
              <a:latin typeface="Arial" pitchFamily="34" charset="0"/>
              <a:cs typeface="Arial" pitchFamily="34" charset="0"/>
            </a:endParaRPr>
          </a:p>
        </c:rich>
      </c:tx>
      <c:layout>
        <c:manualLayout>
          <c:xMode val="edge"/>
          <c:yMode val="edge"/>
          <c:x val="0.29302838308002394"/>
          <c:y val="4.1534308211473546E-2"/>
        </c:manualLayout>
      </c:layout>
      <c:spPr>
        <a:noFill/>
      </c:spPr>
    </c:title>
    <c:plotArea>
      <c:layout>
        <c:manualLayout>
          <c:layoutTarget val="inner"/>
          <c:xMode val="edge"/>
          <c:yMode val="edge"/>
          <c:x val="9.9728644143124545E-2"/>
          <c:y val="0.18800599537460921"/>
          <c:w val="0.66005685391562474"/>
          <c:h val="0.58296581144411264"/>
        </c:manualLayout>
      </c:layout>
      <c:barChart>
        <c:barDir val="col"/>
        <c:grouping val="clustered"/>
        <c:ser>
          <c:idx val="0"/>
          <c:order val="0"/>
          <c:tx>
            <c:strRef>
              <c:f>'Admin Reports'!$AF$3</c:f>
              <c:strCache>
                <c:ptCount val="1"/>
                <c:pt idx="0">
                  <c:v>B&amp;M Only</c:v>
                </c:pt>
              </c:strCache>
            </c:strRef>
          </c:tx>
          <c:spPr>
            <a:solidFill>
              <a:srgbClr val="E52750"/>
            </a:solidFill>
          </c:spPr>
          <c:cat>
            <c:strRef>
              <c:f>'Admin Reports'!$AG$2:$AJ$2</c:f>
              <c:strCache>
                <c:ptCount val="4"/>
                <c:pt idx="0">
                  <c:v>Price Sensitive</c:v>
                </c:pt>
                <c:pt idx="1">
                  <c:v>Value for Money</c:v>
                </c:pt>
                <c:pt idx="2">
                  <c:v>Fashion</c:v>
                </c:pt>
                <c:pt idx="3">
                  <c:v>Freaks</c:v>
                </c:pt>
              </c:strCache>
            </c:strRef>
          </c:cat>
          <c:val>
            <c:numRef>
              <c:f>'Admin Reports'!$AG$3:$AJ$3</c:f>
              <c:numCache>
                <c:formatCode>General</c:formatCode>
                <c:ptCount val="4"/>
                <c:pt idx="0">
                  <c:v>164</c:v>
                </c:pt>
                <c:pt idx="1">
                  <c:v>238</c:v>
                </c:pt>
                <c:pt idx="2">
                  <c:v>283</c:v>
                </c:pt>
                <c:pt idx="3">
                  <c:v>234</c:v>
                </c:pt>
              </c:numCache>
            </c:numRef>
          </c:val>
        </c:ser>
        <c:ser>
          <c:idx val="1"/>
          <c:order val="1"/>
          <c:tx>
            <c:strRef>
              <c:f>'Admin Reports'!$AF$4</c:f>
              <c:strCache>
                <c:ptCount val="1"/>
                <c:pt idx="0">
                  <c:v>Online Only</c:v>
                </c:pt>
              </c:strCache>
            </c:strRef>
          </c:tx>
          <c:spPr>
            <a:solidFill>
              <a:srgbClr val="00B0F0"/>
            </a:solidFill>
          </c:spPr>
          <c:cat>
            <c:strRef>
              <c:f>'Admin Reports'!$AG$2:$AJ$2</c:f>
              <c:strCache>
                <c:ptCount val="4"/>
                <c:pt idx="0">
                  <c:v>Price Sensitive</c:v>
                </c:pt>
                <c:pt idx="1">
                  <c:v>Value for Money</c:v>
                </c:pt>
                <c:pt idx="2">
                  <c:v>Fashion</c:v>
                </c:pt>
                <c:pt idx="3">
                  <c:v>Freaks</c:v>
                </c:pt>
              </c:strCache>
            </c:strRef>
          </c:cat>
          <c:val>
            <c:numRef>
              <c:f>'Admin Reports'!$AG$4:$AJ$4</c:f>
              <c:numCache>
                <c:formatCode>General</c:formatCode>
                <c:ptCount val="4"/>
                <c:pt idx="0">
                  <c:v>53</c:v>
                </c:pt>
                <c:pt idx="1">
                  <c:v>68</c:v>
                </c:pt>
                <c:pt idx="2">
                  <c:v>52</c:v>
                </c:pt>
                <c:pt idx="3">
                  <c:v>32</c:v>
                </c:pt>
              </c:numCache>
            </c:numRef>
          </c:val>
        </c:ser>
        <c:ser>
          <c:idx val="2"/>
          <c:order val="2"/>
          <c:tx>
            <c:strRef>
              <c:f>'Admin Reports'!$AF$5</c:f>
              <c:strCache>
                <c:ptCount val="1"/>
                <c:pt idx="0">
                  <c:v>Mixed</c:v>
                </c:pt>
              </c:strCache>
            </c:strRef>
          </c:tx>
          <c:spPr>
            <a:solidFill>
              <a:srgbClr val="00B050"/>
            </a:solidFill>
          </c:spPr>
          <c:cat>
            <c:strRef>
              <c:f>'Admin Reports'!$AG$2:$AJ$2</c:f>
              <c:strCache>
                <c:ptCount val="4"/>
                <c:pt idx="0">
                  <c:v>Price Sensitive</c:v>
                </c:pt>
                <c:pt idx="1">
                  <c:v>Value for Money</c:v>
                </c:pt>
                <c:pt idx="2">
                  <c:v>Fashion</c:v>
                </c:pt>
                <c:pt idx="3">
                  <c:v>Freaks</c:v>
                </c:pt>
              </c:strCache>
            </c:strRef>
          </c:cat>
          <c:val>
            <c:numRef>
              <c:f>'Admin Reports'!$AG$5:$AJ$5</c:f>
              <c:numCache>
                <c:formatCode>General</c:formatCode>
                <c:ptCount val="4"/>
                <c:pt idx="0">
                  <c:v>268</c:v>
                </c:pt>
                <c:pt idx="1">
                  <c:v>138</c:v>
                </c:pt>
                <c:pt idx="2">
                  <c:v>213</c:v>
                </c:pt>
                <c:pt idx="3">
                  <c:v>138</c:v>
                </c:pt>
              </c:numCache>
            </c:numRef>
          </c:val>
        </c:ser>
        <c:axId val="92702208"/>
        <c:axId val="102695296"/>
      </c:barChart>
      <c:catAx>
        <c:axId val="92702208"/>
        <c:scaling>
          <c:orientation val="minMax"/>
        </c:scaling>
        <c:axPos val="b"/>
        <c:majorTickMark val="none"/>
        <c:tickLblPos val="nextTo"/>
        <c:crossAx val="102695296"/>
        <c:crosses val="autoZero"/>
        <c:auto val="1"/>
        <c:lblAlgn val="ctr"/>
        <c:lblOffset val="100"/>
      </c:catAx>
      <c:valAx>
        <c:axId val="10269529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927022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356209068115689"/>
          <c:y val="0.40766935778597302"/>
          <c:w val="0.21006901293887784"/>
          <c:h val="0.20553190110495448"/>
        </c:manualLayout>
      </c:layout>
    </c:legend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 sz="1400" b="1" i="0" baseline="0">
                <a:solidFill>
                  <a:schemeClr val="bg2">
                    <a:lumMod val="25000"/>
                  </a:schemeClr>
                </a:solidFill>
                <a:latin typeface="Arial" pitchFamily="34" charset="0"/>
                <a:cs typeface="Arial" pitchFamily="34" charset="0"/>
              </a:rPr>
              <a:t>Elecssories - Urban</a:t>
            </a:r>
            <a:endParaRPr lang="zh-CN" altLang="zh-CN" sz="1400" b="1" i="0" baseline="0">
              <a:solidFill>
                <a:schemeClr val="bg2">
                  <a:lumMod val="25000"/>
                </a:schemeClr>
              </a:solidFill>
              <a:latin typeface="Arial" pitchFamily="34" charset="0"/>
              <a:cs typeface="Arial" pitchFamily="34" charset="0"/>
            </a:endParaRPr>
          </a:p>
        </c:rich>
      </c:tx>
      <c:layout>
        <c:manualLayout>
          <c:xMode val="edge"/>
          <c:yMode val="edge"/>
          <c:x val="0.29302838308002416"/>
          <c:y val="4.1534308211473546E-2"/>
        </c:manualLayout>
      </c:layout>
      <c:spPr>
        <a:noFill/>
      </c:spPr>
    </c:title>
    <c:plotArea>
      <c:layout>
        <c:manualLayout>
          <c:layoutTarget val="inner"/>
          <c:xMode val="edge"/>
          <c:yMode val="edge"/>
          <c:x val="9.9728644143124545E-2"/>
          <c:y val="0.18800599537460921"/>
          <c:w val="0.66005685391562474"/>
          <c:h val="0.58296581144411264"/>
        </c:manualLayout>
      </c:layout>
      <c:barChart>
        <c:barDir val="col"/>
        <c:grouping val="clustered"/>
        <c:ser>
          <c:idx val="0"/>
          <c:order val="0"/>
          <c:tx>
            <c:strRef>
              <c:f>'Admin Reports'!$AF$3</c:f>
              <c:strCache>
                <c:ptCount val="1"/>
                <c:pt idx="0">
                  <c:v>B&amp;M Only</c:v>
                </c:pt>
              </c:strCache>
            </c:strRef>
          </c:tx>
          <c:spPr>
            <a:solidFill>
              <a:srgbClr val="E52750"/>
            </a:solidFill>
          </c:spPr>
          <c:cat>
            <c:strRef>
              <c:f>'Admin Reports'!$AG$2:$AJ$2</c:f>
              <c:strCache>
                <c:ptCount val="4"/>
                <c:pt idx="0">
                  <c:v>Price Sensitive</c:v>
                </c:pt>
                <c:pt idx="1">
                  <c:v>Value for Money</c:v>
                </c:pt>
                <c:pt idx="2">
                  <c:v>Fashion</c:v>
                </c:pt>
                <c:pt idx="3">
                  <c:v>Freaks</c:v>
                </c:pt>
              </c:strCache>
            </c:strRef>
          </c:cat>
          <c:val>
            <c:numRef>
              <c:f>'Admin Reports'!$AG$3:$AJ$3</c:f>
              <c:numCache>
                <c:formatCode>General</c:formatCode>
                <c:ptCount val="4"/>
                <c:pt idx="0">
                  <c:v>164</c:v>
                </c:pt>
                <c:pt idx="1">
                  <c:v>238</c:v>
                </c:pt>
                <c:pt idx="2">
                  <c:v>283</c:v>
                </c:pt>
                <c:pt idx="3">
                  <c:v>234</c:v>
                </c:pt>
              </c:numCache>
            </c:numRef>
          </c:val>
        </c:ser>
        <c:ser>
          <c:idx val="1"/>
          <c:order val="1"/>
          <c:tx>
            <c:strRef>
              <c:f>'Admin Reports'!$AF$4</c:f>
              <c:strCache>
                <c:ptCount val="1"/>
                <c:pt idx="0">
                  <c:v>Online Only</c:v>
                </c:pt>
              </c:strCache>
            </c:strRef>
          </c:tx>
          <c:spPr>
            <a:solidFill>
              <a:srgbClr val="00B0F0"/>
            </a:solidFill>
          </c:spPr>
          <c:cat>
            <c:strRef>
              <c:f>'Admin Reports'!$AG$2:$AJ$2</c:f>
              <c:strCache>
                <c:ptCount val="4"/>
                <c:pt idx="0">
                  <c:v>Price Sensitive</c:v>
                </c:pt>
                <c:pt idx="1">
                  <c:v>Value for Money</c:v>
                </c:pt>
                <c:pt idx="2">
                  <c:v>Fashion</c:v>
                </c:pt>
                <c:pt idx="3">
                  <c:v>Freaks</c:v>
                </c:pt>
              </c:strCache>
            </c:strRef>
          </c:cat>
          <c:val>
            <c:numRef>
              <c:f>'Admin Reports'!$AG$4:$AJ$4</c:f>
              <c:numCache>
                <c:formatCode>General</c:formatCode>
                <c:ptCount val="4"/>
                <c:pt idx="0">
                  <c:v>53</c:v>
                </c:pt>
                <c:pt idx="1">
                  <c:v>68</c:v>
                </c:pt>
                <c:pt idx="2">
                  <c:v>52</c:v>
                </c:pt>
                <c:pt idx="3">
                  <c:v>32</c:v>
                </c:pt>
              </c:numCache>
            </c:numRef>
          </c:val>
        </c:ser>
        <c:ser>
          <c:idx val="2"/>
          <c:order val="2"/>
          <c:tx>
            <c:strRef>
              <c:f>'Admin Reports'!$AF$5</c:f>
              <c:strCache>
                <c:ptCount val="1"/>
                <c:pt idx="0">
                  <c:v>Mixed</c:v>
                </c:pt>
              </c:strCache>
            </c:strRef>
          </c:tx>
          <c:spPr>
            <a:solidFill>
              <a:srgbClr val="00B050"/>
            </a:solidFill>
          </c:spPr>
          <c:cat>
            <c:strRef>
              <c:f>'Admin Reports'!$AG$2:$AJ$2</c:f>
              <c:strCache>
                <c:ptCount val="4"/>
                <c:pt idx="0">
                  <c:v>Price Sensitive</c:v>
                </c:pt>
                <c:pt idx="1">
                  <c:v>Value for Money</c:v>
                </c:pt>
                <c:pt idx="2">
                  <c:v>Fashion</c:v>
                </c:pt>
                <c:pt idx="3">
                  <c:v>Freaks</c:v>
                </c:pt>
              </c:strCache>
            </c:strRef>
          </c:cat>
          <c:val>
            <c:numRef>
              <c:f>'Admin Reports'!$AG$5:$AJ$5</c:f>
              <c:numCache>
                <c:formatCode>General</c:formatCode>
                <c:ptCount val="4"/>
                <c:pt idx="0">
                  <c:v>268</c:v>
                </c:pt>
                <c:pt idx="1">
                  <c:v>138</c:v>
                </c:pt>
                <c:pt idx="2">
                  <c:v>213</c:v>
                </c:pt>
                <c:pt idx="3">
                  <c:v>138</c:v>
                </c:pt>
              </c:numCache>
            </c:numRef>
          </c:val>
        </c:ser>
        <c:axId val="102721024"/>
        <c:axId val="102722560"/>
      </c:barChart>
      <c:catAx>
        <c:axId val="102721024"/>
        <c:scaling>
          <c:orientation val="minMax"/>
        </c:scaling>
        <c:axPos val="b"/>
        <c:majorTickMark val="none"/>
        <c:tickLblPos val="nextTo"/>
        <c:crossAx val="102722560"/>
        <c:crosses val="autoZero"/>
        <c:auto val="1"/>
        <c:lblAlgn val="ctr"/>
        <c:lblOffset val="100"/>
      </c:catAx>
      <c:valAx>
        <c:axId val="10272256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027210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356209068115689"/>
          <c:y val="0.40766935778597302"/>
          <c:w val="0.21006901293887784"/>
          <c:h val="0.20553190110495448"/>
        </c:manualLayout>
      </c:layout>
    </c:legend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 sz="1400" b="1" i="0" baseline="0">
                <a:solidFill>
                  <a:schemeClr val="bg2">
                    <a:lumMod val="25000"/>
                  </a:schemeClr>
                </a:solidFill>
                <a:latin typeface="Arial" pitchFamily="34" charset="0"/>
                <a:cs typeface="Arial" pitchFamily="34" charset="0"/>
              </a:rPr>
              <a:t>HealthBeauties - Rural</a:t>
            </a:r>
            <a:endParaRPr lang="zh-CN" altLang="zh-CN" sz="1400" b="1" i="0" baseline="0">
              <a:solidFill>
                <a:schemeClr val="bg2">
                  <a:lumMod val="25000"/>
                </a:schemeClr>
              </a:solidFill>
              <a:latin typeface="Arial" pitchFamily="34" charset="0"/>
              <a:cs typeface="Arial" pitchFamily="34" charset="0"/>
            </a:endParaRPr>
          </a:p>
        </c:rich>
      </c:tx>
      <c:layout>
        <c:manualLayout>
          <c:xMode val="edge"/>
          <c:yMode val="edge"/>
          <c:x val="0.29302838308002438"/>
          <c:y val="4.1534308211473546E-2"/>
        </c:manualLayout>
      </c:layout>
      <c:spPr>
        <a:noFill/>
      </c:spPr>
    </c:title>
    <c:plotArea>
      <c:layout>
        <c:manualLayout>
          <c:layoutTarget val="inner"/>
          <c:xMode val="edge"/>
          <c:yMode val="edge"/>
          <c:x val="9.9728644143124545E-2"/>
          <c:y val="0.18800599537460921"/>
          <c:w val="0.66005685391562474"/>
          <c:h val="0.58296581144411264"/>
        </c:manualLayout>
      </c:layout>
      <c:barChart>
        <c:barDir val="col"/>
        <c:grouping val="clustered"/>
        <c:ser>
          <c:idx val="0"/>
          <c:order val="0"/>
          <c:tx>
            <c:strRef>
              <c:f>'1.1 Market Share'!$B$253</c:f>
              <c:strCache>
                <c:ptCount val="1"/>
                <c:pt idx="0">
                  <c:v>B&amp;M Only</c:v>
                </c:pt>
              </c:strCache>
            </c:strRef>
          </c:tx>
          <c:spPr>
            <a:solidFill>
              <a:srgbClr val="E52750"/>
            </a:solidFill>
          </c:spPr>
          <c:cat>
            <c:strRef>
              <c:f>'1.1 Market Share'!$C$252:$F$252</c:f>
              <c:strCache>
                <c:ptCount val="4"/>
                <c:pt idx="0">
                  <c:v>Price Sensitive</c:v>
                </c:pt>
                <c:pt idx="1">
                  <c:v>Value for Money</c:v>
                </c:pt>
                <c:pt idx="2">
                  <c:v>Health Conscious</c:v>
                </c:pt>
                <c:pt idx="3">
                  <c:v>Impatient</c:v>
                </c:pt>
              </c:strCache>
            </c:strRef>
          </c:cat>
          <c:val>
            <c:numRef>
              <c:f>'1.1 Market Share'!$C$253:$F$253</c:f>
              <c:numCache>
                <c:formatCode>General</c:formatCode>
                <c:ptCount val="4"/>
                <c:pt idx="0">
                  <c:v>164</c:v>
                </c:pt>
                <c:pt idx="1">
                  <c:v>238</c:v>
                </c:pt>
                <c:pt idx="2">
                  <c:v>283</c:v>
                </c:pt>
                <c:pt idx="3">
                  <c:v>234</c:v>
                </c:pt>
              </c:numCache>
            </c:numRef>
          </c:val>
        </c:ser>
        <c:ser>
          <c:idx val="1"/>
          <c:order val="1"/>
          <c:tx>
            <c:strRef>
              <c:f>'1.1 Market Share'!$B$254</c:f>
              <c:strCache>
                <c:ptCount val="1"/>
                <c:pt idx="0">
                  <c:v>Online Only</c:v>
                </c:pt>
              </c:strCache>
            </c:strRef>
          </c:tx>
          <c:spPr>
            <a:solidFill>
              <a:srgbClr val="00B0F0"/>
            </a:solidFill>
          </c:spPr>
          <c:cat>
            <c:strRef>
              <c:f>'1.1 Market Share'!$C$252:$F$252</c:f>
              <c:strCache>
                <c:ptCount val="4"/>
                <c:pt idx="0">
                  <c:v>Price Sensitive</c:v>
                </c:pt>
                <c:pt idx="1">
                  <c:v>Value for Money</c:v>
                </c:pt>
                <c:pt idx="2">
                  <c:v>Health Conscious</c:v>
                </c:pt>
                <c:pt idx="3">
                  <c:v>Impatient</c:v>
                </c:pt>
              </c:strCache>
            </c:strRef>
          </c:cat>
          <c:val>
            <c:numRef>
              <c:f>'1.1 Market Share'!$C$254:$F$254</c:f>
              <c:numCache>
                <c:formatCode>General</c:formatCode>
                <c:ptCount val="4"/>
                <c:pt idx="0">
                  <c:v>53</c:v>
                </c:pt>
                <c:pt idx="1">
                  <c:v>68</c:v>
                </c:pt>
                <c:pt idx="2">
                  <c:v>52</c:v>
                </c:pt>
                <c:pt idx="3">
                  <c:v>32</c:v>
                </c:pt>
              </c:numCache>
            </c:numRef>
          </c:val>
        </c:ser>
        <c:ser>
          <c:idx val="2"/>
          <c:order val="2"/>
          <c:tx>
            <c:strRef>
              <c:f>'1.1 Market Share'!$B$255</c:f>
              <c:strCache>
                <c:ptCount val="1"/>
                <c:pt idx="0">
                  <c:v>Mixed</c:v>
                </c:pt>
              </c:strCache>
            </c:strRef>
          </c:tx>
          <c:spPr>
            <a:solidFill>
              <a:srgbClr val="00B050"/>
            </a:solidFill>
          </c:spPr>
          <c:cat>
            <c:strRef>
              <c:f>'1.1 Market Share'!$C$252:$F$252</c:f>
              <c:strCache>
                <c:ptCount val="4"/>
                <c:pt idx="0">
                  <c:v>Price Sensitive</c:v>
                </c:pt>
                <c:pt idx="1">
                  <c:v>Value for Money</c:v>
                </c:pt>
                <c:pt idx="2">
                  <c:v>Health Conscious</c:v>
                </c:pt>
                <c:pt idx="3">
                  <c:v>Impatient</c:v>
                </c:pt>
              </c:strCache>
            </c:strRef>
          </c:cat>
          <c:val>
            <c:numRef>
              <c:f>'1.1 Market Share'!$C$255:$F$255</c:f>
              <c:numCache>
                <c:formatCode>General</c:formatCode>
                <c:ptCount val="4"/>
                <c:pt idx="0">
                  <c:v>268</c:v>
                </c:pt>
                <c:pt idx="1">
                  <c:v>138</c:v>
                </c:pt>
                <c:pt idx="2">
                  <c:v>213</c:v>
                </c:pt>
                <c:pt idx="3">
                  <c:v>138</c:v>
                </c:pt>
              </c:numCache>
            </c:numRef>
          </c:val>
        </c:ser>
        <c:axId val="33685888"/>
        <c:axId val="33687424"/>
      </c:barChart>
      <c:catAx>
        <c:axId val="33685888"/>
        <c:scaling>
          <c:orientation val="minMax"/>
        </c:scaling>
        <c:axPos val="b"/>
        <c:majorTickMark val="none"/>
        <c:tickLblPos val="nextTo"/>
        <c:crossAx val="33687424"/>
        <c:crosses val="autoZero"/>
        <c:auto val="1"/>
        <c:lblAlgn val="ctr"/>
        <c:lblOffset val="100"/>
      </c:catAx>
      <c:valAx>
        <c:axId val="3368742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3368588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356209068115689"/>
          <c:y val="0.40766935778597302"/>
          <c:w val="0.21006901293887784"/>
          <c:h val="0.20553190110495448"/>
        </c:manualLayout>
      </c:layout>
    </c:legend>
    <c:plotVisOnly val="1"/>
  </c:chart>
  <c:externalData r:id="rId1"/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 sz="1400" b="1" i="0" baseline="0">
                <a:solidFill>
                  <a:schemeClr val="bg2">
                    <a:lumMod val="25000"/>
                  </a:schemeClr>
                </a:solidFill>
                <a:latin typeface="Arial" pitchFamily="34" charset="0"/>
                <a:cs typeface="Arial" pitchFamily="34" charset="0"/>
              </a:rPr>
              <a:t>HealthBeauties - Urban</a:t>
            </a:r>
            <a:endParaRPr lang="zh-CN" altLang="zh-CN" sz="1400" b="1" i="0" baseline="0">
              <a:solidFill>
                <a:schemeClr val="bg2">
                  <a:lumMod val="25000"/>
                </a:schemeClr>
              </a:solidFill>
              <a:latin typeface="Arial" pitchFamily="34" charset="0"/>
              <a:cs typeface="Arial" pitchFamily="34" charset="0"/>
            </a:endParaRPr>
          </a:p>
        </c:rich>
      </c:tx>
      <c:layout>
        <c:manualLayout>
          <c:xMode val="edge"/>
          <c:yMode val="edge"/>
          <c:x val="0.29302838308002455"/>
          <c:y val="4.1534308211473546E-2"/>
        </c:manualLayout>
      </c:layout>
      <c:spPr>
        <a:noFill/>
      </c:spPr>
    </c:title>
    <c:plotArea>
      <c:layout>
        <c:manualLayout>
          <c:layoutTarget val="inner"/>
          <c:xMode val="edge"/>
          <c:yMode val="edge"/>
          <c:x val="9.9728644143124545E-2"/>
          <c:y val="0.18800599537460921"/>
          <c:w val="0.66005685391562474"/>
          <c:h val="0.58296581144411264"/>
        </c:manualLayout>
      </c:layout>
      <c:barChart>
        <c:barDir val="col"/>
        <c:grouping val="clustered"/>
        <c:ser>
          <c:idx val="0"/>
          <c:order val="0"/>
          <c:tx>
            <c:strRef>
              <c:f>'1.1 Market Share'!$B$253</c:f>
              <c:strCache>
                <c:ptCount val="1"/>
                <c:pt idx="0">
                  <c:v>B&amp;M Only</c:v>
                </c:pt>
              </c:strCache>
            </c:strRef>
          </c:tx>
          <c:spPr>
            <a:solidFill>
              <a:srgbClr val="E52750"/>
            </a:solidFill>
          </c:spPr>
          <c:cat>
            <c:strRef>
              <c:f>'1.1 Market Share'!$C$252:$F$252</c:f>
              <c:strCache>
                <c:ptCount val="4"/>
                <c:pt idx="0">
                  <c:v>Price Sensitive</c:v>
                </c:pt>
                <c:pt idx="1">
                  <c:v>Value for Money</c:v>
                </c:pt>
                <c:pt idx="2">
                  <c:v>Health Conscious</c:v>
                </c:pt>
                <c:pt idx="3">
                  <c:v>Impatient</c:v>
                </c:pt>
              </c:strCache>
            </c:strRef>
          </c:cat>
          <c:val>
            <c:numRef>
              <c:f>'1.1 Market Share'!$C$253:$F$253</c:f>
              <c:numCache>
                <c:formatCode>General</c:formatCode>
                <c:ptCount val="4"/>
                <c:pt idx="0">
                  <c:v>164</c:v>
                </c:pt>
                <c:pt idx="1">
                  <c:v>238</c:v>
                </c:pt>
                <c:pt idx="2">
                  <c:v>283</c:v>
                </c:pt>
                <c:pt idx="3">
                  <c:v>234</c:v>
                </c:pt>
              </c:numCache>
            </c:numRef>
          </c:val>
        </c:ser>
        <c:ser>
          <c:idx val="1"/>
          <c:order val="1"/>
          <c:tx>
            <c:strRef>
              <c:f>'1.1 Market Share'!$B$254</c:f>
              <c:strCache>
                <c:ptCount val="1"/>
                <c:pt idx="0">
                  <c:v>Online Only</c:v>
                </c:pt>
              </c:strCache>
            </c:strRef>
          </c:tx>
          <c:spPr>
            <a:solidFill>
              <a:srgbClr val="00B0F0"/>
            </a:solidFill>
          </c:spPr>
          <c:cat>
            <c:strRef>
              <c:f>'1.1 Market Share'!$C$252:$F$252</c:f>
              <c:strCache>
                <c:ptCount val="4"/>
                <c:pt idx="0">
                  <c:v>Price Sensitive</c:v>
                </c:pt>
                <c:pt idx="1">
                  <c:v>Value for Money</c:v>
                </c:pt>
                <c:pt idx="2">
                  <c:v>Health Conscious</c:v>
                </c:pt>
                <c:pt idx="3">
                  <c:v>Impatient</c:v>
                </c:pt>
              </c:strCache>
            </c:strRef>
          </c:cat>
          <c:val>
            <c:numRef>
              <c:f>'1.1 Market Share'!$C$254:$F$254</c:f>
              <c:numCache>
                <c:formatCode>General</c:formatCode>
                <c:ptCount val="4"/>
                <c:pt idx="0">
                  <c:v>53</c:v>
                </c:pt>
                <c:pt idx="1">
                  <c:v>68</c:v>
                </c:pt>
                <c:pt idx="2">
                  <c:v>52</c:v>
                </c:pt>
                <c:pt idx="3">
                  <c:v>32</c:v>
                </c:pt>
              </c:numCache>
            </c:numRef>
          </c:val>
        </c:ser>
        <c:ser>
          <c:idx val="2"/>
          <c:order val="2"/>
          <c:tx>
            <c:strRef>
              <c:f>'1.1 Market Share'!$B$255</c:f>
              <c:strCache>
                <c:ptCount val="1"/>
                <c:pt idx="0">
                  <c:v>Mixed</c:v>
                </c:pt>
              </c:strCache>
            </c:strRef>
          </c:tx>
          <c:spPr>
            <a:solidFill>
              <a:srgbClr val="00B050"/>
            </a:solidFill>
          </c:spPr>
          <c:cat>
            <c:strRef>
              <c:f>'1.1 Market Share'!$C$252:$F$252</c:f>
              <c:strCache>
                <c:ptCount val="4"/>
                <c:pt idx="0">
                  <c:v>Price Sensitive</c:v>
                </c:pt>
                <c:pt idx="1">
                  <c:v>Value for Money</c:v>
                </c:pt>
                <c:pt idx="2">
                  <c:v>Health Conscious</c:v>
                </c:pt>
                <c:pt idx="3">
                  <c:v>Impatient</c:v>
                </c:pt>
              </c:strCache>
            </c:strRef>
          </c:cat>
          <c:val>
            <c:numRef>
              <c:f>'1.1 Market Share'!$C$255:$F$255</c:f>
              <c:numCache>
                <c:formatCode>General</c:formatCode>
                <c:ptCount val="4"/>
                <c:pt idx="0">
                  <c:v>268</c:v>
                </c:pt>
                <c:pt idx="1">
                  <c:v>138</c:v>
                </c:pt>
                <c:pt idx="2">
                  <c:v>213</c:v>
                </c:pt>
                <c:pt idx="3">
                  <c:v>138</c:v>
                </c:pt>
              </c:numCache>
            </c:numRef>
          </c:val>
        </c:ser>
        <c:axId val="33696768"/>
        <c:axId val="33739520"/>
      </c:barChart>
      <c:catAx>
        <c:axId val="33696768"/>
        <c:scaling>
          <c:orientation val="minMax"/>
        </c:scaling>
        <c:axPos val="b"/>
        <c:majorTickMark val="none"/>
        <c:tickLblPos val="nextTo"/>
        <c:crossAx val="33739520"/>
        <c:crosses val="autoZero"/>
        <c:auto val="1"/>
        <c:lblAlgn val="ctr"/>
        <c:lblOffset val="100"/>
      </c:catAx>
      <c:valAx>
        <c:axId val="3373952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336967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356209068115689"/>
          <c:y val="0.40766935778597302"/>
          <c:w val="0.21006901293887784"/>
          <c:h val="0.20553190110495448"/>
        </c:manualLayout>
      </c:layout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0.32439</cdr:x>
      <cdr:y>0.8824</cdr:y>
    </cdr:from>
    <cdr:to>
      <cdr:x>0.57987</cdr:x>
      <cdr:y>0.96124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934200" y="3252663"/>
          <a:ext cx="1523375" cy="29063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Consumer</a:t>
          </a:r>
          <a:r>
            <a:rPr lang="en-US" altLang="zh-CN" sz="1100" b="1" baseline="0"/>
            <a:t> Segments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0.75959</cdr:x>
      <cdr:y>0.31496</cdr:y>
    </cdr:from>
    <cdr:to>
      <cdr:x>0.98083</cdr:x>
      <cdr:y>0.42163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4529185" y="1161001"/>
          <a:ext cx="1319165" cy="39321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Shopper</a:t>
          </a:r>
          <a:r>
            <a:rPr lang="en-US" altLang="zh-CN" sz="1100" b="1" baseline="0"/>
            <a:t> Segments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</cdr:x>
      <cdr:y>0.08269</cdr:y>
    </cdr:from>
    <cdr:to>
      <cdr:x>0.15335</cdr:x>
      <cdr:y>0.17054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0" y="304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(units mln)</a:t>
          </a:r>
          <a:endParaRPr lang="zh-CN" altLang="en-US" sz="1100" b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0.32439</cdr:x>
      <cdr:y>0.8824</cdr:y>
    </cdr:from>
    <cdr:to>
      <cdr:x>0.57987</cdr:x>
      <cdr:y>0.96124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934200" y="3252663"/>
          <a:ext cx="1523375" cy="29063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Consumer</a:t>
          </a:r>
          <a:r>
            <a:rPr lang="en-US" altLang="zh-CN" sz="1100" b="1" baseline="0"/>
            <a:t> Segments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0.75959</cdr:x>
      <cdr:y>0.31496</cdr:y>
    </cdr:from>
    <cdr:to>
      <cdr:x>0.98083</cdr:x>
      <cdr:y>0.42163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4529185" y="1161001"/>
          <a:ext cx="1319165" cy="39321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Shopper</a:t>
          </a:r>
          <a:r>
            <a:rPr lang="en-US" altLang="zh-CN" sz="1100" b="1" baseline="0"/>
            <a:t> Segments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</cdr:x>
      <cdr:y>0.08269</cdr:y>
    </cdr:from>
    <cdr:to>
      <cdr:x>0.15335</cdr:x>
      <cdr:y>0.17054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0" y="304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(units mln)</a:t>
          </a:r>
          <a:endParaRPr lang="zh-CN" altLang="en-US" sz="1100" b="1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0.32439</cdr:x>
      <cdr:y>0.8824</cdr:y>
    </cdr:from>
    <cdr:to>
      <cdr:x>0.57987</cdr:x>
      <cdr:y>0.96124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934200" y="3252663"/>
          <a:ext cx="1523375" cy="29063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Consumer</a:t>
          </a:r>
          <a:r>
            <a:rPr lang="en-US" altLang="zh-CN" sz="1100" b="1" baseline="0"/>
            <a:t> Segments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0.75959</cdr:x>
      <cdr:y>0.31496</cdr:y>
    </cdr:from>
    <cdr:to>
      <cdr:x>0.98083</cdr:x>
      <cdr:y>0.42163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4529185" y="1161001"/>
          <a:ext cx="1319165" cy="39321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Shopper</a:t>
          </a:r>
          <a:r>
            <a:rPr lang="en-US" altLang="zh-CN" sz="1100" b="1" baseline="0"/>
            <a:t> Segments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</cdr:x>
      <cdr:y>0.08269</cdr:y>
    </cdr:from>
    <cdr:to>
      <cdr:x>0.15335</cdr:x>
      <cdr:y>0.17054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0" y="304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(units mln)</a:t>
          </a:r>
          <a:endParaRPr lang="zh-CN" altLang="en-US" sz="1100" b="1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0.32439</cdr:x>
      <cdr:y>0.8824</cdr:y>
    </cdr:from>
    <cdr:to>
      <cdr:x>0.57987</cdr:x>
      <cdr:y>0.96124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934200" y="3252663"/>
          <a:ext cx="1523375" cy="29063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Consumer</a:t>
          </a:r>
          <a:r>
            <a:rPr lang="en-US" altLang="zh-CN" sz="1100" b="1" baseline="0"/>
            <a:t> Segments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0.75959</cdr:x>
      <cdr:y>0.31496</cdr:y>
    </cdr:from>
    <cdr:to>
      <cdr:x>0.98083</cdr:x>
      <cdr:y>0.42163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4529185" y="1161001"/>
          <a:ext cx="1319165" cy="39321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Shopper</a:t>
          </a:r>
          <a:r>
            <a:rPr lang="en-US" altLang="zh-CN" sz="1100" b="1" baseline="0"/>
            <a:t> Segments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</cdr:x>
      <cdr:y>0.08269</cdr:y>
    </cdr:from>
    <cdr:to>
      <cdr:x>0.15335</cdr:x>
      <cdr:y>0.17054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0" y="304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(units mln)</a:t>
          </a:r>
          <a:endParaRPr lang="zh-CN" altLang="en-US" sz="1100" b="1"/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leahche</cp:lastModifiedBy>
  <cp:revision>9</cp:revision>
  <cp:lastPrinted>2014-02-13T11:45:00Z</cp:lastPrinted>
  <dcterms:created xsi:type="dcterms:W3CDTF">2014-02-17T07:33:00Z</dcterms:created>
  <dcterms:modified xsi:type="dcterms:W3CDTF">2014-03-07T03:35:00Z</dcterms:modified>
</cp:coreProperties>
</file>