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E41389">
      <w:pPr>
        <w:rPr>
          <w:shd w:val="clear" w:color="auto" w:fill="FFFFFF" w:themeFill="background1"/>
        </w:rPr>
      </w:pPr>
      <w:r w:rsidRPr="00E41389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FD7153" w:rsidRPr="00094C1A" w:rsidRDefault="00094C1A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094C1A">
                    <w:rPr>
                      <w:rFonts w:ascii="Arial" w:hAnsi="Arial" w:cs="Arial"/>
                    </w:rPr>
                    <w:t xml:space="preserve">This table shows the volume and value markets shares for all the </w:t>
                  </w:r>
                  <w:r>
                    <w:rPr>
                      <w:rFonts w:ascii="Arial" w:hAnsi="Arial" w:cs="Arial"/>
                    </w:rPr>
                    <w:t xml:space="preserve">Elecssories brands sold in the </w:t>
                  </w:r>
                  <w:r w:rsidR="007553B2">
                    <w:rPr>
                      <w:rFonts w:ascii="Arial" w:hAnsi="Arial" w:cs="Arial"/>
                    </w:rPr>
                    <w:t>urban</w:t>
                  </w:r>
                  <w:r w:rsidRPr="00094C1A"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</w:txbxContent>
            </v:textbox>
          </v:shape>
        </w:pict>
      </w:r>
    </w:p>
    <w:p w:rsidR="00B8650C" w:rsidRDefault="00B8650C"/>
    <w:p w:rsidR="00B8650C" w:rsidRDefault="00E41389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65E70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8650C" w:rsidRPr="00F61FE7" w:rsidRDefault="00B8650C" w:rsidP="00F61FE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F61FE7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F61FE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F61FE7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F61FE7" w:rsidRDefault="00B8650C" w:rsidP="00F61FE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F61FE7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r w:rsidR="00765E70" w:rsidRPr="00F61FE7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F61FE7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="00765E70" w:rsidRPr="00F61FE7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F61FE7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B8650C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633812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r w:rsidR="00765E70"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="00765E70"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C378F" w:rsidRDefault="003C378F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1E1FA3" w:rsidRPr="00A01037" w:rsidTr="006114A6">
        <w:tc>
          <w:tcPr>
            <w:tcW w:w="13358" w:type="dxa"/>
            <w:gridSpan w:val="10"/>
            <w:shd w:val="clear" w:color="auto" w:fill="FF0000"/>
          </w:tcPr>
          <w:p w:rsidR="001E1FA3" w:rsidRPr="00CD746D" w:rsidRDefault="001E1FA3" w:rsidP="00F61FE7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Elecssories (</w:t>
            </w:r>
            <w:r w:rsidR="00F61FE7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1E1FA3" w:rsidRPr="00A01037" w:rsidTr="006114A6">
        <w:tc>
          <w:tcPr>
            <w:tcW w:w="2018" w:type="dxa"/>
            <w:vMerge w:val="restart"/>
          </w:tcPr>
          <w:p w:rsidR="001E1FA3" w:rsidRPr="00A01037" w:rsidRDefault="001E1FA3" w:rsidP="006114A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1E1FA3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1E1FA3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1E1FA3" w:rsidRPr="00030BCB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1E1FA3" w:rsidRPr="00A01037" w:rsidTr="006114A6">
        <w:tc>
          <w:tcPr>
            <w:tcW w:w="2018" w:type="dxa"/>
            <w:vMerge/>
          </w:tcPr>
          <w:p w:rsidR="001E1FA3" w:rsidRPr="00A01037" w:rsidRDefault="001E1FA3" w:rsidP="006114A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gridSpan w:val="2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993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A1738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6B1E98" w:rsidRDefault="001E1FA3" w:rsidP="006114A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A92CB3" w:rsidRDefault="001E1FA3" w:rsidP="006114A6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vMerge w:val="restart"/>
            <w:shd w:val="clear" w:color="auto" w:fill="FFFFFF" w:themeFill="background1"/>
          </w:tcPr>
          <w:p w:rsidR="001E1FA3" w:rsidRPr="00765E70" w:rsidRDefault="001E1FA3" w:rsidP="006114A6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1E1FA3" w:rsidRPr="00A01037" w:rsidTr="006114A6">
        <w:tc>
          <w:tcPr>
            <w:tcW w:w="2018" w:type="dxa"/>
            <w:vMerge/>
            <w:shd w:val="clear" w:color="auto" w:fill="FFFFFF" w:themeFill="background1"/>
          </w:tcPr>
          <w:p w:rsidR="001E1FA3" w:rsidRPr="00765E70" w:rsidRDefault="001E1FA3" w:rsidP="006114A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993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CC1814" w:rsidRDefault="001E1FA3" w:rsidP="006114A6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rPr>
          <w:trHeight w:val="80"/>
        </w:trPr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3C31D8" w:rsidRDefault="001E1FA3" w:rsidP="006114A6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3C31D8" w:rsidRDefault="001E1FA3" w:rsidP="006114A6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3C31D8" w:rsidRDefault="001E1FA3" w:rsidP="006114A6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C30C2B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E413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33.35pt;margin-top:226.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33.35pt;margin-top:189.7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5EB" w:rsidRDefault="001915EB" w:rsidP="00142727">
      <w:pPr>
        <w:spacing w:line="240" w:lineRule="auto"/>
      </w:pPr>
      <w:r>
        <w:separator/>
      </w:r>
    </w:p>
  </w:endnote>
  <w:endnote w:type="continuationSeparator" w:id="0">
    <w:p w:rsidR="001915EB" w:rsidRDefault="001915EB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5EB" w:rsidRDefault="001915EB" w:rsidP="00142727">
      <w:pPr>
        <w:spacing w:line="240" w:lineRule="auto"/>
      </w:pPr>
      <w:r>
        <w:separator/>
      </w:r>
    </w:p>
  </w:footnote>
  <w:footnote w:type="continuationSeparator" w:id="0">
    <w:p w:rsidR="001915EB" w:rsidRDefault="001915EB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31F1"/>
    <w:rsid w:val="0001562C"/>
    <w:rsid w:val="00030BCB"/>
    <w:rsid w:val="00033243"/>
    <w:rsid w:val="00046FAF"/>
    <w:rsid w:val="00071A9F"/>
    <w:rsid w:val="000839EC"/>
    <w:rsid w:val="00094C1A"/>
    <w:rsid w:val="000A7019"/>
    <w:rsid w:val="000F0FED"/>
    <w:rsid w:val="000F29ED"/>
    <w:rsid w:val="00106EE9"/>
    <w:rsid w:val="00125CA7"/>
    <w:rsid w:val="00135867"/>
    <w:rsid w:val="00142727"/>
    <w:rsid w:val="00146D19"/>
    <w:rsid w:val="00166992"/>
    <w:rsid w:val="001749B8"/>
    <w:rsid w:val="001915EB"/>
    <w:rsid w:val="001A09D7"/>
    <w:rsid w:val="001B1DE0"/>
    <w:rsid w:val="001C7344"/>
    <w:rsid w:val="001D399C"/>
    <w:rsid w:val="001E1FA3"/>
    <w:rsid w:val="001F6549"/>
    <w:rsid w:val="00205352"/>
    <w:rsid w:val="0021102D"/>
    <w:rsid w:val="0021674B"/>
    <w:rsid w:val="0022061F"/>
    <w:rsid w:val="0022318F"/>
    <w:rsid w:val="00225D38"/>
    <w:rsid w:val="00253A47"/>
    <w:rsid w:val="00262B71"/>
    <w:rsid w:val="002712A9"/>
    <w:rsid w:val="002752B2"/>
    <w:rsid w:val="0028078E"/>
    <w:rsid w:val="002B3310"/>
    <w:rsid w:val="002B4469"/>
    <w:rsid w:val="002C769D"/>
    <w:rsid w:val="002E01D9"/>
    <w:rsid w:val="002F395F"/>
    <w:rsid w:val="00301358"/>
    <w:rsid w:val="00304667"/>
    <w:rsid w:val="00332C35"/>
    <w:rsid w:val="00334054"/>
    <w:rsid w:val="003669BD"/>
    <w:rsid w:val="003B73DC"/>
    <w:rsid w:val="003C378F"/>
    <w:rsid w:val="003F4698"/>
    <w:rsid w:val="004270C8"/>
    <w:rsid w:val="004310CB"/>
    <w:rsid w:val="00431372"/>
    <w:rsid w:val="004944DC"/>
    <w:rsid w:val="00496D64"/>
    <w:rsid w:val="004A23EF"/>
    <w:rsid w:val="004B794B"/>
    <w:rsid w:val="004C1541"/>
    <w:rsid w:val="004C7797"/>
    <w:rsid w:val="004E3C59"/>
    <w:rsid w:val="0050075C"/>
    <w:rsid w:val="00503486"/>
    <w:rsid w:val="0050559F"/>
    <w:rsid w:val="00515096"/>
    <w:rsid w:val="00523090"/>
    <w:rsid w:val="00525380"/>
    <w:rsid w:val="00556EAC"/>
    <w:rsid w:val="0056394C"/>
    <w:rsid w:val="005645AD"/>
    <w:rsid w:val="005709B0"/>
    <w:rsid w:val="00603103"/>
    <w:rsid w:val="0062593B"/>
    <w:rsid w:val="00684BF1"/>
    <w:rsid w:val="006853E6"/>
    <w:rsid w:val="006D4CB9"/>
    <w:rsid w:val="006F1F31"/>
    <w:rsid w:val="007075E9"/>
    <w:rsid w:val="0071204F"/>
    <w:rsid w:val="007165BB"/>
    <w:rsid w:val="0072789E"/>
    <w:rsid w:val="007362A1"/>
    <w:rsid w:val="007553B2"/>
    <w:rsid w:val="00765E70"/>
    <w:rsid w:val="00766DAF"/>
    <w:rsid w:val="007C2B36"/>
    <w:rsid w:val="007E187B"/>
    <w:rsid w:val="00804EDE"/>
    <w:rsid w:val="008208C7"/>
    <w:rsid w:val="0082140B"/>
    <w:rsid w:val="00825815"/>
    <w:rsid w:val="008320A0"/>
    <w:rsid w:val="008521E8"/>
    <w:rsid w:val="00857388"/>
    <w:rsid w:val="008638B0"/>
    <w:rsid w:val="008A4962"/>
    <w:rsid w:val="008B4F05"/>
    <w:rsid w:val="008C007E"/>
    <w:rsid w:val="008C0C7D"/>
    <w:rsid w:val="008C7417"/>
    <w:rsid w:val="008D2EBA"/>
    <w:rsid w:val="008F3D87"/>
    <w:rsid w:val="009221E0"/>
    <w:rsid w:val="00932692"/>
    <w:rsid w:val="00933247"/>
    <w:rsid w:val="00933571"/>
    <w:rsid w:val="00936EA1"/>
    <w:rsid w:val="0095040F"/>
    <w:rsid w:val="00967E39"/>
    <w:rsid w:val="00987D1E"/>
    <w:rsid w:val="00997AFB"/>
    <w:rsid w:val="00997C04"/>
    <w:rsid w:val="009A5042"/>
    <w:rsid w:val="009B08CE"/>
    <w:rsid w:val="009B0BE0"/>
    <w:rsid w:val="009B7741"/>
    <w:rsid w:val="009C5EFC"/>
    <w:rsid w:val="009F16A3"/>
    <w:rsid w:val="00A01037"/>
    <w:rsid w:val="00A11176"/>
    <w:rsid w:val="00A27813"/>
    <w:rsid w:val="00A27F7C"/>
    <w:rsid w:val="00A339D3"/>
    <w:rsid w:val="00A3500C"/>
    <w:rsid w:val="00A60A64"/>
    <w:rsid w:val="00AC6E56"/>
    <w:rsid w:val="00AD3FA8"/>
    <w:rsid w:val="00AD4788"/>
    <w:rsid w:val="00AD59EF"/>
    <w:rsid w:val="00B03B97"/>
    <w:rsid w:val="00B06316"/>
    <w:rsid w:val="00B14480"/>
    <w:rsid w:val="00B22FF3"/>
    <w:rsid w:val="00B37D36"/>
    <w:rsid w:val="00B804FC"/>
    <w:rsid w:val="00B8650C"/>
    <w:rsid w:val="00B97F32"/>
    <w:rsid w:val="00BB3E2E"/>
    <w:rsid w:val="00BD04B7"/>
    <w:rsid w:val="00BD1721"/>
    <w:rsid w:val="00BF76BF"/>
    <w:rsid w:val="00C0202D"/>
    <w:rsid w:val="00C02E3C"/>
    <w:rsid w:val="00C06AE4"/>
    <w:rsid w:val="00C17BCD"/>
    <w:rsid w:val="00C30C2B"/>
    <w:rsid w:val="00C4064E"/>
    <w:rsid w:val="00C46365"/>
    <w:rsid w:val="00C72A3C"/>
    <w:rsid w:val="00C82E4E"/>
    <w:rsid w:val="00CA023A"/>
    <w:rsid w:val="00CA035B"/>
    <w:rsid w:val="00CA4F54"/>
    <w:rsid w:val="00CB4738"/>
    <w:rsid w:val="00CC3152"/>
    <w:rsid w:val="00CD746D"/>
    <w:rsid w:val="00CE6DAD"/>
    <w:rsid w:val="00D43469"/>
    <w:rsid w:val="00D5781E"/>
    <w:rsid w:val="00D61025"/>
    <w:rsid w:val="00D858FE"/>
    <w:rsid w:val="00D903F9"/>
    <w:rsid w:val="00D94289"/>
    <w:rsid w:val="00DC33C7"/>
    <w:rsid w:val="00DC3528"/>
    <w:rsid w:val="00DC7264"/>
    <w:rsid w:val="00DD2503"/>
    <w:rsid w:val="00DF2C51"/>
    <w:rsid w:val="00E079BC"/>
    <w:rsid w:val="00E25310"/>
    <w:rsid w:val="00E41389"/>
    <w:rsid w:val="00E44295"/>
    <w:rsid w:val="00E5314F"/>
    <w:rsid w:val="00E70A85"/>
    <w:rsid w:val="00E86F86"/>
    <w:rsid w:val="00EA1738"/>
    <w:rsid w:val="00EF5038"/>
    <w:rsid w:val="00F03921"/>
    <w:rsid w:val="00F03E6F"/>
    <w:rsid w:val="00F167F4"/>
    <w:rsid w:val="00F61FE7"/>
    <w:rsid w:val="00F65389"/>
    <w:rsid w:val="00F67540"/>
    <w:rsid w:val="00F76B69"/>
    <w:rsid w:val="00F8161F"/>
    <w:rsid w:val="00FD159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17</cp:revision>
  <cp:lastPrinted>2014-06-26T03:41:00Z</cp:lastPrinted>
  <dcterms:created xsi:type="dcterms:W3CDTF">2014-06-26T03:32:00Z</dcterms:created>
  <dcterms:modified xsi:type="dcterms:W3CDTF">2014-06-29T14:24:00Z</dcterms:modified>
</cp:coreProperties>
</file>