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4.2. Реализация на языке Python и анализ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является выборка случайной величины, подчиняющейся двойному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01095901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0CE586" wp14:editId="0DCE18C7">
            <wp:extent cx="2060448" cy="1121664"/>
            <wp:effectExtent l="0" t="0" r="0" b="0"/>
            <wp:docPr id="9001" name="Листинг 9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Листинг 900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60448" cy="11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994EA1" wp14:editId="326A4324">
            <wp:extent cx="2980944" cy="609600"/>
            <wp:effectExtent l="0" t="0" r="0" b="0"/>
            <wp:docPr id="9002" name="Листинг 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Листинг 900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0944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9E8EF3" wp14:editId="2ADED612">
            <wp:extent cx="4901184" cy="1463040"/>
            <wp:effectExtent l="0" t="0" r="0" b="0"/>
            <wp:docPr id="9003" name="Листинг 9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Листинг 900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1C7498E" wp14:editId="155D9E56">
            <wp:extent cx="3249168" cy="2657856"/>
            <wp:effectExtent l="0" t="0" r="0" b="0"/>
            <wp:docPr id="9004" name="Листинг 9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Листинг 900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9168" cy="265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390033D" wp14:editId="06D90545">
            <wp:extent cx="2651760" cy="609600"/>
            <wp:effectExtent l="0" t="0" r="0" b="0"/>
            <wp:docPr id="9005" name="Листинг 9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Листинг 900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ABCDD4" wp14:editId="30042CD6">
            <wp:extent cx="3115056" cy="1292352"/>
            <wp:effectExtent l="0" t="0" r="0" b="0"/>
            <wp:docPr id="9006" name="Листинг 9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" name="Листинг 90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38DA05" wp14:editId="3F10C836">
            <wp:extent cx="3115056" cy="1292352"/>
            <wp:effectExtent l="0" t="0" r="0" b="0"/>
            <wp:docPr id="9007" name="Листинг 9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" name="Листинг 900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1DD83A8" wp14:editId="2A1074D0">
            <wp:extent cx="2322576" cy="1121664"/>
            <wp:effectExtent l="0" t="0" r="0" b="0"/>
            <wp:docPr id="9008" name="Листинг 9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" name="Листинг 900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22576" cy="11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5E0C8E" wp14:editId="37148EE2">
            <wp:extent cx="3115056" cy="1292352"/>
            <wp:effectExtent l="0" t="0" r="0" b="0"/>
            <wp:docPr id="9009" name="Листинг 9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" name="Листинг 900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Pr="006E053E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3068BFC1" w:rsidR="00E820AD" w:rsidRDefault="005F43D9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23A2407" wp14:editId="24DDA0B1">
            <wp:extent cx="5940425" cy="12433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30EE9C45" w14:textId="113A29FB" w:rsidR="00284403" w:rsidRPr="00DE1714" w:rsidRDefault="00284403" w:rsidP="002800C8">
      <w:pPr>
        <w:spacing w:line="360" w:lineRule="auto"/>
        <w:ind w:firstLine="360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–1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</w:t>
      </w:r>
      <w:r w:rsidR="002800C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</w:t>
      </w:r>
      <w:r w:rsidR="007725AF">
        <w:rPr>
          <w:sz w:val="28"/>
          <w:szCs w:val="28"/>
        </w:rPr>
        <w:t xml:space="preserve"> </w:t>
      </w:r>
      <w:r>
        <w:rPr>
          <w:sz w:val="28"/>
          <w:szCs w:val="28"/>
        </w:rPr>
        <w:t>частота</w:t>
      </w:r>
      <w:r w:rsidR="007725AF">
        <w:rPr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</w:t>
      </w:r>
      <w:r w:rsidR="004C642E">
        <w:rPr>
          <w:sz w:val="28"/>
          <w:szCs w:val="28"/>
        </w:rPr>
        <w:t>4</w:t>
      </w:r>
      <w:r>
        <w:rPr>
          <w:sz w:val="28"/>
          <w:szCs w:val="28"/>
        </w:rPr>
        <w:t>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675F8796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в реализации принято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5B9A71CF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Pr="0012736C">
        <w:rPr>
          <w:sz w:val="28"/>
          <w:szCs w:val="28"/>
        </w:rPr>
        <w:t>:</w:t>
      </w:r>
    </w:p>
    <w:p w14:paraId="4D16FF08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B28BCE1" wp14:editId="04E2C05C">
            <wp:extent cx="5760720" cy="4194048"/>
            <wp:effectExtent l="0" t="0" r="0" b="0"/>
            <wp:docPr id="9011" name="Листинг 9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" name="Листинг 90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0C722145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функции для случайных подвыборок размером 10, 100 и 200 элементов — на рисунках </w:t>
      </w:r>
      <w:r w:rsidR="00EA69CC">
        <w:rPr>
          <w:sz w:val="28"/>
          <w:szCs w:val="28"/>
        </w:rPr>
        <w:t>6</w:t>
      </w:r>
      <w:r>
        <w:rPr>
          <w:sz w:val="28"/>
          <w:szCs w:val="28"/>
        </w:rPr>
        <w:t>–</w:t>
      </w:r>
      <w:r w:rsidR="00EA69CC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5BEC4A59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272EBB50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621DCF9E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8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DE1714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5D3FA86F" w14:textId="77777777" w:rsidR="00284403" w:rsidRPr="00DE1714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Pr="002800C8">
        <w:rPr>
          <w:b/>
          <w:bCs/>
          <w:sz w:val="28"/>
          <w:szCs w:val="28"/>
        </w:rPr>
        <w:t>Выводы о виде гистограммы</w:t>
      </w:r>
    </w:p>
    <w:p w14:paraId="6E2D85E2" w14:textId="77777777" w:rsidR="00284403" w:rsidRPr="00017403" w:rsidRDefault="00284403" w:rsidP="00284403">
      <w:pPr>
        <w:spacing w:line="360" w:lineRule="auto"/>
        <w:ind w:left="360" w:firstLine="348"/>
        <w:jc w:val="both"/>
        <w:rPr>
          <w:b/>
          <w:bCs/>
          <w:sz w:val="28"/>
          <w:szCs w:val="28"/>
        </w:rPr>
      </w:pPr>
    </w:p>
    <w:p w14:paraId="25DB0FA2" w14:textId="5FF37B31" w:rsidR="00EB48A2" w:rsidRDefault="00DE1714" w:rsidP="005E624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>
        <w:rPr>
          <w:b/>
          <w:bCs/>
          <w:sz w:val="28"/>
          <w:szCs w:val="28"/>
        </w:rPr>
        <w:t>, рисунок 6)</w:t>
      </w:r>
      <w:r>
        <w:rPr>
          <w:sz w:val="28"/>
          <w:szCs w:val="28"/>
        </w:rPr>
        <w:t xml:space="preserve">. Гистограмма имеет отчётливую двугорбую (бимодальную)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>
        <w:rPr>
          <w:sz w:val="28"/>
          <w:szCs w:val="28"/>
        </w:rPr>
        <w:t>.</w:t>
      </w:r>
      <w:r w:rsidR="00014CF1">
        <w:rPr>
          <w:sz w:val="28"/>
          <w:szCs w:val="28"/>
        </w:rPr>
        <w:t xml:space="preserve">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="00014CF1">
        <w:rPr>
          <w:sz w:val="28"/>
          <w:szCs w:val="28"/>
        </w:rPr>
        <w:t>.</w:t>
      </w:r>
      <w:r w:rsidR="005E6242">
        <w:rPr>
          <w:sz w:val="28"/>
          <w:szCs w:val="28"/>
        </w:rPr>
        <w:t xml:space="preserve"> </w:t>
      </w:r>
      <w:r>
        <w:rPr>
          <w:sz w:val="28"/>
          <w:szCs w:val="28"/>
        </w:rPr>
        <w:t>Два пика симметрично расположены относительно параметра смещения: левый пик — вблизи</w:t>
      </w:r>
    </w:p>
    <w:p w14:paraId="63762DF4" w14:textId="1AC9E045" w:rsidR="00DE1714" w:rsidRDefault="00EB48A2" w:rsidP="005E6242">
      <w:pPr>
        <w:spacing w:line="360" w:lineRule="auto"/>
        <w:ind w:firstLine="36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x ≈-4,2</m:t>
        </m:r>
      </m:oMath>
      <w:r w:rsidR="00DE1714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6,5</m:t>
        </m:r>
      </m:oMath>
      <w:r w:rsidR="00DE1714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47CDD769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ECDB4F5" w14:textId="5DE27BBE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(-4,2 + 6,5) / 2 = 1,15</m:t>
        </m:r>
      </m:oMath>
      <w:r>
        <w:rPr>
          <w:sz w:val="28"/>
          <w:szCs w:val="28"/>
        </w:rPr>
        <w:t>;</w:t>
      </w:r>
    </w:p>
    <w:p w14:paraId="74A3DE5D" w14:textId="6A6DAF01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р</w:t>
      </w:r>
      <w:r>
        <w:rPr>
          <w:sz w:val="28"/>
          <w:szCs w:val="28"/>
        </w:rPr>
        <w:t xml:space="preserve">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(6,5 - 1,15) × 1 ≈ 5,35</m:t>
        </m:r>
      </m:oMath>
      <w:r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>
        <w:rPr>
          <w:sz w:val="28"/>
          <w:szCs w:val="28"/>
        </w:rPr>
        <w:t>.</w:t>
      </w:r>
    </w:p>
    <w:p w14:paraId="4D967AF0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0F72B6C" w14:textId="3C155DD3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>
        <w:rPr>
          <w:sz w:val="28"/>
          <w:szCs w:val="28"/>
        </w:rPr>
        <w:t xml:space="preserve">. </w:t>
      </w:r>
    </w:p>
    <w:p w14:paraId="454986BB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0C28C20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200 элементов (рисунок 9)</w:t>
      </w:r>
      <w:r>
        <w:rPr>
          <w:sz w:val="28"/>
          <w:szCs w:val="28"/>
        </w:rPr>
        <w:t xml:space="preserve">. Форма гистограммы близка к полной выборке: </w:t>
      </w:r>
      <w:proofErr w:type="spellStart"/>
      <w:r>
        <w:rPr>
          <w:sz w:val="28"/>
          <w:szCs w:val="28"/>
        </w:rPr>
        <w:t>бимодальность</w:t>
      </w:r>
      <w:proofErr w:type="spellEnd"/>
      <w:r>
        <w:rPr>
          <w:sz w:val="28"/>
          <w:szCs w:val="28"/>
        </w:rPr>
        <w:t xml:space="preserve"> сохраняется, пики различимы. Это свидетельствует о достаточной репрезентативности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объёмом 200 элементов для визуальной идентификации типа распределения.</w:t>
      </w:r>
    </w:p>
    <w:p w14:paraId="32867973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</w:p>
    <w:p w14:paraId="6BEDF1BD" w14:textId="51D2CB56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100 элементов (рисунок 8)</w:t>
      </w:r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Двугорбость</w:t>
      </w:r>
      <w:proofErr w:type="spellEnd"/>
      <w:r>
        <w:rPr>
          <w:sz w:val="28"/>
          <w:szCs w:val="28"/>
        </w:rPr>
        <w:t xml:space="preserve">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25FCC02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50223561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10 элементов (рисунок 7)</w:t>
      </w:r>
      <w:r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4B669D1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7F3611B5" w14:textId="3DEBC9CB" w:rsidR="00C24561" w:rsidRDefault="00DE1714" w:rsidP="000A5DD7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Общий вывод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гистограмма всё точнее аппроксимирует плотность теоретического двойного гамма-распределения. Двугорбая форма гистограммы полной выборки однозначно указывает на принадлежность данных семейству симметричных двойных распределений. </w:t>
      </w:r>
    </w:p>
    <w:p w14:paraId="793E9286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2E583568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80F47D2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16CEFDFA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C118E50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6D0D20E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9224AB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Описание параметров распределения</w:t>
      </w:r>
    </w:p>
    <w:p w14:paraId="5F557E5D" w14:textId="58E61A7A" w:rsidR="009224AB" w:rsidRDefault="009224AB" w:rsidP="009224AB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552D4462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2800C8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5B9E8277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6185D20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03386F8E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μ±(α-1)β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3D8EFFB1" w:rsidR="005E7637" w:rsidRPr="005E7637" w:rsidRDefault="00926CA6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lastRenderedPageBreak/>
        <w:t>loc</w:t>
      </w:r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</w:t>
      </w:r>
      <w:proofErr w:type="spellStart"/>
      <w:r w:rsidRPr="005E7637">
        <w:rPr>
          <w:sz w:val="28"/>
          <w:szCs w:val="28"/>
        </w:rPr>
        <w:t>mu</w:t>
      </w:r>
      <w:proofErr w:type="spellEnd"/>
      <w:r w:rsidRPr="005E7637">
        <w:rPr>
          <w:sz w:val="28"/>
          <w:szCs w:val="28"/>
        </w:rPr>
        <w:t xml:space="preserve">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5E7637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4914C83F" w:rsidR="005E6242" w:rsidRDefault="0082307B" w:rsidP="00A47C9E">
      <w:pPr>
        <w:spacing w:line="360" w:lineRule="auto"/>
        <w:jc w:val="center"/>
        <w:rPr>
          <w:sz w:val="28"/>
          <w:szCs w:val="28"/>
        </w:rPr>
      </w:pPr>
      <w:r w:rsidRPr="0082307B">
        <w:rPr>
          <w:noProof/>
          <w:sz w:val="28"/>
          <w:szCs w:val="28"/>
        </w:rPr>
        <w:lastRenderedPageBreak/>
        <w:drawing>
          <wp:inline distT="0" distB="0" distL="0" distR="0" wp14:anchorId="3D52F5E0" wp14:editId="3814D755">
            <wp:extent cx="5433085" cy="4930140"/>
            <wp:effectExtent l="0" t="0" r="0" b="3810"/>
            <wp:docPr id="1062371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717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33085" cy="493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FCD0" w14:textId="72AAFD7B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распределения.</w:t>
      </w:r>
    </w:p>
    <w:p w14:paraId="2FD6CA6A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EF7480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F36295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94E134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2169F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326DA5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0BA3A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4CBD1B7C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2456A81E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D48D2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2B0798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D88A56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0548138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7B553E" w14:textId="26400034" w:rsidR="002800C8" w:rsidRDefault="002800C8" w:rsidP="00EA69C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0B18D8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1B5B17C4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формы.</w:t>
      </w:r>
    </w:p>
    <w:p w14:paraId="0ADE0D20" w14:textId="0450C11A" w:rsidR="000B18D8" w:rsidRDefault="0073541F" w:rsidP="002800C8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</w:t>
      </w:r>
      <w:r w:rsidR="000B18D8">
        <w:rPr>
          <w:sz w:val="28"/>
          <w:szCs w:val="28"/>
        </w:rPr>
        <w:t xml:space="preserve">: </w:t>
      </w:r>
      <w:r w:rsidR="000B18D8" w:rsidRPr="000B18D8">
        <w:rPr>
          <w:sz w:val="28"/>
          <w:szCs w:val="28"/>
        </w:rPr>
        <w:t>при увеличении параметра формы пики расходятся сильнее. высота пиков падает, а также растет разброс</w:t>
      </w:r>
      <w:r w:rsidR="000B18D8">
        <w:rPr>
          <w:sz w:val="28"/>
          <w:szCs w:val="28"/>
        </w:rPr>
        <w:t>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03B1B6B3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смещения.</w:t>
      </w:r>
    </w:p>
    <w:p w14:paraId="60D2320A" w14:textId="36CCC506" w:rsidR="0082307B" w:rsidRDefault="000B18D8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</w:t>
      </w:r>
      <w:r w:rsidRPr="000B18D8">
        <w:rPr>
          <w:sz w:val="28"/>
          <w:szCs w:val="28"/>
        </w:rPr>
        <w:t>при увеличении параметра смещения не изменяется форма кривой, расстояние между пиками и высота пиков. Изменяется только центр симметрии у двойного гамма распределения</w:t>
      </w:r>
      <w:r>
        <w:rPr>
          <w:sz w:val="28"/>
          <w:szCs w:val="28"/>
        </w:rPr>
        <w:t>.</w:t>
      </w:r>
    </w:p>
    <w:p w14:paraId="1336825B" w14:textId="77777777" w:rsidR="0082307B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25EFAA2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Default="002800C8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lastRenderedPageBreak/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28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[2] Bain L. J., Engelhardt M. Introduction to Probability and Mathematical Statistics. — 2nd ed. — Belmont :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/  Б.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29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6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7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9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1"/>
  </w:num>
  <w:num w:numId="2" w16cid:durableId="1280603550">
    <w:abstractNumId w:val="2"/>
  </w:num>
  <w:num w:numId="3" w16cid:durableId="435517487">
    <w:abstractNumId w:val="9"/>
  </w:num>
  <w:num w:numId="4" w16cid:durableId="718240523">
    <w:abstractNumId w:val="3"/>
  </w:num>
  <w:num w:numId="5" w16cid:durableId="395593643">
    <w:abstractNumId w:val="1"/>
  </w:num>
  <w:num w:numId="6" w16cid:durableId="2027636951">
    <w:abstractNumId w:val="10"/>
  </w:num>
  <w:num w:numId="7" w16cid:durableId="749816692">
    <w:abstractNumId w:val="8"/>
  </w:num>
  <w:num w:numId="8" w16cid:durableId="1835101558">
    <w:abstractNumId w:val="4"/>
  </w:num>
  <w:num w:numId="9" w16cid:durableId="1421294848">
    <w:abstractNumId w:val="7"/>
  </w:num>
  <w:num w:numId="10" w16cid:durableId="557129504">
    <w:abstractNumId w:val="12"/>
  </w:num>
  <w:num w:numId="11" w16cid:durableId="36779260">
    <w:abstractNumId w:val="0"/>
  </w:num>
  <w:num w:numId="12" w16cid:durableId="1319654721">
    <w:abstractNumId w:val="6"/>
  </w:num>
  <w:num w:numId="13" w16cid:durableId="7390599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A5DD7"/>
    <w:rsid w:val="000B18D8"/>
    <w:rsid w:val="000B4947"/>
    <w:rsid w:val="000E2088"/>
    <w:rsid w:val="00112FA7"/>
    <w:rsid w:val="0012736C"/>
    <w:rsid w:val="001A54F7"/>
    <w:rsid w:val="001B068F"/>
    <w:rsid w:val="00216255"/>
    <w:rsid w:val="00271447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50277C"/>
    <w:rsid w:val="00507873"/>
    <w:rsid w:val="00511491"/>
    <w:rsid w:val="00515BB9"/>
    <w:rsid w:val="00527DC4"/>
    <w:rsid w:val="0053289C"/>
    <w:rsid w:val="00535DFB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37C09"/>
    <w:rsid w:val="00662A61"/>
    <w:rsid w:val="006C3547"/>
    <w:rsid w:val="006E053E"/>
    <w:rsid w:val="00730F1E"/>
    <w:rsid w:val="0073541F"/>
    <w:rsid w:val="007404D3"/>
    <w:rsid w:val="007725AF"/>
    <w:rsid w:val="00775E29"/>
    <w:rsid w:val="00794E8C"/>
    <w:rsid w:val="007C0E56"/>
    <w:rsid w:val="007C4DB8"/>
    <w:rsid w:val="0082307B"/>
    <w:rsid w:val="008F6500"/>
    <w:rsid w:val="0090403E"/>
    <w:rsid w:val="00920451"/>
    <w:rsid w:val="00921578"/>
    <w:rsid w:val="009224AB"/>
    <w:rsid w:val="00926CA6"/>
    <w:rsid w:val="00937201"/>
    <w:rsid w:val="00A47C9E"/>
    <w:rsid w:val="00A76EB3"/>
    <w:rsid w:val="00AA0064"/>
    <w:rsid w:val="00B21F6E"/>
    <w:rsid w:val="00B764C0"/>
    <w:rsid w:val="00C24561"/>
    <w:rsid w:val="00CC295C"/>
    <w:rsid w:val="00D354DA"/>
    <w:rsid w:val="00D53C5C"/>
    <w:rsid w:val="00D96CE4"/>
    <w:rsid w:val="00DC05BD"/>
    <w:rsid w:val="00DE1714"/>
    <w:rsid w:val="00DF1366"/>
    <w:rsid w:val="00DF15C2"/>
    <w:rsid w:val="00DF2682"/>
    <w:rsid w:val="00E17CDD"/>
    <w:rsid w:val="00E578FF"/>
    <w:rsid w:val="00E71E2A"/>
    <w:rsid w:val="00E820AD"/>
    <w:rsid w:val="00E861CF"/>
    <w:rsid w:val="00EA69CC"/>
    <w:rsid w:val="00EB48A2"/>
    <w:rsid w:val="00EC043D"/>
    <w:rsid w:val="00ED06D8"/>
    <w:rsid w:val="00F13A25"/>
    <w:rsid w:val="00F268A2"/>
    <w:rsid w:val="00F62906"/>
    <w:rsid w:val="00F83536"/>
    <w:rsid w:val="00F96DE5"/>
    <w:rsid w:val="00FA654C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elib.spbstu.ru/dl/2/s16-286.pdf/download/s16-286.pdf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hyperlink" Target="https://archive.org/details/tablesofincomple00pearrich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926</TotalTime>
  <Pages>30</Pages>
  <Words>2903</Words>
  <Characters>16549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53</cp:revision>
  <dcterms:created xsi:type="dcterms:W3CDTF">2026-05-05T19:45:00Z</dcterms:created>
  <dcterms:modified xsi:type="dcterms:W3CDTF">2026-09-21T19:25:00Z</dcterms:modified>
</cp:coreProperties>
</file>